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65D68" w14:textId="77777777" w:rsidR="008575FB" w:rsidRDefault="00176BDB">
      <w:pPr>
        <w:pStyle w:val="Body"/>
        <w:jc w:val="both"/>
        <w:rPr>
          <w:rFonts w:ascii="Times New Roman" w:eastAsia="Times New Roman" w:hAnsi="Times New Roman" w:cs="Times New Roman"/>
          <w:i/>
          <w:iCs/>
          <w:sz w:val="24"/>
          <w:szCs w:val="24"/>
        </w:rPr>
      </w:pPr>
      <w:r>
        <w:rPr>
          <w:rFonts w:ascii="Times New Roman" w:hAnsi="Times New Roman"/>
          <w:i/>
          <w:iCs/>
          <w:sz w:val="24"/>
          <w:szCs w:val="24"/>
        </w:rPr>
        <w:t>History of Trade Liberalization in Morocco, and the present</w:t>
      </w:r>
    </w:p>
    <w:p w14:paraId="64BA5248" w14:textId="77777777" w:rsidR="008575FB" w:rsidRDefault="008575FB">
      <w:pPr>
        <w:pStyle w:val="Body"/>
        <w:jc w:val="both"/>
        <w:rPr>
          <w:rFonts w:ascii="Times New Roman" w:eastAsia="Times New Roman" w:hAnsi="Times New Roman" w:cs="Times New Roman"/>
          <w:sz w:val="24"/>
          <w:szCs w:val="24"/>
        </w:rPr>
      </w:pPr>
    </w:p>
    <w:p w14:paraId="5AF3811A" w14:textId="77777777" w:rsidR="008575FB" w:rsidRDefault="00176BDB">
      <w:pPr>
        <w:pStyle w:val="Body"/>
        <w:jc w:val="both"/>
        <w:rPr>
          <w:rFonts w:ascii="Times New Roman" w:eastAsia="Times New Roman" w:hAnsi="Times New Roman" w:cs="Times New Roman"/>
          <w:i/>
          <w:iCs/>
          <w:sz w:val="24"/>
          <w:szCs w:val="24"/>
        </w:rPr>
      </w:pPr>
      <w:r>
        <w:rPr>
          <w:rFonts w:ascii="Times New Roman" w:hAnsi="Times New Roman"/>
          <w:i/>
          <w:iCs/>
          <w:sz w:val="24"/>
          <w:szCs w:val="24"/>
        </w:rPr>
        <w:t>Prior to 1996</w:t>
      </w:r>
    </w:p>
    <w:p w14:paraId="4AACA055" w14:textId="77777777" w:rsidR="008575FB" w:rsidRDefault="008575FB">
      <w:pPr>
        <w:pStyle w:val="Body"/>
        <w:jc w:val="both"/>
        <w:rPr>
          <w:rFonts w:ascii="Times New Roman" w:eastAsia="Times New Roman" w:hAnsi="Times New Roman" w:cs="Times New Roman"/>
          <w:sz w:val="24"/>
          <w:szCs w:val="24"/>
        </w:rPr>
      </w:pPr>
    </w:p>
    <w:p w14:paraId="5B8FA735"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In the 1980s, Morocco faced a number of economic challenges including internal and external payment imbalances, unemployment and drought, prompting a series of economic adjustment</w:t>
      </w:r>
      <w:r>
        <w:rPr>
          <w:rFonts w:ascii="Times New Roman" w:hAnsi="Times New Roman"/>
          <w:sz w:val="24"/>
          <w:szCs w:val="24"/>
        </w:rPr>
        <w:t xml:space="preserve"> programs.  By 1993, the government adopted banking regulations and a privatization program to encourage foreign investments in Morocco. Changes in Morocco</w:t>
      </w:r>
      <w:r>
        <w:rPr>
          <w:rFonts w:ascii="Times New Roman" w:hAnsi="Times New Roman"/>
          <w:sz w:val="24"/>
          <w:szCs w:val="24"/>
        </w:rPr>
        <w:t>’</w:t>
      </w:r>
      <w:r>
        <w:rPr>
          <w:rFonts w:ascii="Times New Roman" w:hAnsi="Times New Roman"/>
          <w:sz w:val="24"/>
          <w:szCs w:val="24"/>
        </w:rPr>
        <w:t>s merchandise trade structure partly reflected its economic adjustment process: shares of imports in</w:t>
      </w:r>
      <w:r>
        <w:rPr>
          <w:rFonts w:ascii="Times New Roman" w:hAnsi="Times New Roman"/>
          <w:sz w:val="24"/>
          <w:szCs w:val="24"/>
        </w:rPr>
        <w:t xml:space="preserve"> food and energy declined, whereas imports in raw materials, machinery and other capital goods increased. Morocco</w:t>
      </w:r>
      <w:r>
        <w:rPr>
          <w:rFonts w:ascii="Times New Roman" w:hAnsi="Times New Roman"/>
          <w:sz w:val="24"/>
          <w:szCs w:val="24"/>
        </w:rPr>
        <w:t>’</w:t>
      </w:r>
      <w:r>
        <w:rPr>
          <w:rFonts w:ascii="Times New Roman" w:hAnsi="Times New Roman"/>
          <w:sz w:val="24"/>
          <w:szCs w:val="24"/>
        </w:rPr>
        <w:t>s main exports were agricultural products, textiles, and phosphate; its service sector was largely driven by tourism. Nevertheless, Morocco</w:t>
      </w:r>
      <w:r>
        <w:rPr>
          <w:rFonts w:ascii="Times New Roman" w:hAnsi="Times New Roman"/>
          <w:sz w:val="24"/>
          <w:szCs w:val="24"/>
        </w:rPr>
        <w:t>’</w:t>
      </w:r>
      <w:r>
        <w:rPr>
          <w:rFonts w:ascii="Times New Roman" w:hAnsi="Times New Roman"/>
          <w:sz w:val="24"/>
          <w:szCs w:val="24"/>
        </w:rPr>
        <w:t xml:space="preserve">s </w:t>
      </w:r>
      <w:r>
        <w:rPr>
          <w:rFonts w:ascii="Times New Roman" w:hAnsi="Times New Roman"/>
          <w:sz w:val="24"/>
          <w:szCs w:val="24"/>
        </w:rPr>
        <w:t>earnings from remittances, exports of goods and services were not sufficient to cover the structural trade deficit (WTO, 1995).</w:t>
      </w:r>
    </w:p>
    <w:p w14:paraId="310E7D4A" w14:textId="77777777" w:rsidR="008575FB" w:rsidRDefault="008575FB">
      <w:pPr>
        <w:pStyle w:val="Body"/>
        <w:jc w:val="both"/>
        <w:rPr>
          <w:rFonts w:ascii="Times New Roman" w:eastAsia="Times New Roman" w:hAnsi="Times New Roman" w:cs="Times New Roman"/>
          <w:sz w:val="24"/>
          <w:szCs w:val="24"/>
        </w:rPr>
      </w:pPr>
    </w:p>
    <w:p w14:paraId="13E93BFA"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 xml:space="preserve">Morocco acceded to the General Agreement on Tariffs and Trade (GATT) in 1987, participating actively in the Uruguay </w:t>
      </w:r>
      <w:proofErr w:type="gramStart"/>
      <w:r>
        <w:rPr>
          <w:rFonts w:ascii="Times New Roman" w:hAnsi="Times New Roman"/>
          <w:sz w:val="24"/>
          <w:szCs w:val="24"/>
        </w:rPr>
        <w:t>Round</w:t>
      </w:r>
      <w:proofErr w:type="gramEnd"/>
      <w:r>
        <w:rPr>
          <w:rFonts w:ascii="Times New Roman" w:hAnsi="Times New Roman"/>
          <w:sz w:val="24"/>
          <w:szCs w:val="24"/>
        </w:rPr>
        <w:t xml:space="preserve"> negot</w:t>
      </w:r>
      <w:r>
        <w:rPr>
          <w:rFonts w:ascii="Times New Roman" w:hAnsi="Times New Roman"/>
          <w:sz w:val="24"/>
          <w:szCs w:val="24"/>
        </w:rPr>
        <w:t>iations and hosting the Marrakesh Summit in April 1984. Morocco became an original member of the WTO in 1995 and completed the binding of all its tariff lines. Tariffs for agricultural products (live animals, meat, dairy products) were set at between 100 a</w:t>
      </w:r>
      <w:r>
        <w:rPr>
          <w:rFonts w:ascii="Times New Roman" w:hAnsi="Times New Roman"/>
          <w:sz w:val="24"/>
          <w:szCs w:val="24"/>
        </w:rPr>
        <w:t xml:space="preserve">nd 365 percent in 1993. Regarding services trade, Morocco adopted terms under the General Agreement on Trade in Services (1995), detailing market access conditions for certain categories of services (professional, business, value-added telecommunications, </w:t>
      </w:r>
      <w:r>
        <w:rPr>
          <w:rFonts w:ascii="Times New Roman" w:hAnsi="Times New Roman"/>
          <w:sz w:val="24"/>
          <w:szCs w:val="24"/>
        </w:rPr>
        <w:t xml:space="preserve">environmental, financial and tourism). As a member of the Arab Maghreb Union (AMU), Morocco enjoyed privileged access to Tunisia and Algeria. As a member of the Organization of the Islamic Conference, Morocco also concluded a number of bilateral trade and </w:t>
      </w:r>
      <w:r>
        <w:rPr>
          <w:rFonts w:ascii="Times New Roman" w:hAnsi="Times New Roman"/>
          <w:sz w:val="24"/>
          <w:szCs w:val="24"/>
        </w:rPr>
        <w:t>tariff agreements with several Arab and Sub-Saharan African countries (WTO, 1995).</w:t>
      </w:r>
    </w:p>
    <w:p w14:paraId="75AEB338" w14:textId="77777777" w:rsidR="008575FB" w:rsidRDefault="008575FB">
      <w:pPr>
        <w:pStyle w:val="Body"/>
        <w:jc w:val="both"/>
        <w:rPr>
          <w:rFonts w:ascii="Times New Roman" w:eastAsia="Times New Roman" w:hAnsi="Times New Roman" w:cs="Times New Roman"/>
          <w:sz w:val="24"/>
          <w:szCs w:val="24"/>
        </w:rPr>
      </w:pPr>
    </w:p>
    <w:p w14:paraId="4A1E5D89"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Morocco</w:t>
      </w:r>
      <w:r>
        <w:rPr>
          <w:rFonts w:ascii="Times New Roman" w:hAnsi="Times New Roman"/>
          <w:sz w:val="24"/>
          <w:szCs w:val="24"/>
        </w:rPr>
        <w:t>’</w:t>
      </w:r>
      <w:r>
        <w:rPr>
          <w:rFonts w:ascii="Times New Roman" w:hAnsi="Times New Roman"/>
          <w:sz w:val="24"/>
          <w:szCs w:val="24"/>
        </w:rPr>
        <w:t>s trade policy in 1995 was a blend of progressive import liberalization and heavy agricultural protection. To protect domestic production, 10.2 percent of total mer</w:t>
      </w:r>
      <w:r>
        <w:rPr>
          <w:rFonts w:ascii="Times New Roman" w:hAnsi="Times New Roman"/>
          <w:sz w:val="24"/>
          <w:szCs w:val="24"/>
        </w:rPr>
        <w:t xml:space="preserve">chandise imports to Morocco required licenses in 1994, in addition to import duties, the fiscal import levy (15 percent), and a </w:t>
      </w:r>
      <w:proofErr w:type="spellStart"/>
      <w:r>
        <w:rPr>
          <w:rFonts w:ascii="Times New Roman" w:hAnsi="Times New Roman"/>
          <w:sz w:val="24"/>
          <w:szCs w:val="24"/>
        </w:rPr>
        <w:t>parafiscal</w:t>
      </w:r>
      <w:proofErr w:type="spellEnd"/>
      <w:r>
        <w:rPr>
          <w:rFonts w:ascii="Times New Roman" w:hAnsi="Times New Roman"/>
          <w:sz w:val="24"/>
          <w:szCs w:val="24"/>
        </w:rPr>
        <w:t xml:space="preserve"> tax (0.25 percent). The maximum level of import tariff was initially lowered to 35 percent for most imports, but was </w:t>
      </w:r>
      <w:r>
        <w:rPr>
          <w:rFonts w:ascii="Times New Roman" w:hAnsi="Times New Roman"/>
          <w:sz w:val="24"/>
          <w:szCs w:val="24"/>
        </w:rPr>
        <w:t xml:space="preserve">raised later as a result of the introduction of certain tariff equivalents. Duties were especially high in the industrial and agricultural sector, especially for products that could have been produced in Morocco. On the export side, locally produced goods </w:t>
      </w:r>
      <w:r>
        <w:rPr>
          <w:rFonts w:ascii="Times New Roman" w:hAnsi="Times New Roman"/>
          <w:sz w:val="24"/>
          <w:szCs w:val="24"/>
        </w:rPr>
        <w:t xml:space="preserve">were promoted through tariff and tax concessions </w:t>
      </w:r>
      <w:r>
        <w:rPr>
          <w:rFonts w:ascii="Times New Roman" w:hAnsi="Times New Roman"/>
          <w:sz w:val="24"/>
          <w:szCs w:val="24"/>
        </w:rPr>
        <w:t>(WTO, 1995)</w:t>
      </w:r>
      <w:r>
        <w:rPr>
          <w:rFonts w:ascii="Times New Roman" w:hAnsi="Times New Roman"/>
          <w:sz w:val="24"/>
          <w:szCs w:val="24"/>
        </w:rPr>
        <w:t>.</w:t>
      </w:r>
    </w:p>
    <w:p w14:paraId="09F723B8" w14:textId="77777777" w:rsidR="008575FB" w:rsidRDefault="008575FB">
      <w:pPr>
        <w:pStyle w:val="Body"/>
        <w:jc w:val="both"/>
        <w:rPr>
          <w:rFonts w:ascii="Times New Roman" w:eastAsia="Times New Roman" w:hAnsi="Times New Roman" w:cs="Times New Roman"/>
          <w:sz w:val="24"/>
          <w:szCs w:val="24"/>
        </w:rPr>
      </w:pPr>
    </w:p>
    <w:p w14:paraId="6922003D"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 xml:space="preserve">Due to frequent drought, the Moroccan government reoriented its agricultural policy in 1995 from self-sufficiency towards </w:t>
      </w:r>
      <w:r>
        <w:rPr>
          <w:rFonts w:ascii="Times New Roman" w:hAnsi="Times New Roman"/>
          <w:sz w:val="24"/>
          <w:szCs w:val="24"/>
        </w:rPr>
        <w:t>“</w:t>
      </w:r>
      <w:r>
        <w:rPr>
          <w:rFonts w:ascii="Times New Roman" w:hAnsi="Times New Roman"/>
          <w:sz w:val="24"/>
          <w:szCs w:val="24"/>
        </w:rPr>
        <w:t>guaranteed food security.</w:t>
      </w:r>
      <w:r>
        <w:rPr>
          <w:rFonts w:ascii="Times New Roman" w:hAnsi="Times New Roman"/>
          <w:sz w:val="24"/>
          <w:szCs w:val="24"/>
        </w:rPr>
        <w:t xml:space="preserve">” </w:t>
      </w:r>
      <w:r>
        <w:rPr>
          <w:rFonts w:ascii="Times New Roman" w:hAnsi="Times New Roman"/>
          <w:sz w:val="24"/>
          <w:szCs w:val="24"/>
        </w:rPr>
        <w:t>Agricultural production represented 40 perc</w:t>
      </w:r>
      <w:r>
        <w:rPr>
          <w:rFonts w:ascii="Times New Roman" w:hAnsi="Times New Roman"/>
          <w:sz w:val="24"/>
          <w:szCs w:val="24"/>
        </w:rPr>
        <w:t>ent of Moroccan labor force and its share of GDP declined from nearly 20 percent in the mid-80s to less than 15 percent in 1995. Under commitments of relevant WTO agreements, progressive liberalization of the agricultural sector was expected. Other aspects</w:t>
      </w:r>
      <w:r>
        <w:rPr>
          <w:rFonts w:ascii="Times New Roman" w:hAnsi="Times New Roman"/>
          <w:sz w:val="24"/>
          <w:szCs w:val="24"/>
        </w:rPr>
        <w:t xml:space="preserve"> of the 1995 trade policy included diversification of industrial exports, revitalization of the motor vehicle sector, as well as expansion of the services and banking sectors (WTO, 1995).</w:t>
      </w:r>
    </w:p>
    <w:p w14:paraId="58701F6B" w14:textId="77777777" w:rsidR="008575FB" w:rsidRDefault="008575FB">
      <w:pPr>
        <w:pStyle w:val="Body"/>
        <w:jc w:val="both"/>
        <w:rPr>
          <w:rFonts w:ascii="Times New Roman" w:eastAsia="Times New Roman" w:hAnsi="Times New Roman" w:cs="Times New Roman"/>
          <w:sz w:val="24"/>
          <w:szCs w:val="24"/>
        </w:rPr>
      </w:pPr>
    </w:p>
    <w:p w14:paraId="60721DFE" w14:textId="77777777" w:rsidR="008575FB" w:rsidRDefault="00176BDB">
      <w:pPr>
        <w:pStyle w:val="Body"/>
        <w:jc w:val="both"/>
        <w:rPr>
          <w:rFonts w:ascii="Times New Roman" w:eastAsia="Times New Roman" w:hAnsi="Times New Roman" w:cs="Times New Roman"/>
          <w:i/>
          <w:iCs/>
          <w:sz w:val="24"/>
          <w:szCs w:val="24"/>
        </w:rPr>
      </w:pPr>
      <w:r>
        <w:rPr>
          <w:rFonts w:ascii="Times New Roman" w:hAnsi="Times New Roman"/>
          <w:i/>
          <w:iCs/>
          <w:sz w:val="24"/>
          <w:szCs w:val="24"/>
        </w:rPr>
        <w:t>From 1996 to 2003</w:t>
      </w:r>
    </w:p>
    <w:p w14:paraId="14F5761D" w14:textId="77777777" w:rsidR="008575FB" w:rsidRDefault="008575FB">
      <w:pPr>
        <w:pStyle w:val="Body"/>
        <w:jc w:val="both"/>
        <w:rPr>
          <w:rFonts w:ascii="Times New Roman" w:eastAsia="Times New Roman" w:hAnsi="Times New Roman" w:cs="Times New Roman"/>
          <w:sz w:val="24"/>
          <w:szCs w:val="24"/>
        </w:rPr>
      </w:pPr>
    </w:p>
    <w:p w14:paraId="27C0EC09"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In the years preceding and succeeding 2000, Moro</w:t>
      </w:r>
      <w:r>
        <w:rPr>
          <w:rFonts w:ascii="Times New Roman" w:hAnsi="Times New Roman"/>
          <w:sz w:val="24"/>
          <w:szCs w:val="24"/>
        </w:rPr>
        <w:t>cco signed a number of bilateral trade agreements. Negotiations for a Morocco-EU Free Trade Agreement began in 1992. Prior to the talks, Morocco enjoyed free access to EU</w:t>
      </w:r>
      <w:r>
        <w:rPr>
          <w:rFonts w:ascii="Times New Roman" w:hAnsi="Times New Roman"/>
          <w:sz w:val="24"/>
          <w:szCs w:val="24"/>
        </w:rPr>
        <w:t>’</w:t>
      </w:r>
      <w:r>
        <w:rPr>
          <w:rFonts w:ascii="Times New Roman" w:hAnsi="Times New Roman"/>
          <w:sz w:val="24"/>
          <w:szCs w:val="24"/>
        </w:rPr>
        <w:t>s markets in industrial products, but EU</w:t>
      </w:r>
      <w:r>
        <w:rPr>
          <w:rFonts w:ascii="Times New Roman" w:hAnsi="Times New Roman"/>
          <w:sz w:val="24"/>
          <w:szCs w:val="24"/>
        </w:rPr>
        <w:t>’</w:t>
      </w:r>
      <w:r>
        <w:rPr>
          <w:rFonts w:ascii="Times New Roman" w:hAnsi="Times New Roman"/>
          <w:sz w:val="24"/>
          <w:szCs w:val="24"/>
        </w:rPr>
        <w:t>s agricultural protection policies restricte</w:t>
      </w:r>
      <w:r>
        <w:rPr>
          <w:rFonts w:ascii="Times New Roman" w:hAnsi="Times New Roman"/>
          <w:sz w:val="24"/>
          <w:szCs w:val="24"/>
        </w:rPr>
        <w:t>d Moroccan exports in fruits and vegetables. The FTA was thought of as an important channel to improve Morocco</w:t>
      </w:r>
      <w:r>
        <w:rPr>
          <w:rFonts w:ascii="Times New Roman" w:hAnsi="Times New Roman"/>
          <w:sz w:val="24"/>
          <w:szCs w:val="24"/>
        </w:rPr>
        <w:t>’</w:t>
      </w:r>
      <w:r>
        <w:rPr>
          <w:rFonts w:ascii="Times New Roman" w:hAnsi="Times New Roman"/>
          <w:sz w:val="24"/>
          <w:szCs w:val="24"/>
        </w:rPr>
        <w:t>s access to EU markets. By some estimates, Morocco</w:t>
      </w:r>
      <w:r>
        <w:rPr>
          <w:rFonts w:ascii="Times New Roman" w:hAnsi="Times New Roman"/>
          <w:sz w:val="24"/>
          <w:szCs w:val="24"/>
        </w:rPr>
        <w:t>’</w:t>
      </w:r>
      <w:r>
        <w:rPr>
          <w:rFonts w:ascii="Times New Roman" w:hAnsi="Times New Roman"/>
          <w:sz w:val="24"/>
          <w:szCs w:val="24"/>
        </w:rPr>
        <w:t>s tariff reductions against the EU under the reciprocal FTA had the potential to provide addit</w:t>
      </w:r>
      <w:r>
        <w:rPr>
          <w:rFonts w:ascii="Times New Roman" w:hAnsi="Times New Roman"/>
          <w:sz w:val="24"/>
          <w:szCs w:val="24"/>
        </w:rPr>
        <w:t xml:space="preserve">ional trade liberalization benefits to Morocco, amounting to about 1.5% of GDP (Rutherford et al., 1997). The benefits would add up </w:t>
      </w:r>
      <w:r>
        <w:rPr>
          <w:rFonts w:ascii="Times New Roman" w:hAnsi="Times New Roman"/>
          <w:sz w:val="24"/>
          <w:szCs w:val="24"/>
        </w:rPr>
        <w:lastRenderedPageBreak/>
        <w:t>to 2.5% if Morocco added trade liberalization with the rest of the world to the free trade agreement; in this scenario, mini</w:t>
      </w:r>
      <w:r>
        <w:rPr>
          <w:rFonts w:ascii="Times New Roman" w:hAnsi="Times New Roman"/>
          <w:sz w:val="24"/>
          <w:szCs w:val="24"/>
        </w:rPr>
        <w:t>mal trade diversion costs were offset by large trade creation effects (</w:t>
      </w:r>
      <w:r>
        <w:rPr>
          <w:rFonts w:ascii="Times New Roman" w:hAnsi="Times New Roman"/>
          <w:sz w:val="24"/>
          <w:szCs w:val="24"/>
        </w:rPr>
        <w:t>Rutherford et al., 1997</w:t>
      </w:r>
      <w:r>
        <w:rPr>
          <w:rFonts w:ascii="Times New Roman" w:hAnsi="Times New Roman"/>
          <w:sz w:val="24"/>
          <w:szCs w:val="24"/>
        </w:rPr>
        <w:t xml:space="preserve">). The Morocco-EU Free Trade Agreement officially entered into force in March, 2000. In addition, Morocco also signed the Agreement on the Global System of Trade </w:t>
      </w:r>
      <w:r>
        <w:rPr>
          <w:rFonts w:ascii="Times New Roman" w:hAnsi="Times New Roman"/>
          <w:sz w:val="24"/>
          <w:szCs w:val="24"/>
        </w:rPr>
        <w:t>Preferences (GSTP) among developing countries. A framework agreement on the Trade Preference System (TPS) among Islamic countries became effective in 2003 (WTO, 2003).</w:t>
      </w:r>
    </w:p>
    <w:p w14:paraId="2F2BE345" w14:textId="77777777" w:rsidR="008575FB" w:rsidRDefault="008575FB">
      <w:pPr>
        <w:pStyle w:val="Body"/>
        <w:jc w:val="both"/>
        <w:rPr>
          <w:rFonts w:ascii="Times New Roman" w:eastAsia="Times New Roman" w:hAnsi="Times New Roman" w:cs="Times New Roman"/>
          <w:sz w:val="24"/>
          <w:szCs w:val="24"/>
        </w:rPr>
      </w:pPr>
    </w:p>
    <w:p w14:paraId="41BAAB47"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Morocco</w:t>
      </w:r>
      <w:r>
        <w:rPr>
          <w:rFonts w:ascii="Times New Roman" w:hAnsi="Times New Roman"/>
          <w:sz w:val="24"/>
          <w:szCs w:val="24"/>
        </w:rPr>
        <w:t>’</w:t>
      </w:r>
      <w:r>
        <w:rPr>
          <w:rFonts w:ascii="Times New Roman" w:hAnsi="Times New Roman"/>
          <w:sz w:val="24"/>
          <w:szCs w:val="24"/>
        </w:rPr>
        <w:t>s trade deficit continued into the early 2000s. By 2003, 62 percent of Moroccan</w:t>
      </w:r>
      <w:r>
        <w:rPr>
          <w:rFonts w:ascii="Times New Roman" w:hAnsi="Times New Roman"/>
          <w:sz w:val="24"/>
          <w:szCs w:val="24"/>
        </w:rPr>
        <w:t xml:space="preserve"> imports were manufactures, mostly textile in connection to sub-contracting with partners in the EU. Other major import categories include agricultural and mining products. Morocco</w:t>
      </w:r>
      <w:r>
        <w:rPr>
          <w:rFonts w:ascii="Times New Roman" w:hAnsi="Times New Roman"/>
          <w:sz w:val="24"/>
          <w:szCs w:val="24"/>
        </w:rPr>
        <w:t>’</w:t>
      </w:r>
      <w:r>
        <w:rPr>
          <w:rFonts w:ascii="Times New Roman" w:hAnsi="Times New Roman"/>
          <w:sz w:val="24"/>
          <w:szCs w:val="24"/>
        </w:rPr>
        <w:t xml:space="preserve">s </w:t>
      </w:r>
      <w:proofErr w:type="spellStart"/>
      <w:r>
        <w:rPr>
          <w:rFonts w:ascii="Times New Roman" w:hAnsi="Times New Roman"/>
          <w:sz w:val="24"/>
          <w:szCs w:val="24"/>
        </w:rPr>
        <w:t>tariffication</w:t>
      </w:r>
      <w:proofErr w:type="spellEnd"/>
      <w:r>
        <w:rPr>
          <w:rFonts w:ascii="Times New Roman" w:hAnsi="Times New Roman"/>
          <w:sz w:val="24"/>
          <w:szCs w:val="24"/>
        </w:rPr>
        <w:t xml:space="preserve"> efforts in 1996 ended the imposition of quantitative import</w:t>
      </w:r>
      <w:r>
        <w:rPr>
          <w:rFonts w:ascii="Times New Roman" w:hAnsi="Times New Roman"/>
          <w:sz w:val="24"/>
          <w:szCs w:val="24"/>
        </w:rPr>
        <w:t xml:space="preserve"> restrictions on the majority of products, and developments in the customs clearance procedure greatly enhanced the expediency and transparency of customs (WTO, 2003).</w:t>
      </w:r>
    </w:p>
    <w:p w14:paraId="31499B22" w14:textId="77777777" w:rsidR="008575FB" w:rsidRDefault="008575FB">
      <w:pPr>
        <w:pStyle w:val="Body"/>
        <w:jc w:val="both"/>
        <w:rPr>
          <w:rFonts w:ascii="Times New Roman" w:eastAsia="Times New Roman" w:hAnsi="Times New Roman" w:cs="Times New Roman"/>
          <w:sz w:val="24"/>
          <w:szCs w:val="24"/>
        </w:rPr>
      </w:pPr>
    </w:p>
    <w:p w14:paraId="6FD1471B"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 xml:space="preserve">In 2000, Morocco incorporated the fiscal import levy into customs tariffs with the aim </w:t>
      </w:r>
      <w:r>
        <w:rPr>
          <w:rFonts w:ascii="Times New Roman" w:hAnsi="Times New Roman"/>
          <w:sz w:val="24"/>
          <w:szCs w:val="24"/>
        </w:rPr>
        <w:t xml:space="preserve">of simplifying imposition at the border, but this integration, coupled with the resulting rates from </w:t>
      </w:r>
      <w:proofErr w:type="spellStart"/>
      <w:r>
        <w:rPr>
          <w:rFonts w:ascii="Times New Roman" w:hAnsi="Times New Roman"/>
          <w:sz w:val="24"/>
          <w:szCs w:val="24"/>
        </w:rPr>
        <w:t>tariffication</w:t>
      </w:r>
      <w:proofErr w:type="spellEnd"/>
      <w:r>
        <w:rPr>
          <w:rFonts w:ascii="Times New Roman" w:hAnsi="Times New Roman"/>
          <w:sz w:val="24"/>
          <w:szCs w:val="24"/>
        </w:rPr>
        <w:t xml:space="preserve"> and the disaggregation of tariff lines, increased the simple average of tariff from 23.5 percent in 1995 to 33.4 percent in 2003. Imports wer</w:t>
      </w:r>
      <w:r>
        <w:rPr>
          <w:rFonts w:ascii="Times New Roman" w:hAnsi="Times New Roman"/>
          <w:sz w:val="24"/>
          <w:szCs w:val="24"/>
        </w:rPr>
        <w:t xml:space="preserve">e also subject to a number of other duties and taxes, including the </w:t>
      </w:r>
      <w:proofErr w:type="spellStart"/>
      <w:r>
        <w:rPr>
          <w:rFonts w:ascii="Times New Roman" w:hAnsi="Times New Roman"/>
          <w:sz w:val="24"/>
          <w:szCs w:val="24"/>
        </w:rPr>
        <w:t>parafiscal</w:t>
      </w:r>
      <w:proofErr w:type="spellEnd"/>
      <w:r>
        <w:rPr>
          <w:rFonts w:ascii="Times New Roman" w:hAnsi="Times New Roman"/>
          <w:sz w:val="24"/>
          <w:szCs w:val="24"/>
        </w:rPr>
        <w:t xml:space="preserve"> import tax of 0.25 percent, the </w:t>
      </w:r>
      <w:proofErr w:type="gramStart"/>
      <w:r>
        <w:rPr>
          <w:rFonts w:ascii="Times New Roman" w:hAnsi="Times New Roman"/>
          <w:sz w:val="24"/>
          <w:szCs w:val="24"/>
        </w:rPr>
        <w:t>value added</w:t>
      </w:r>
      <w:proofErr w:type="gramEnd"/>
      <w:r>
        <w:rPr>
          <w:rFonts w:ascii="Times New Roman" w:hAnsi="Times New Roman"/>
          <w:sz w:val="24"/>
          <w:szCs w:val="24"/>
        </w:rPr>
        <w:t xml:space="preserve"> tax up to 20 percent, and domestic consumption taxes (WTO, 2003).</w:t>
      </w:r>
    </w:p>
    <w:p w14:paraId="4AA1DC41" w14:textId="77777777" w:rsidR="008575FB" w:rsidRDefault="008575FB">
      <w:pPr>
        <w:pStyle w:val="Body"/>
        <w:jc w:val="both"/>
        <w:rPr>
          <w:rFonts w:ascii="Times New Roman" w:eastAsia="Times New Roman" w:hAnsi="Times New Roman" w:cs="Times New Roman"/>
          <w:sz w:val="24"/>
          <w:szCs w:val="24"/>
        </w:rPr>
      </w:pPr>
    </w:p>
    <w:p w14:paraId="3E8B96C9"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In 2004, Morocco bound its tariff lines at ad valorem rates rangin</w:t>
      </w:r>
      <w:r>
        <w:rPr>
          <w:rFonts w:ascii="Times New Roman" w:hAnsi="Times New Roman"/>
          <w:sz w:val="24"/>
          <w:szCs w:val="24"/>
        </w:rPr>
        <w:t>g from 0 to 380 percent; non-agricultural products were bound at 40 percent. Other duties and tariffs were bound at 7.5 or 15 percent. Over one-third of the tariff line were subject to rates higher than the bound rates, and variable duties charged on 40 ag</w:t>
      </w:r>
      <w:r>
        <w:rPr>
          <w:rFonts w:ascii="Times New Roman" w:hAnsi="Times New Roman"/>
          <w:sz w:val="24"/>
          <w:szCs w:val="24"/>
        </w:rPr>
        <w:t>ricultural products represented a deviation from Morocco</w:t>
      </w:r>
      <w:r>
        <w:rPr>
          <w:rFonts w:ascii="Times New Roman" w:hAnsi="Times New Roman"/>
          <w:sz w:val="24"/>
          <w:szCs w:val="24"/>
        </w:rPr>
        <w:t>’</w:t>
      </w:r>
      <w:r>
        <w:rPr>
          <w:rFonts w:ascii="Times New Roman" w:hAnsi="Times New Roman"/>
          <w:sz w:val="24"/>
          <w:szCs w:val="24"/>
        </w:rPr>
        <w:t>s commitments under WTO rules. In addition, Morocco introduced tariff quotas for certain agricultural products. In practice, however, these quotas were not applied: all relevant products were subject</w:t>
      </w:r>
      <w:r>
        <w:rPr>
          <w:rFonts w:ascii="Times New Roman" w:hAnsi="Times New Roman"/>
          <w:sz w:val="24"/>
          <w:szCs w:val="24"/>
        </w:rPr>
        <w:t xml:space="preserve"> to the out-of-quota tariff, with the exception of fresh bananas which faced a safeguard duty of 130 percent (WTO, 2003).</w:t>
      </w:r>
    </w:p>
    <w:p w14:paraId="0C246973" w14:textId="77777777" w:rsidR="008575FB" w:rsidRDefault="008575FB">
      <w:pPr>
        <w:pStyle w:val="Body"/>
        <w:jc w:val="both"/>
        <w:rPr>
          <w:rFonts w:ascii="Times New Roman" w:eastAsia="Times New Roman" w:hAnsi="Times New Roman" w:cs="Times New Roman"/>
          <w:sz w:val="24"/>
          <w:szCs w:val="24"/>
        </w:rPr>
      </w:pPr>
    </w:p>
    <w:p w14:paraId="6BEE1EBE"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Agriculture remained the most protected sector, a sector threatened by drought, limited modern production equipment, and high transpo</w:t>
      </w:r>
      <w:r>
        <w:rPr>
          <w:rFonts w:ascii="Times New Roman" w:hAnsi="Times New Roman"/>
          <w:sz w:val="24"/>
          <w:szCs w:val="24"/>
        </w:rPr>
        <w:t>rtation costs. The government introduced a number of fiscal, customs and financial incentives to boost domestic agricultural production, also liberalizing prices of a large number of products. For the manufacturing sector, which experienced a slowdown in g</w:t>
      </w:r>
      <w:r>
        <w:rPr>
          <w:rFonts w:ascii="Times New Roman" w:hAnsi="Times New Roman"/>
          <w:sz w:val="24"/>
          <w:szCs w:val="24"/>
        </w:rPr>
        <w:t>rowth due to international competition, average duties in 2003 was 33 percent. The mining sector had the lowest tariff protection, averaging 22 percent (WTO, 2003).</w:t>
      </w:r>
    </w:p>
    <w:p w14:paraId="291E412E" w14:textId="77777777" w:rsidR="008575FB" w:rsidRDefault="008575FB">
      <w:pPr>
        <w:pStyle w:val="Body"/>
        <w:jc w:val="both"/>
        <w:rPr>
          <w:rFonts w:ascii="Times New Roman" w:eastAsia="Times New Roman" w:hAnsi="Times New Roman" w:cs="Times New Roman"/>
          <w:sz w:val="24"/>
          <w:szCs w:val="24"/>
        </w:rPr>
      </w:pPr>
    </w:p>
    <w:p w14:paraId="08B759C1"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In general, in the early 2000s Morocco actively participated in the multilateral trading s</w:t>
      </w:r>
      <w:r>
        <w:rPr>
          <w:rFonts w:ascii="Times New Roman" w:hAnsi="Times New Roman"/>
          <w:sz w:val="24"/>
          <w:szCs w:val="24"/>
        </w:rPr>
        <w:t>ystem and in various regional and bilateral agreements, but it experienced difficulties meeting its commitments on binding and customs valuation due to protectionist policies, in particular related to agriculture. Custom tariffs were sometimes imposed at r</w:t>
      </w:r>
      <w:r>
        <w:rPr>
          <w:rFonts w:ascii="Times New Roman" w:hAnsi="Times New Roman"/>
          <w:sz w:val="24"/>
          <w:szCs w:val="24"/>
        </w:rPr>
        <w:t>ates higher than the bound levels, in addition to variable duties. Moreover, mixed escalation of tariffs hindered certain domestic production activities, particularly semi-finished goods. The priorities for reform lay in liberalizing the agriculture sector</w:t>
      </w:r>
      <w:r>
        <w:rPr>
          <w:rFonts w:ascii="Times New Roman" w:hAnsi="Times New Roman"/>
          <w:sz w:val="24"/>
          <w:szCs w:val="24"/>
        </w:rPr>
        <w:t>, abolishing variable duties, and reducing the number and levels of tariff (WTO, 2003).</w:t>
      </w:r>
    </w:p>
    <w:p w14:paraId="7CFB04FF" w14:textId="77777777" w:rsidR="008575FB" w:rsidRDefault="00176BDB">
      <w:pPr>
        <w:pStyle w:val="Body"/>
        <w:jc w:val="both"/>
        <w:rPr>
          <w:rFonts w:ascii="Times New Roman" w:eastAsia="Times New Roman" w:hAnsi="Times New Roman" w:cs="Times New Roman"/>
          <w:i/>
          <w:iCs/>
          <w:sz w:val="24"/>
          <w:szCs w:val="24"/>
        </w:rPr>
      </w:pPr>
      <w:r>
        <w:rPr>
          <w:rFonts w:ascii="Times New Roman" w:hAnsi="Times New Roman"/>
          <w:i/>
          <w:iCs/>
          <w:sz w:val="24"/>
          <w:szCs w:val="24"/>
        </w:rPr>
        <w:t>From 2004 to 2009</w:t>
      </w:r>
    </w:p>
    <w:p w14:paraId="44FB9A34" w14:textId="77777777" w:rsidR="008575FB" w:rsidRDefault="008575FB">
      <w:pPr>
        <w:pStyle w:val="Body"/>
        <w:jc w:val="both"/>
        <w:rPr>
          <w:rFonts w:ascii="Times New Roman" w:eastAsia="Times New Roman" w:hAnsi="Times New Roman" w:cs="Times New Roman"/>
          <w:sz w:val="24"/>
          <w:szCs w:val="24"/>
        </w:rPr>
      </w:pPr>
    </w:p>
    <w:p w14:paraId="0357A891"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Morocco</w:t>
      </w:r>
      <w:r>
        <w:rPr>
          <w:rFonts w:ascii="Times New Roman" w:hAnsi="Times New Roman"/>
          <w:sz w:val="24"/>
          <w:szCs w:val="24"/>
        </w:rPr>
        <w:t>’</w:t>
      </w:r>
      <w:r>
        <w:rPr>
          <w:rFonts w:ascii="Times New Roman" w:hAnsi="Times New Roman"/>
          <w:sz w:val="24"/>
          <w:szCs w:val="24"/>
        </w:rPr>
        <w:t xml:space="preserve">s GDP per capita more than doubled from 2002 to 2009, from 1386 US dollars to 2861 dollars. The economy achieved growing diversification and </w:t>
      </w:r>
      <w:r>
        <w:rPr>
          <w:rFonts w:ascii="Times New Roman" w:hAnsi="Times New Roman"/>
          <w:sz w:val="24"/>
          <w:szCs w:val="24"/>
        </w:rPr>
        <w:t>benefited from strong internal demand and increased investment. The service sector, accounting for two thirds of GDP, remained the country</w:t>
      </w:r>
      <w:r>
        <w:rPr>
          <w:rFonts w:ascii="Times New Roman" w:hAnsi="Times New Roman"/>
          <w:sz w:val="24"/>
          <w:szCs w:val="24"/>
        </w:rPr>
        <w:t>’</w:t>
      </w:r>
      <w:r>
        <w:rPr>
          <w:rFonts w:ascii="Times New Roman" w:hAnsi="Times New Roman"/>
          <w:sz w:val="24"/>
          <w:szCs w:val="24"/>
        </w:rPr>
        <w:t xml:space="preserve">s largest driver of economic growth, followed by manufacturing, agriculture, and mining. Morocco concluded bilateral </w:t>
      </w:r>
      <w:r>
        <w:rPr>
          <w:rFonts w:ascii="Times New Roman" w:hAnsi="Times New Roman"/>
          <w:sz w:val="24"/>
          <w:szCs w:val="24"/>
        </w:rPr>
        <w:t>trade agreements with the United States and Turkey in 2004. The Arab-</w:t>
      </w:r>
      <w:r>
        <w:rPr>
          <w:rFonts w:ascii="Times New Roman" w:hAnsi="Times New Roman"/>
          <w:sz w:val="24"/>
          <w:szCs w:val="24"/>
        </w:rPr>
        <w:lastRenderedPageBreak/>
        <w:t xml:space="preserve">Mediterranean Free Trade Agreement between Morocco, Egypt, Jordan and Tunisia entered into force in 2007 (WTO, 2009). </w:t>
      </w:r>
    </w:p>
    <w:p w14:paraId="54EA76D3" w14:textId="77777777" w:rsidR="008575FB" w:rsidRDefault="008575FB">
      <w:pPr>
        <w:pStyle w:val="Body"/>
        <w:jc w:val="both"/>
        <w:rPr>
          <w:rFonts w:ascii="Times New Roman" w:eastAsia="Times New Roman" w:hAnsi="Times New Roman" w:cs="Times New Roman"/>
          <w:sz w:val="24"/>
          <w:szCs w:val="24"/>
        </w:rPr>
      </w:pPr>
    </w:p>
    <w:p w14:paraId="41DD66AD"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Since 2003, Morocco had continued to engage in trade facilitation procedures. In January 2009, more than 90 percent of Moroccan imports go through customs with a computerized procedure. Customs duties were lowered such that the simple arithmetic average of</w:t>
      </w:r>
      <w:r>
        <w:rPr>
          <w:rFonts w:ascii="Times New Roman" w:hAnsi="Times New Roman"/>
          <w:sz w:val="24"/>
          <w:szCs w:val="24"/>
        </w:rPr>
        <w:t xml:space="preserve"> duties fell by 13.2 percent since 2002 to 20.2 percent in 2009, particularly in the manufacturing sector (textiles and transport </w:t>
      </w:r>
      <w:proofErr w:type="spellStart"/>
      <w:r>
        <w:rPr>
          <w:rFonts w:ascii="Times New Roman" w:hAnsi="Times New Roman"/>
          <w:sz w:val="24"/>
          <w:szCs w:val="24"/>
        </w:rPr>
        <w:t>equipments</w:t>
      </w:r>
      <w:proofErr w:type="spellEnd"/>
      <w:r>
        <w:rPr>
          <w:rFonts w:ascii="Times New Roman" w:hAnsi="Times New Roman"/>
          <w:sz w:val="24"/>
          <w:szCs w:val="24"/>
        </w:rPr>
        <w:t>). Similar to previous periods, variable duties and a generally high tariff applies to agricultural products (45.5 p</w:t>
      </w:r>
      <w:r>
        <w:rPr>
          <w:rFonts w:ascii="Times New Roman" w:hAnsi="Times New Roman"/>
          <w:sz w:val="24"/>
          <w:szCs w:val="24"/>
        </w:rPr>
        <w:t xml:space="preserve">ercent on average) and lower tariff apply to non-agricultural products (16.3 percent on average excluding petroleum) </w:t>
      </w:r>
      <w:r>
        <w:rPr>
          <w:rFonts w:ascii="Times New Roman" w:hAnsi="Times New Roman"/>
          <w:sz w:val="24"/>
          <w:szCs w:val="24"/>
        </w:rPr>
        <w:t>(WTO, 2009)</w:t>
      </w:r>
      <w:r>
        <w:rPr>
          <w:rFonts w:ascii="Times New Roman" w:hAnsi="Times New Roman"/>
          <w:sz w:val="24"/>
          <w:szCs w:val="24"/>
        </w:rPr>
        <w:t>.</w:t>
      </w:r>
    </w:p>
    <w:p w14:paraId="65B8D582" w14:textId="77777777" w:rsidR="008575FB" w:rsidRDefault="008575FB">
      <w:pPr>
        <w:pStyle w:val="Body"/>
        <w:jc w:val="both"/>
        <w:rPr>
          <w:rFonts w:ascii="Times New Roman" w:eastAsia="Times New Roman" w:hAnsi="Times New Roman" w:cs="Times New Roman"/>
          <w:sz w:val="24"/>
          <w:szCs w:val="24"/>
        </w:rPr>
      </w:pPr>
    </w:p>
    <w:p w14:paraId="7EE3D42F"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 xml:space="preserve">For a number of tariff line items (1373), the applied customs duty was higher than the bound duty. Although the number of </w:t>
      </w:r>
      <w:r>
        <w:rPr>
          <w:rFonts w:ascii="Times New Roman" w:hAnsi="Times New Roman"/>
          <w:sz w:val="24"/>
          <w:szCs w:val="24"/>
        </w:rPr>
        <w:t>tariff lines in the same situation was 5887 in 2002, this did not bide well for Morocco</w:t>
      </w:r>
      <w:r>
        <w:rPr>
          <w:rFonts w:ascii="Times New Roman" w:hAnsi="Times New Roman"/>
          <w:sz w:val="24"/>
          <w:szCs w:val="24"/>
        </w:rPr>
        <w:t>’</w:t>
      </w:r>
      <w:r>
        <w:rPr>
          <w:rFonts w:ascii="Times New Roman" w:hAnsi="Times New Roman"/>
          <w:sz w:val="24"/>
          <w:szCs w:val="24"/>
        </w:rPr>
        <w:t xml:space="preserve">s commitments to tariff bindings or WTO customs valuation rules. Moroccan policies for other duties and taxes (e.g. </w:t>
      </w:r>
      <w:proofErr w:type="spellStart"/>
      <w:r>
        <w:rPr>
          <w:rFonts w:ascii="Times New Roman" w:hAnsi="Times New Roman"/>
          <w:sz w:val="24"/>
          <w:szCs w:val="24"/>
        </w:rPr>
        <w:t>parafiscal</w:t>
      </w:r>
      <w:proofErr w:type="spellEnd"/>
      <w:r>
        <w:rPr>
          <w:rFonts w:ascii="Times New Roman" w:hAnsi="Times New Roman"/>
          <w:sz w:val="24"/>
          <w:szCs w:val="24"/>
        </w:rPr>
        <w:t xml:space="preserve"> import tax, value added tax) and tariff q</w:t>
      </w:r>
      <w:r>
        <w:rPr>
          <w:rFonts w:ascii="Times New Roman" w:hAnsi="Times New Roman"/>
          <w:sz w:val="24"/>
          <w:szCs w:val="24"/>
        </w:rPr>
        <w:t>uotas facing agricultural products (which were not applied in reality because out-of-quota tariffs were lower than in-quota duties) remained the same since 2003. The government had taken steps to shorten the number of goods and services subject to price co</w:t>
      </w:r>
      <w:r>
        <w:rPr>
          <w:rFonts w:ascii="Times New Roman" w:hAnsi="Times New Roman"/>
          <w:sz w:val="24"/>
          <w:szCs w:val="24"/>
        </w:rPr>
        <w:t xml:space="preserve">ntrols. Moreover, export taxes were abolished by 2008 </w:t>
      </w:r>
      <w:r>
        <w:rPr>
          <w:rFonts w:ascii="Times New Roman" w:hAnsi="Times New Roman"/>
          <w:sz w:val="24"/>
          <w:szCs w:val="24"/>
        </w:rPr>
        <w:t>(WTO, 2009)</w:t>
      </w:r>
      <w:r>
        <w:rPr>
          <w:rFonts w:ascii="Times New Roman" w:hAnsi="Times New Roman"/>
          <w:sz w:val="24"/>
          <w:szCs w:val="24"/>
        </w:rPr>
        <w:t>.</w:t>
      </w:r>
    </w:p>
    <w:p w14:paraId="055007DD" w14:textId="77777777" w:rsidR="008575FB" w:rsidRDefault="008575FB">
      <w:pPr>
        <w:pStyle w:val="Body"/>
        <w:jc w:val="both"/>
        <w:rPr>
          <w:rFonts w:ascii="Times New Roman" w:eastAsia="Times New Roman" w:hAnsi="Times New Roman" w:cs="Times New Roman"/>
          <w:sz w:val="24"/>
          <w:szCs w:val="24"/>
        </w:rPr>
      </w:pPr>
    </w:p>
    <w:p w14:paraId="6A4A5544"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Notable progress was observed in the tourism sector, which took over remittances as the main source of foreign exchange for Morocco. Under sectoral policy reforms, the telecommunications s</w:t>
      </w:r>
      <w:r>
        <w:rPr>
          <w:rFonts w:ascii="Times New Roman" w:hAnsi="Times New Roman"/>
          <w:sz w:val="24"/>
          <w:szCs w:val="24"/>
        </w:rPr>
        <w:t xml:space="preserve">ector and banking services both expanded rapidly. The agricultural sector, while still the most protected sector in Morocco, benefited from public investment and numerous financial </w:t>
      </w:r>
      <w:proofErr w:type="gramStart"/>
      <w:r>
        <w:rPr>
          <w:rFonts w:ascii="Times New Roman" w:hAnsi="Times New Roman"/>
          <w:sz w:val="24"/>
          <w:szCs w:val="24"/>
        </w:rPr>
        <w:t xml:space="preserve">incentives </w:t>
      </w:r>
      <w:r>
        <w:rPr>
          <w:rFonts w:ascii="Times New Roman" w:hAnsi="Times New Roman"/>
          <w:sz w:val="24"/>
          <w:szCs w:val="24"/>
        </w:rPr>
        <w:t xml:space="preserve"> (</w:t>
      </w:r>
      <w:proofErr w:type="gramEnd"/>
      <w:r>
        <w:rPr>
          <w:rFonts w:ascii="Times New Roman" w:hAnsi="Times New Roman"/>
          <w:sz w:val="24"/>
          <w:szCs w:val="24"/>
        </w:rPr>
        <w:t>WTO, 2009)</w:t>
      </w:r>
      <w:r>
        <w:rPr>
          <w:rFonts w:ascii="Times New Roman" w:hAnsi="Times New Roman"/>
          <w:sz w:val="24"/>
          <w:szCs w:val="24"/>
        </w:rPr>
        <w:t xml:space="preserve">. </w:t>
      </w:r>
    </w:p>
    <w:p w14:paraId="40B60372" w14:textId="77777777" w:rsidR="008575FB" w:rsidRDefault="008575FB">
      <w:pPr>
        <w:pStyle w:val="Body"/>
        <w:jc w:val="both"/>
        <w:rPr>
          <w:rFonts w:ascii="Times New Roman" w:eastAsia="Times New Roman" w:hAnsi="Times New Roman" w:cs="Times New Roman"/>
          <w:sz w:val="24"/>
          <w:szCs w:val="24"/>
        </w:rPr>
      </w:pPr>
    </w:p>
    <w:p w14:paraId="21AEFBEA" w14:textId="77777777" w:rsidR="008575FB" w:rsidRDefault="00176BDB">
      <w:pPr>
        <w:pStyle w:val="Body"/>
        <w:jc w:val="both"/>
        <w:rPr>
          <w:rFonts w:ascii="Times New Roman" w:eastAsia="Times New Roman" w:hAnsi="Times New Roman" w:cs="Times New Roman"/>
          <w:i/>
          <w:iCs/>
          <w:sz w:val="24"/>
          <w:szCs w:val="24"/>
        </w:rPr>
      </w:pPr>
      <w:r>
        <w:rPr>
          <w:rFonts w:ascii="Times New Roman" w:hAnsi="Times New Roman"/>
          <w:i/>
          <w:iCs/>
          <w:sz w:val="24"/>
          <w:szCs w:val="24"/>
        </w:rPr>
        <w:t>From 2010 to 2017</w:t>
      </w:r>
    </w:p>
    <w:p w14:paraId="51030F22" w14:textId="77777777" w:rsidR="008575FB" w:rsidRDefault="008575FB">
      <w:pPr>
        <w:pStyle w:val="Body"/>
        <w:jc w:val="both"/>
        <w:rPr>
          <w:rFonts w:ascii="Times New Roman" w:eastAsia="Times New Roman" w:hAnsi="Times New Roman" w:cs="Times New Roman"/>
          <w:sz w:val="24"/>
          <w:szCs w:val="24"/>
        </w:rPr>
      </w:pPr>
    </w:p>
    <w:p w14:paraId="7D685DFE"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After the 2008 financial cris</w:t>
      </w:r>
      <w:r>
        <w:rPr>
          <w:rFonts w:ascii="Times New Roman" w:hAnsi="Times New Roman"/>
          <w:sz w:val="24"/>
          <w:szCs w:val="24"/>
        </w:rPr>
        <w:t>is, Morocco</w:t>
      </w:r>
      <w:r>
        <w:rPr>
          <w:rFonts w:ascii="Times New Roman" w:hAnsi="Times New Roman"/>
          <w:sz w:val="24"/>
          <w:szCs w:val="24"/>
        </w:rPr>
        <w:t>’</w:t>
      </w:r>
      <w:r>
        <w:rPr>
          <w:rFonts w:ascii="Times New Roman" w:hAnsi="Times New Roman"/>
          <w:sz w:val="24"/>
          <w:szCs w:val="24"/>
        </w:rPr>
        <w:t>s international trade and investment environment were especially responsive to the reforms introduced. Between 2009 and 2014, goods exports grew more than 10 percent annually; goods imports grew even faster, widening Morocco</w:t>
      </w:r>
      <w:r>
        <w:rPr>
          <w:rFonts w:ascii="Times New Roman" w:hAnsi="Times New Roman"/>
          <w:sz w:val="24"/>
          <w:szCs w:val="24"/>
        </w:rPr>
        <w:t>’</w:t>
      </w:r>
      <w:r>
        <w:rPr>
          <w:rFonts w:ascii="Times New Roman" w:hAnsi="Times New Roman"/>
          <w:sz w:val="24"/>
          <w:szCs w:val="24"/>
        </w:rPr>
        <w:t>s trade deficit. On</w:t>
      </w:r>
      <w:r>
        <w:rPr>
          <w:rFonts w:ascii="Times New Roman" w:hAnsi="Times New Roman"/>
          <w:sz w:val="24"/>
          <w:szCs w:val="24"/>
        </w:rPr>
        <w:t xml:space="preserve"> the other hand, service exports continued their dynamic growth, totaling 60 percent of Moroccan goods exports</w:t>
      </w:r>
      <w:r>
        <w:rPr>
          <w:rFonts w:ascii="Times New Roman" w:hAnsi="Times New Roman"/>
          <w:sz w:val="24"/>
          <w:szCs w:val="24"/>
        </w:rPr>
        <w:t xml:space="preserve"> (WTO, 2016)</w:t>
      </w:r>
      <w:r>
        <w:rPr>
          <w:rFonts w:ascii="Times New Roman" w:hAnsi="Times New Roman"/>
          <w:sz w:val="24"/>
          <w:szCs w:val="24"/>
        </w:rPr>
        <w:t>. As a result, Morocco</w:t>
      </w:r>
      <w:r>
        <w:rPr>
          <w:rFonts w:ascii="Times New Roman" w:hAnsi="Times New Roman"/>
          <w:sz w:val="24"/>
          <w:szCs w:val="24"/>
        </w:rPr>
        <w:t>’</w:t>
      </w:r>
      <w:r>
        <w:rPr>
          <w:rFonts w:ascii="Times New Roman" w:hAnsi="Times New Roman"/>
          <w:sz w:val="24"/>
          <w:szCs w:val="24"/>
        </w:rPr>
        <w:t>s current account balance declined from nearly 10 percent of GDP in 2012 to 4.8 percent in 2019.</w:t>
      </w:r>
    </w:p>
    <w:p w14:paraId="27EAE6E4" w14:textId="77777777" w:rsidR="008575FB" w:rsidRDefault="008575FB">
      <w:pPr>
        <w:pStyle w:val="Body"/>
        <w:jc w:val="both"/>
        <w:rPr>
          <w:rFonts w:ascii="Times New Roman" w:eastAsia="Times New Roman" w:hAnsi="Times New Roman" w:cs="Times New Roman"/>
          <w:sz w:val="24"/>
          <w:szCs w:val="24"/>
        </w:rPr>
      </w:pPr>
    </w:p>
    <w:p w14:paraId="79A877FD"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Morocco and t</w:t>
      </w:r>
      <w:r>
        <w:rPr>
          <w:rFonts w:ascii="Times New Roman" w:hAnsi="Times New Roman"/>
          <w:sz w:val="24"/>
          <w:szCs w:val="24"/>
        </w:rPr>
        <w:t>he EU reached a protocol on trade in agricultural products in 2012, yet Morocco still imposes many non-tariff barriers on its agricultural imports: threshold or minimum entry prices, seasonal restrictions depending on domestic production, and other forms o</w:t>
      </w:r>
      <w:r>
        <w:rPr>
          <w:rFonts w:ascii="Times New Roman" w:hAnsi="Times New Roman"/>
          <w:sz w:val="24"/>
          <w:szCs w:val="24"/>
        </w:rPr>
        <w:t xml:space="preserve">f quotas. Since 2009, Morocco has continued efforts to facilitate the computerization of customs procedures, shortening the time during which goods remain in customs zones and ports. A framework agreement between customs and the tax authority also reduced </w:t>
      </w:r>
      <w:r>
        <w:rPr>
          <w:rFonts w:ascii="Times New Roman" w:hAnsi="Times New Roman"/>
          <w:sz w:val="24"/>
          <w:szCs w:val="24"/>
        </w:rPr>
        <w:t>the complexity of Morocco</w:t>
      </w:r>
      <w:r>
        <w:rPr>
          <w:rFonts w:ascii="Times New Roman" w:hAnsi="Times New Roman"/>
          <w:sz w:val="24"/>
          <w:szCs w:val="24"/>
        </w:rPr>
        <w:t>’</w:t>
      </w:r>
      <w:r>
        <w:rPr>
          <w:rFonts w:ascii="Times New Roman" w:hAnsi="Times New Roman"/>
          <w:sz w:val="24"/>
          <w:szCs w:val="24"/>
        </w:rPr>
        <w:t>s tax system facing imports (WTO, 2016).</w:t>
      </w:r>
    </w:p>
    <w:p w14:paraId="4F1029D5" w14:textId="77777777" w:rsidR="008575FB" w:rsidRDefault="008575FB">
      <w:pPr>
        <w:pStyle w:val="Body"/>
        <w:jc w:val="both"/>
        <w:rPr>
          <w:rFonts w:ascii="Times New Roman" w:eastAsia="Times New Roman" w:hAnsi="Times New Roman" w:cs="Times New Roman"/>
          <w:sz w:val="24"/>
          <w:szCs w:val="24"/>
        </w:rPr>
      </w:pPr>
    </w:p>
    <w:p w14:paraId="3A21B336"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Since 2009, Morocco undertook major reforms that caused the average MFN tariff to fall from 20.2 percent in 2009 to 10.5 percent in 2017. The trade weighted average rate for agricultural p</w:t>
      </w:r>
      <w:r>
        <w:rPr>
          <w:rFonts w:ascii="Times New Roman" w:hAnsi="Times New Roman"/>
          <w:sz w:val="24"/>
          <w:szCs w:val="24"/>
        </w:rPr>
        <w:t xml:space="preserve">roducts decreased from 44.5 percent to 16 percent in 2017. Still, as signs of agricultural protection, over one-third of agricultural imports faced tariff above 25 percent, with animal and dairy products facing tariffs averaging 69.8 and 50.9 percent </w:t>
      </w:r>
      <w:r>
        <w:rPr>
          <w:rFonts w:ascii="Times New Roman" w:hAnsi="Times New Roman"/>
          <w:sz w:val="24"/>
          <w:szCs w:val="24"/>
          <w:lang w:val="de-DE"/>
        </w:rPr>
        <w:t xml:space="preserve">(WTO </w:t>
      </w:r>
      <w:r>
        <w:rPr>
          <w:rFonts w:ascii="Times New Roman" w:hAnsi="Times New Roman"/>
          <w:sz w:val="24"/>
          <w:szCs w:val="24"/>
          <w:lang w:val="de-DE"/>
        </w:rPr>
        <w:t xml:space="preserve">World </w:t>
      </w:r>
      <w:proofErr w:type="spellStart"/>
      <w:r>
        <w:rPr>
          <w:rFonts w:ascii="Times New Roman" w:hAnsi="Times New Roman"/>
          <w:sz w:val="24"/>
          <w:szCs w:val="24"/>
          <w:lang w:val="de-DE"/>
        </w:rPr>
        <w:t>Tariff</w:t>
      </w:r>
      <w:proofErr w:type="spellEnd"/>
      <w:r>
        <w:rPr>
          <w:rFonts w:ascii="Times New Roman" w:hAnsi="Times New Roman"/>
          <w:sz w:val="24"/>
          <w:szCs w:val="24"/>
          <w:lang w:val="de-DE"/>
        </w:rPr>
        <w:t xml:space="preserve"> </w:t>
      </w:r>
      <w:proofErr w:type="spellStart"/>
      <w:r>
        <w:rPr>
          <w:rFonts w:ascii="Times New Roman" w:hAnsi="Times New Roman"/>
          <w:sz w:val="24"/>
          <w:szCs w:val="24"/>
          <w:lang w:val="de-DE"/>
        </w:rPr>
        <w:t>Profiles</w:t>
      </w:r>
      <w:proofErr w:type="spellEnd"/>
      <w:r>
        <w:rPr>
          <w:rFonts w:ascii="Times New Roman" w:hAnsi="Times New Roman"/>
          <w:sz w:val="24"/>
          <w:szCs w:val="24"/>
          <w:lang w:val="de-DE"/>
        </w:rPr>
        <w:t xml:space="preserve"> 2019)</w:t>
      </w:r>
      <w:r>
        <w:rPr>
          <w:rFonts w:ascii="Times New Roman" w:hAnsi="Times New Roman"/>
          <w:sz w:val="24"/>
          <w:szCs w:val="24"/>
        </w:rPr>
        <w:t xml:space="preserve">. A smaller number of agricultural imports now face variable duties compared to 2009. Average tariff for non-agricultural products declined from 16.3 percent to 9.1 percent in 2017 (WTO, 2016). </w:t>
      </w:r>
    </w:p>
    <w:p w14:paraId="39E4E87F" w14:textId="77777777" w:rsidR="008575FB" w:rsidRDefault="008575FB">
      <w:pPr>
        <w:pStyle w:val="Body"/>
        <w:jc w:val="both"/>
        <w:rPr>
          <w:rFonts w:ascii="Times New Roman" w:eastAsia="Times New Roman" w:hAnsi="Times New Roman" w:cs="Times New Roman"/>
          <w:sz w:val="24"/>
          <w:szCs w:val="24"/>
        </w:rPr>
      </w:pPr>
    </w:p>
    <w:p w14:paraId="1DB82DB9"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In 2008, the Government of Morocc</w:t>
      </w:r>
      <w:r>
        <w:rPr>
          <w:rFonts w:ascii="Times New Roman" w:hAnsi="Times New Roman"/>
          <w:sz w:val="24"/>
          <w:szCs w:val="24"/>
        </w:rPr>
        <w:t xml:space="preserve">o launched the Plan </w:t>
      </w:r>
      <w:proofErr w:type="spellStart"/>
      <w:r>
        <w:rPr>
          <w:rFonts w:ascii="Times New Roman" w:hAnsi="Times New Roman"/>
          <w:sz w:val="24"/>
          <w:szCs w:val="24"/>
        </w:rPr>
        <w:t>Maroc</w:t>
      </w:r>
      <w:proofErr w:type="spellEnd"/>
      <w:r>
        <w:rPr>
          <w:rFonts w:ascii="Times New Roman" w:hAnsi="Times New Roman"/>
          <w:sz w:val="24"/>
          <w:szCs w:val="24"/>
        </w:rPr>
        <w:t xml:space="preserve"> Vert (Green Morocco Plan) for sustainable agricultural development. The objectives of the plan were to protect traditional production </w:t>
      </w:r>
      <w:r>
        <w:rPr>
          <w:rFonts w:ascii="Times New Roman" w:hAnsi="Times New Roman"/>
          <w:sz w:val="24"/>
          <w:szCs w:val="24"/>
        </w:rPr>
        <w:lastRenderedPageBreak/>
        <w:t>sectors from foreign competition and to promote local processing of imported inputs. Through the</w:t>
      </w:r>
      <w:r>
        <w:rPr>
          <w:rFonts w:ascii="Times New Roman" w:hAnsi="Times New Roman"/>
          <w:sz w:val="24"/>
          <w:szCs w:val="24"/>
        </w:rPr>
        <w:t xml:space="preserve"> principle of tariff escalation, Morocco applied higher duties on agricultural product imports with higher levels of processing, thereby replacing imports of finished gods with domestic productions to narrow the trade deficit (WTO, 2016).</w:t>
      </w:r>
    </w:p>
    <w:p w14:paraId="3DBEE707" w14:textId="77777777" w:rsidR="008575FB" w:rsidRDefault="008575FB">
      <w:pPr>
        <w:pStyle w:val="Body"/>
        <w:jc w:val="both"/>
        <w:rPr>
          <w:rFonts w:ascii="Times New Roman" w:eastAsia="Times New Roman" w:hAnsi="Times New Roman" w:cs="Times New Roman"/>
          <w:b/>
          <w:bCs/>
          <w:sz w:val="24"/>
          <w:szCs w:val="24"/>
        </w:rPr>
      </w:pPr>
    </w:p>
    <w:p w14:paraId="5FB1C2B2"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Ever since 2000,</w:t>
      </w:r>
      <w:r>
        <w:rPr>
          <w:rFonts w:ascii="Times New Roman" w:hAnsi="Times New Roman"/>
          <w:sz w:val="24"/>
          <w:szCs w:val="24"/>
        </w:rPr>
        <w:t xml:space="preserve"> when Morocco combined the tariff and the fiscal import level, a number of tariff line items faced applied duties higher than the WTO bound rates. The number of such tariff lines declined from 1373 in 2009 to 792 in 2016 as a result of Morocco</w:t>
      </w:r>
      <w:r>
        <w:rPr>
          <w:rFonts w:ascii="Times New Roman" w:hAnsi="Times New Roman"/>
          <w:sz w:val="24"/>
          <w:szCs w:val="24"/>
        </w:rPr>
        <w:t>’</w:t>
      </w:r>
      <w:r>
        <w:rPr>
          <w:rFonts w:ascii="Times New Roman" w:hAnsi="Times New Roman"/>
          <w:sz w:val="24"/>
          <w:szCs w:val="24"/>
        </w:rPr>
        <w:t>s tariff ref</w:t>
      </w:r>
      <w:r>
        <w:rPr>
          <w:rFonts w:ascii="Times New Roman" w:hAnsi="Times New Roman"/>
          <w:sz w:val="24"/>
          <w:szCs w:val="24"/>
        </w:rPr>
        <w:t xml:space="preserve">orms. Nevertheless, several other duties and taxes are still levied on imports, such as the </w:t>
      </w:r>
      <w:proofErr w:type="spellStart"/>
      <w:r>
        <w:rPr>
          <w:rFonts w:ascii="Times New Roman" w:hAnsi="Times New Roman"/>
          <w:sz w:val="24"/>
          <w:szCs w:val="24"/>
        </w:rPr>
        <w:t>parafiscal</w:t>
      </w:r>
      <w:proofErr w:type="spellEnd"/>
      <w:r>
        <w:rPr>
          <w:rFonts w:ascii="Times New Roman" w:hAnsi="Times New Roman"/>
          <w:sz w:val="24"/>
          <w:szCs w:val="24"/>
        </w:rPr>
        <w:t xml:space="preserve"> import tax, value added tax, and the </w:t>
      </w:r>
      <w:r>
        <w:rPr>
          <w:rFonts w:ascii="Times New Roman" w:hAnsi="Times New Roman"/>
          <w:sz w:val="24"/>
          <w:szCs w:val="24"/>
        </w:rPr>
        <w:t>“</w:t>
      </w:r>
      <w:r>
        <w:rPr>
          <w:rFonts w:ascii="Times New Roman" w:hAnsi="Times New Roman"/>
          <w:sz w:val="24"/>
          <w:szCs w:val="24"/>
        </w:rPr>
        <w:t>storage</w:t>
      </w:r>
      <w:r>
        <w:rPr>
          <w:rFonts w:ascii="Times New Roman" w:hAnsi="Times New Roman"/>
          <w:sz w:val="24"/>
          <w:szCs w:val="24"/>
        </w:rPr>
        <w:t xml:space="preserve">” </w:t>
      </w:r>
      <w:r>
        <w:rPr>
          <w:rFonts w:ascii="Times New Roman" w:hAnsi="Times New Roman"/>
          <w:sz w:val="24"/>
          <w:szCs w:val="24"/>
        </w:rPr>
        <w:t xml:space="preserve">tax for goods staying more than 3 days in customs (WTO, 2016). </w:t>
      </w:r>
    </w:p>
    <w:p w14:paraId="4187079F" w14:textId="77777777" w:rsidR="008575FB" w:rsidRDefault="008575FB">
      <w:pPr>
        <w:pStyle w:val="Body"/>
        <w:jc w:val="both"/>
        <w:rPr>
          <w:rFonts w:ascii="Times New Roman" w:eastAsia="Times New Roman" w:hAnsi="Times New Roman" w:cs="Times New Roman"/>
          <w:sz w:val="24"/>
          <w:szCs w:val="24"/>
        </w:rPr>
      </w:pPr>
    </w:p>
    <w:p w14:paraId="743C3A3F"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In 2015, Morocco introduced a new legal f</w:t>
      </w:r>
      <w:r>
        <w:rPr>
          <w:rFonts w:ascii="Times New Roman" w:hAnsi="Times New Roman"/>
          <w:sz w:val="24"/>
          <w:szCs w:val="24"/>
        </w:rPr>
        <w:t>ramework governing trade defense measures, setting up the Import Monitoring Commission as the agency in charge. Since 2008, several new anti-dumping and safeguard duties have entered into force, some of them involving FTA partners, in the form of quotas ab</w:t>
      </w:r>
      <w:r>
        <w:rPr>
          <w:rFonts w:ascii="Times New Roman" w:hAnsi="Times New Roman"/>
          <w:sz w:val="24"/>
          <w:szCs w:val="24"/>
        </w:rPr>
        <w:t>ove which additional duties apply. No countervailing investigations or measures have been enacted (WTO, 2016).</w:t>
      </w:r>
    </w:p>
    <w:p w14:paraId="45937AC6" w14:textId="77777777" w:rsidR="008575FB" w:rsidRDefault="008575FB">
      <w:pPr>
        <w:pStyle w:val="Body"/>
        <w:jc w:val="both"/>
        <w:rPr>
          <w:rFonts w:ascii="Times New Roman" w:eastAsia="Times New Roman" w:hAnsi="Times New Roman" w:cs="Times New Roman"/>
          <w:sz w:val="24"/>
          <w:szCs w:val="24"/>
        </w:rPr>
      </w:pPr>
    </w:p>
    <w:p w14:paraId="45D9C962"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Through significant investments in transport, telecommunications and Internet infrastructure, Morocco</w:t>
      </w:r>
      <w:r>
        <w:rPr>
          <w:rFonts w:ascii="Times New Roman" w:hAnsi="Times New Roman"/>
          <w:sz w:val="24"/>
          <w:szCs w:val="24"/>
        </w:rPr>
        <w:t>’</w:t>
      </w:r>
      <w:r>
        <w:rPr>
          <w:rFonts w:ascii="Times New Roman" w:hAnsi="Times New Roman"/>
          <w:sz w:val="24"/>
          <w:szCs w:val="24"/>
        </w:rPr>
        <w:t>s economy and foreign trade continued to g</w:t>
      </w:r>
      <w:r>
        <w:rPr>
          <w:rFonts w:ascii="Times New Roman" w:hAnsi="Times New Roman"/>
          <w:sz w:val="24"/>
          <w:szCs w:val="24"/>
        </w:rPr>
        <w:t>row vigorously. The government</w:t>
      </w:r>
      <w:r>
        <w:rPr>
          <w:rFonts w:ascii="Times New Roman" w:hAnsi="Times New Roman"/>
          <w:sz w:val="24"/>
          <w:szCs w:val="24"/>
        </w:rPr>
        <w:t>’</w:t>
      </w:r>
      <w:r>
        <w:rPr>
          <w:rFonts w:ascii="Times New Roman" w:hAnsi="Times New Roman"/>
          <w:sz w:val="24"/>
          <w:szCs w:val="24"/>
        </w:rPr>
        <w:t>s current objectives are to continue opening up its economy to foreign trade, to promote sustainable investment (particularly in agriculture), and to develop rural areas through eco-tourism. In order to achieve these objectiv</w:t>
      </w:r>
      <w:r>
        <w:rPr>
          <w:rFonts w:ascii="Times New Roman" w:hAnsi="Times New Roman"/>
          <w:sz w:val="24"/>
          <w:szCs w:val="24"/>
        </w:rPr>
        <w:t>es, the WTO recommended further simplifying Morocco</w:t>
      </w:r>
      <w:r>
        <w:rPr>
          <w:rFonts w:ascii="Times New Roman" w:hAnsi="Times New Roman"/>
          <w:sz w:val="24"/>
          <w:szCs w:val="24"/>
        </w:rPr>
        <w:t>’</w:t>
      </w:r>
      <w:r>
        <w:rPr>
          <w:rFonts w:ascii="Times New Roman" w:hAnsi="Times New Roman"/>
          <w:sz w:val="24"/>
          <w:szCs w:val="24"/>
        </w:rPr>
        <w:t>s tax system and ensuring greater freedom of exchange (WTO, 2016).</w:t>
      </w:r>
    </w:p>
    <w:p w14:paraId="4F0F8B11" w14:textId="77777777" w:rsidR="008575FB" w:rsidRDefault="008575FB">
      <w:pPr>
        <w:pStyle w:val="Body"/>
        <w:jc w:val="both"/>
        <w:rPr>
          <w:rFonts w:ascii="Times New Roman" w:eastAsia="Times New Roman" w:hAnsi="Times New Roman" w:cs="Times New Roman"/>
          <w:sz w:val="24"/>
          <w:szCs w:val="24"/>
        </w:rPr>
      </w:pPr>
    </w:p>
    <w:p w14:paraId="2256FC8B"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The chart on the next page shows a graphic display of Morocco</w:t>
      </w:r>
      <w:r>
        <w:rPr>
          <w:rFonts w:ascii="Times New Roman" w:hAnsi="Times New Roman"/>
          <w:sz w:val="24"/>
          <w:szCs w:val="24"/>
        </w:rPr>
        <w:t>’</w:t>
      </w:r>
      <w:r>
        <w:rPr>
          <w:rFonts w:ascii="Times New Roman" w:hAnsi="Times New Roman"/>
          <w:sz w:val="24"/>
          <w:szCs w:val="24"/>
        </w:rPr>
        <w:t xml:space="preserve">s tariff with the rest of the world since data was first available in </w:t>
      </w:r>
      <w:r>
        <w:rPr>
          <w:rFonts w:ascii="Times New Roman" w:hAnsi="Times New Roman"/>
          <w:sz w:val="24"/>
          <w:szCs w:val="24"/>
        </w:rPr>
        <w:t>1993. In 1993, the weighted average of Morocco</w:t>
      </w:r>
      <w:r>
        <w:rPr>
          <w:rFonts w:ascii="Times New Roman" w:hAnsi="Times New Roman"/>
          <w:sz w:val="24"/>
          <w:szCs w:val="24"/>
        </w:rPr>
        <w:t>’</w:t>
      </w:r>
      <w:r>
        <w:rPr>
          <w:rFonts w:ascii="Times New Roman" w:hAnsi="Times New Roman"/>
          <w:sz w:val="24"/>
          <w:szCs w:val="24"/>
        </w:rPr>
        <w:t>s MFN and AHS tariffs facing the rest of the world was 45.44 percent. Since Morocco</w:t>
      </w:r>
      <w:r>
        <w:rPr>
          <w:rFonts w:ascii="Times New Roman" w:hAnsi="Times New Roman"/>
          <w:sz w:val="24"/>
          <w:szCs w:val="24"/>
        </w:rPr>
        <w:t>’</w:t>
      </w:r>
      <w:r>
        <w:rPr>
          <w:rFonts w:ascii="Times New Roman" w:hAnsi="Times New Roman"/>
          <w:sz w:val="24"/>
          <w:szCs w:val="24"/>
        </w:rPr>
        <w:t>s entrance to the WTO in 1995 and the conclusion of a Morocco-EU Free Trade Agreement (FTA) in 2000, Morocco</w:t>
      </w:r>
      <w:r>
        <w:rPr>
          <w:rFonts w:ascii="Times New Roman" w:hAnsi="Times New Roman"/>
          <w:sz w:val="24"/>
          <w:szCs w:val="24"/>
        </w:rPr>
        <w:t>’</w:t>
      </w:r>
      <w:r>
        <w:rPr>
          <w:rFonts w:ascii="Times New Roman" w:hAnsi="Times New Roman"/>
          <w:sz w:val="24"/>
          <w:szCs w:val="24"/>
        </w:rPr>
        <w:t>s tariffs have c</w:t>
      </w:r>
      <w:r>
        <w:rPr>
          <w:rFonts w:ascii="Times New Roman" w:hAnsi="Times New Roman"/>
          <w:sz w:val="24"/>
          <w:szCs w:val="24"/>
        </w:rPr>
        <w:t>ontinued to decline. In 2017, Morocco</w:t>
      </w:r>
      <w:r>
        <w:rPr>
          <w:rFonts w:ascii="Times New Roman" w:hAnsi="Times New Roman"/>
          <w:sz w:val="24"/>
          <w:szCs w:val="24"/>
        </w:rPr>
        <w:t>’</w:t>
      </w:r>
      <w:r>
        <w:rPr>
          <w:rFonts w:ascii="Times New Roman" w:hAnsi="Times New Roman"/>
          <w:sz w:val="24"/>
          <w:szCs w:val="24"/>
        </w:rPr>
        <w:t>s MFN weighted average tariff was 10.5 percent and effectively applied tariff averaged 3.8 percent.</w:t>
      </w:r>
    </w:p>
    <w:p w14:paraId="7E233383" w14:textId="77777777" w:rsidR="008575FB" w:rsidRDefault="00176BDB">
      <w:pPr>
        <w:pStyle w:val="Body"/>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59264" behindDoc="0" locked="0" layoutInCell="1" allowOverlap="1" wp14:anchorId="1AD748B7" wp14:editId="500D42B6">
            <wp:simplePos x="0" y="0"/>
            <wp:positionH relativeFrom="margin">
              <wp:posOffset>-6350</wp:posOffset>
            </wp:positionH>
            <wp:positionV relativeFrom="line">
              <wp:posOffset>196960</wp:posOffset>
            </wp:positionV>
            <wp:extent cx="4420652" cy="308903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orld.png"/>
                    <pic:cNvPicPr>
                      <a:picLocks noChangeAspect="1"/>
                    </pic:cNvPicPr>
                  </pic:nvPicPr>
                  <pic:blipFill>
                    <a:blip r:embed="rId6">
                      <a:extLst/>
                    </a:blip>
                    <a:stretch>
                      <a:fillRect/>
                    </a:stretch>
                  </pic:blipFill>
                  <pic:spPr>
                    <a:xfrm>
                      <a:off x="0" y="0"/>
                      <a:ext cx="4420652" cy="3089037"/>
                    </a:xfrm>
                    <a:prstGeom prst="rect">
                      <a:avLst/>
                    </a:prstGeom>
                    <a:ln w="12700" cap="flat">
                      <a:noFill/>
                      <a:miter lim="400000"/>
                    </a:ln>
                    <a:effectLst/>
                  </pic:spPr>
                </pic:pic>
              </a:graphicData>
            </a:graphic>
          </wp:anchor>
        </w:drawing>
      </w:r>
    </w:p>
    <w:p w14:paraId="277C32AF"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Morocco</w:t>
      </w:r>
      <w:r>
        <w:rPr>
          <w:rFonts w:ascii="Times New Roman" w:hAnsi="Times New Roman"/>
          <w:sz w:val="24"/>
          <w:szCs w:val="24"/>
        </w:rPr>
        <w:t>’</w:t>
      </w:r>
      <w:r>
        <w:rPr>
          <w:rFonts w:ascii="Times New Roman" w:hAnsi="Times New Roman"/>
          <w:sz w:val="24"/>
          <w:szCs w:val="24"/>
        </w:rPr>
        <w:t>s tariff facing the European Union, Morocco</w:t>
      </w:r>
      <w:r>
        <w:rPr>
          <w:rFonts w:ascii="Times New Roman" w:hAnsi="Times New Roman"/>
          <w:sz w:val="24"/>
          <w:szCs w:val="24"/>
        </w:rPr>
        <w:t>’</w:t>
      </w:r>
      <w:r>
        <w:rPr>
          <w:rFonts w:ascii="Times New Roman" w:hAnsi="Times New Roman"/>
          <w:sz w:val="24"/>
          <w:szCs w:val="24"/>
        </w:rPr>
        <w:t>s biggest trading partner, exhibits a similar trend (Appendix 1)</w:t>
      </w:r>
      <w:r>
        <w:rPr>
          <w:rFonts w:ascii="Times New Roman" w:hAnsi="Times New Roman"/>
          <w:sz w:val="24"/>
          <w:szCs w:val="24"/>
        </w:rPr>
        <w:t>. In 2017, Morocco</w:t>
      </w:r>
      <w:r>
        <w:rPr>
          <w:rFonts w:ascii="Times New Roman" w:hAnsi="Times New Roman"/>
          <w:sz w:val="24"/>
          <w:szCs w:val="24"/>
        </w:rPr>
        <w:t>’</w:t>
      </w:r>
      <w:r>
        <w:rPr>
          <w:rFonts w:ascii="Times New Roman" w:hAnsi="Times New Roman"/>
          <w:sz w:val="24"/>
          <w:szCs w:val="24"/>
        </w:rPr>
        <w:t xml:space="preserve">s effectively applied tariff facing imports from the EU has a </w:t>
      </w:r>
      <w:r>
        <w:rPr>
          <w:rFonts w:ascii="Times New Roman" w:hAnsi="Times New Roman"/>
          <w:sz w:val="24"/>
          <w:szCs w:val="24"/>
        </w:rPr>
        <w:lastRenderedPageBreak/>
        <w:t>weighted average of only 1.31 percent. Effectively applied tariff for China, United States, and Turkey, respectively Morocco</w:t>
      </w:r>
      <w:r>
        <w:rPr>
          <w:rFonts w:ascii="Times New Roman" w:hAnsi="Times New Roman"/>
          <w:sz w:val="24"/>
          <w:szCs w:val="24"/>
        </w:rPr>
        <w:t>’</w:t>
      </w:r>
      <w:r>
        <w:rPr>
          <w:rFonts w:ascii="Times New Roman" w:hAnsi="Times New Roman"/>
          <w:sz w:val="24"/>
          <w:szCs w:val="24"/>
        </w:rPr>
        <w:t>s three biggest importers outside the EU, all decl</w:t>
      </w:r>
      <w:r>
        <w:rPr>
          <w:rFonts w:ascii="Times New Roman" w:hAnsi="Times New Roman"/>
          <w:sz w:val="24"/>
          <w:szCs w:val="24"/>
        </w:rPr>
        <w:t>ined substantially since the beginning of the millennium (Appendix 1). In 2017, Morocco</w:t>
      </w:r>
      <w:r>
        <w:rPr>
          <w:rFonts w:ascii="Times New Roman" w:hAnsi="Times New Roman"/>
          <w:sz w:val="24"/>
          <w:szCs w:val="24"/>
        </w:rPr>
        <w:t>’</w:t>
      </w:r>
      <w:r>
        <w:rPr>
          <w:rFonts w:ascii="Times New Roman" w:hAnsi="Times New Roman"/>
          <w:sz w:val="24"/>
          <w:szCs w:val="24"/>
        </w:rPr>
        <w:t>s biggest importers all face effectively applied tariff averaging below 1.5 percent; China is the only exception with an average effectively applied tariff of 8.89 perc</w:t>
      </w:r>
      <w:r>
        <w:rPr>
          <w:rFonts w:ascii="Times New Roman" w:hAnsi="Times New Roman"/>
          <w:sz w:val="24"/>
          <w:szCs w:val="24"/>
        </w:rPr>
        <w:t>ent, while accounting for 8.4 percent of Morocco</w:t>
      </w:r>
      <w:r>
        <w:rPr>
          <w:rFonts w:ascii="Times New Roman" w:hAnsi="Times New Roman"/>
          <w:sz w:val="24"/>
          <w:szCs w:val="24"/>
        </w:rPr>
        <w:t>’</w:t>
      </w:r>
      <w:r>
        <w:rPr>
          <w:rFonts w:ascii="Times New Roman" w:hAnsi="Times New Roman"/>
          <w:sz w:val="24"/>
          <w:szCs w:val="24"/>
        </w:rPr>
        <w:t xml:space="preserve">s imports. </w:t>
      </w:r>
    </w:p>
    <w:p w14:paraId="62B1346C" w14:textId="77777777" w:rsidR="008575FB" w:rsidRDefault="008575FB">
      <w:pPr>
        <w:pStyle w:val="Body"/>
        <w:jc w:val="both"/>
        <w:rPr>
          <w:rFonts w:ascii="Times New Roman" w:eastAsia="Times New Roman" w:hAnsi="Times New Roman" w:cs="Times New Roman"/>
          <w:sz w:val="24"/>
          <w:szCs w:val="24"/>
        </w:rPr>
      </w:pPr>
    </w:p>
    <w:p w14:paraId="4334ECB3"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Despite the positive progress in tariff liberalization observed in Figure 1, Morocco</w:t>
      </w:r>
      <w:r>
        <w:rPr>
          <w:rFonts w:ascii="Times New Roman" w:hAnsi="Times New Roman"/>
          <w:sz w:val="24"/>
          <w:szCs w:val="24"/>
        </w:rPr>
        <w:t>’</w:t>
      </w:r>
      <w:r>
        <w:rPr>
          <w:rFonts w:ascii="Times New Roman" w:hAnsi="Times New Roman"/>
          <w:sz w:val="24"/>
          <w:szCs w:val="24"/>
        </w:rPr>
        <w:t>s non-tariff measures (NTM) facing imports today are prevalent. Morocco</w:t>
      </w:r>
      <w:r>
        <w:rPr>
          <w:rFonts w:ascii="Times New Roman" w:hAnsi="Times New Roman"/>
          <w:sz w:val="24"/>
          <w:szCs w:val="24"/>
        </w:rPr>
        <w:t>’</w:t>
      </w:r>
      <w:r>
        <w:rPr>
          <w:rFonts w:ascii="Times New Roman" w:hAnsi="Times New Roman"/>
          <w:sz w:val="24"/>
          <w:szCs w:val="24"/>
        </w:rPr>
        <w:t>s imports have a 57.25 percent covera</w:t>
      </w:r>
      <w:r>
        <w:rPr>
          <w:rFonts w:ascii="Times New Roman" w:hAnsi="Times New Roman"/>
          <w:sz w:val="24"/>
          <w:szCs w:val="24"/>
        </w:rPr>
        <w:t>ge ratio and 44.55 percent frequency ratio for non-tariff measures, respectively representing the share of values and the share of products in Moroccan imports affected by NTMs</w:t>
      </w:r>
      <w:r>
        <w:rPr>
          <w:rFonts w:ascii="Times New Roman" w:eastAsia="Times New Roman" w:hAnsi="Times New Roman" w:cs="Times New Roman"/>
          <w:sz w:val="24"/>
          <w:szCs w:val="24"/>
          <w:vertAlign w:val="superscript"/>
        </w:rPr>
        <w:footnoteReference w:id="2"/>
      </w:r>
      <w:r>
        <w:rPr>
          <w:rFonts w:ascii="Times New Roman" w:hAnsi="Times New Roman"/>
          <w:sz w:val="24"/>
          <w:szCs w:val="24"/>
        </w:rPr>
        <w:t>.</w:t>
      </w:r>
    </w:p>
    <w:p w14:paraId="60696438" w14:textId="77777777" w:rsidR="008575FB" w:rsidRDefault="008575FB">
      <w:pPr>
        <w:pStyle w:val="Body"/>
        <w:jc w:val="both"/>
        <w:rPr>
          <w:rFonts w:ascii="Times New Roman" w:eastAsia="Times New Roman" w:hAnsi="Times New Roman" w:cs="Times New Roman"/>
          <w:sz w:val="24"/>
          <w:szCs w:val="24"/>
        </w:rPr>
      </w:pPr>
    </w:p>
    <w:p w14:paraId="4636A657"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Sectoral-wise, 100 percent of agricultural product imports face non-tariff m</w:t>
      </w:r>
      <w:r>
        <w:rPr>
          <w:rFonts w:ascii="Times New Roman" w:hAnsi="Times New Roman"/>
          <w:sz w:val="24"/>
          <w:szCs w:val="24"/>
        </w:rPr>
        <w:t>easures in the forms of sanitary measures and technical barriers to trade. A significant share of manufacture imports (70-93 percent) are subject to non-tariff measures, followed by industrial and raw material imports. Table 1 lists a summary of import cat</w:t>
      </w:r>
      <w:r>
        <w:rPr>
          <w:rFonts w:ascii="Times New Roman" w:hAnsi="Times New Roman"/>
          <w:sz w:val="24"/>
          <w:szCs w:val="24"/>
        </w:rPr>
        <w:t>egories most impacted by NTMs in Morocco.</w:t>
      </w:r>
    </w:p>
    <w:p w14:paraId="399823F5" w14:textId="77777777" w:rsidR="008575FB" w:rsidRDefault="008575FB">
      <w:pPr>
        <w:pStyle w:val="Body"/>
        <w:jc w:val="both"/>
        <w:rPr>
          <w:rFonts w:ascii="Times New Roman" w:eastAsia="Times New Roman" w:hAnsi="Times New Roman" w:cs="Times New Roman"/>
          <w:sz w:val="24"/>
          <w:szCs w:val="24"/>
        </w:rPr>
      </w:pPr>
    </w:p>
    <w:tbl>
      <w:tblPr>
        <w:tblW w:w="9643"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4"/>
        <w:gridCol w:w="1806"/>
        <w:gridCol w:w="1890"/>
        <w:gridCol w:w="1793"/>
        <w:gridCol w:w="2000"/>
      </w:tblGrid>
      <w:tr w:rsidR="008575FB" w14:paraId="7F60150F" w14:textId="77777777" w:rsidTr="00EC3131">
        <w:trPr>
          <w:trHeight w:val="290"/>
          <w:tblHeader/>
          <w:jc w:val="right"/>
        </w:trPr>
        <w:tc>
          <w:tcPr>
            <w:tcW w:w="9643" w:type="dxa"/>
            <w:gridSpan w:val="5"/>
            <w:tcBorders>
              <w:top w:val="nil"/>
              <w:left w:val="nil"/>
              <w:bottom w:val="nil"/>
              <w:right w:val="nil"/>
            </w:tcBorders>
            <w:shd w:val="clear" w:color="auto" w:fill="auto"/>
            <w:tcMar>
              <w:top w:w="80" w:type="dxa"/>
              <w:left w:w="80" w:type="dxa"/>
              <w:bottom w:w="80" w:type="dxa"/>
              <w:right w:w="80" w:type="dxa"/>
            </w:tcMar>
            <w:vAlign w:val="center"/>
          </w:tcPr>
          <w:p w14:paraId="1CA84B5E" w14:textId="77777777" w:rsidR="008575FB" w:rsidRDefault="00176BDB">
            <w:pPr>
              <w:pStyle w:val="TableTitle1"/>
            </w:pPr>
            <w:r>
              <w:rPr>
                <w:rFonts w:ascii="Times New Roman" w:eastAsia="Times New Roman" w:hAnsi="Times New Roman" w:cs="Times New Roman"/>
              </w:rPr>
              <w:t>Table 1: Morocco Non-Tariff Measure by Sector</w:t>
            </w:r>
          </w:p>
        </w:tc>
      </w:tr>
      <w:tr w:rsidR="00EC3131" w14:paraId="6DCA7982" w14:textId="77777777" w:rsidTr="00EC3131">
        <w:trPr>
          <w:trHeight w:val="491"/>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414DE55" w14:textId="77777777" w:rsidR="008575FB" w:rsidRDefault="00176BDB">
            <w:pPr>
              <w:pStyle w:val="TableStyle2"/>
            </w:pPr>
            <w:r>
              <w:rPr>
                <w:rFonts w:ascii="Times New Roman" w:hAnsi="Times New Roman"/>
                <w:sz w:val="22"/>
                <w:szCs w:val="22"/>
              </w:rPr>
              <w:t>Sector</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FA21C59" w14:textId="77777777" w:rsidR="008575FB" w:rsidRDefault="00176BDB">
            <w:pPr>
              <w:pStyle w:val="TableStyle2"/>
            </w:pPr>
            <w:r>
              <w:rPr>
                <w:rFonts w:ascii="Times New Roman" w:hAnsi="Times New Roman"/>
                <w:sz w:val="22"/>
                <w:szCs w:val="22"/>
              </w:rPr>
              <w:t>NTM Coverage ratio</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9266863" w14:textId="77777777" w:rsidR="008575FB" w:rsidRDefault="00176BDB">
            <w:pPr>
              <w:pStyle w:val="TableStyle2"/>
            </w:pPr>
            <w:r>
              <w:rPr>
                <w:rFonts w:ascii="Times New Roman" w:hAnsi="Times New Roman"/>
                <w:sz w:val="22"/>
                <w:szCs w:val="22"/>
              </w:rPr>
              <w:t>NTM Frequency ratio</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17F6093" w14:textId="77777777" w:rsidR="008575FB" w:rsidRDefault="00176BDB">
            <w:pPr>
              <w:pStyle w:val="TableStyle2"/>
            </w:pPr>
            <w:r>
              <w:rPr>
                <w:rFonts w:ascii="Times New Roman" w:hAnsi="Times New Roman"/>
                <w:sz w:val="22"/>
                <w:szCs w:val="22"/>
              </w:rPr>
              <w:t>NTM affected product - count</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EA8D399" w14:textId="77777777" w:rsidR="008575FB" w:rsidRDefault="00176BDB">
            <w:pPr>
              <w:pStyle w:val="TableStyle2"/>
            </w:pPr>
            <w:r>
              <w:rPr>
                <w:rFonts w:ascii="Times New Roman" w:hAnsi="Times New Roman"/>
                <w:sz w:val="22"/>
                <w:szCs w:val="22"/>
              </w:rPr>
              <w:t>NTM affected trade</w:t>
            </w:r>
          </w:p>
        </w:tc>
      </w:tr>
      <w:tr w:rsidR="00EC3131" w14:paraId="01AC5665"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BA463C5" w14:textId="77777777" w:rsidR="008575FB" w:rsidRDefault="00176BDB">
            <w:pPr>
              <w:pStyle w:val="TableStyle2"/>
            </w:pPr>
            <w:r>
              <w:rPr>
                <w:rFonts w:ascii="Times New Roman" w:hAnsi="Times New Roman"/>
                <w:sz w:val="22"/>
                <w:szCs w:val="22"/>
              </w:rPr>
              <w:t>Animal</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C9433A4" w14:textId="77777777" w:rsidR="008575FB" w:rsidRDefault="00176BDB">
            <w:pPr>
              <w:jc w:val="right"/>
            </w:pPr>
            <w:r>
              <w:rPr>
                <w:rFonts w:cs="Arial Unicode MS"/>
                <w:color w:val="000000"/>
                <w:sz w:val="22"/>
                <w:szCs w:val="22"/>
                <w14:textOutline w14:w="0" w14:cap="flat" w14:cmpd="sng" w14:algn="ctr">
                  <w14:noFill/>
                  <w14:prstDash w14:val="solid"/>
                  <w14:bevel/>
                </w14:textOutline>
              </w:rPr>
              <w:t>100.00%</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C8DE176" w14:textId="77777777" w:rsidR="008575FB" w:rsidRDefault="00176BDB">
            <w:pPr>
              <w:jc w:val="right"/>
            </w:pPr>
            <w:r>
              <w:rPr>
                <w:rFonts w:cs="Arial Unicode MS"/>
                <w:color w:val="000000"/>
                <w:sz w:val="22"/>
                <w:szCs w:val="22"/>
                <w14:textOutline w14:w="0" w14:cap="flat" w14:cmpd="sng" w14:algn="ctr">
                  <w14:noFill/>
                  <w14:prstDash w14:val="solid"/>
                  <w14:bevel/>
                </w14:textOutline>
              </w:rPr>
              <w:t>100.00%</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A0F3F44" w14:textId="77777777" w:rsidR="008575FB" w:rsidRDefault="00176BDB">
            <w:pPr>
              <w:jc w:val="right"/>
            </w:pPr>
            <w:r>
              <w:rPr>
                <w:rFonts w:cs="Arial Unicode MS"/>
                <w:color w:val="000000"/>
                <w:sz w:val="22"/>
                <w:szCs w:val="22"/>
                <w14:textOutline w14:w="0" w14:cap="flat" w14:cmpd="sng" w14:algn="ctr">
                  <w14:noFill/>
                  <w14:prstDash w14:val="solid"/>
                  <w14:bevel/>
                </w14:textOutline>
              </w:rPr>
              <w:t>204</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5FACD8D" w14:textId="77777777" w:rsidR="008575FB" w:rsidRDefault="00176BDB">
            <w:pPr>
              <w:jc w:val="right"/>
            </w:pPr>
            <w:r>
              <w:rPr>
                <w:rFonts w:cs="Arial Unicode MS"/>
                <w:color w:val="000000"/>
                <w:sz w:val="22"/>
                <w:szCs w:val="22"/>
                <w14:textOutline w14:w="0" w14:cap="flat" w14:cmpd="sng" w14:algn="ctr">
                  <w14:noFill/>
                  <w14:prstDash w14:val="solid"/>
                  <w14:bevel/>
                </w14:textOutline>
              </w:rPr>
              <w:t>709,941.18</w:t>
            </w:r>
          </w:p>
        </w:tc>
      </w:tr>
      <w:tr w:rsidR="00EC3131" w14:paraId="10B24EE5"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B7B0EB2" w14:textId="77777777" w:rsidR="008575FB" w:rsidRDefault="00176BDB">
            <w:pPr>
              <w:pStyle w:val="TableStyle2"/>
            </w:pPr>
            <w:r>
              <w:rPr>
                <w:rFonts w:ascii="Times New Roman" w:hAnsi="Times New Roman"/>
                <w:sz w:val="22"/>
                <w:szCs w:val="22"/>
              </w:rPr>
              <w:t>Hides and Skins</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AEFB0BC" w14:textId="77777777" w:rsidR="008575FB" w:rsidRDefault="00176BDB">
            <w:pPr>
              <w:jc w:val="right"/>
            </w:pPr>
            <w:r>
              <w:rPr>
                <w:rFonts w:cs="Arial Unicode MS"/>
                <w:color w:val="000000"/>
                <w:sz w:val="22"/>
                <w:szCs w:val="22"/>
                <w14:textOutline w14:w="0" w14:cap="flat" w14:cmpd="sng" w14:algn="ctr">
                  <w14:noFill/>
                  <w14:prstDash w14:val="solid"/>
                  <w14:bevel/>
                </w14:textOutline>
              </w:rPr>
              <w:t>100.00%</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685C069E" w14:textId="77777777" w:rsidR="008575FB" w:rsidRDefault="00176BDB">
            <w:pPr>
              <w:jc w:val="right"/>
            </w:pPr>
            <w:r>
              <w:rPr>
                <w:rFonts w:cs="Arial Unicode MS"/>
                <w:color w:val="000000"/>
                <w:sz w:val="22"/>
                <w:szCs w:val="22"/>
                <w14:textOutline w14:w="0" w14:cap="flat" w14:cmpd="sng" w14:algn="ctr">
                  <w14:noFill/>
                  <w14:prstDash w14:val="solid"/>
                  <w14:bevel/>
                </w14:textOutline>
              </w:rPr>
              <w:t>100.00%</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D76D1F0" w14:textId="77777777" w:rsidR="008575FB" w:rsidRDefault="00176BDB">
            <w:pPr>
              <w:jc w:val="right"/>
            </w:pPr>
            <w:r>
              <w:rPr>
                <w:rFonts w:cs="Arial Unicode MS"/>
                <w:color w:val="000000"/>
                <w:sz w:val="22"/>
                <w:szCs w:val="22"/>
                <w14:textOutline w14:w="0" w14:cap="flat" w14:cmpd="sng" w14:algn="ctr">
                  <w14:noFill/>
                  <w14:prstDash w14:val="solid"/>
                  <w14:bevel/>
                </w14:textOutline>
              </w:rPr>
              <w:t>59</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260A54D" w14:textId="77777777" w:rsidR="008575FB" w:rsidRDefault="00176BDB">
            <w:pPr>
              <w:jc w:val="right"/>
            </w:pPr>
            <w:r>
              <w:rPr>
                <w:rFonts w:cs="Arial Unicode MS"/>
                <w:color w:val="000000"/>
                <w:sz w:val="22"/>
                <w:szCs w:val="22"/>
                <w14:textOutline w14:w="0" w14:cap="flat" w14:cmpd="sng" w14:algn="ctr">
                  <w14:noFill/>
                  <w14:prstDash w14:val="solid"/>
                  <w14:bevel/>
                </w14:textOutline>
              </w:rPr>
              <w:t>277,027.05</w:t>
            </w:r>
          </w:p>
        </w:tc>
      </w:tr>
      <w:tr w:rsidR="00EC3131" w14:paraId="06CF046F"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3896B74" w14:textId="77777777" w:rsidR="008575FB" w:rsidRDefault="00176BDB">
            <w:pPr>
              <w:pStyle w:val="TableStyle2"/>
            </w:pPr>
            <w:r>
              <w:rPr>
                <w:rFonts w:ascii="Times New Roman" w:hAnsi="Times New Roman"/>
                <w:sz w:val="22"/>
                <w:szCs w:val="22"/>
              </w:rPr>
              <w:t>Vegetable</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69EC06D2" w14:textId="77777777" w:rsidR="008575FB" w:rsidRDefault="00176BDB">
            <w:pPr>
              <w:jc w:val="right"/>
            </w:pPr>
            <w:r>
              <w:rPr>
                <w:rFonts w:cs="Arial Unicode MS"/>
                <w:color w:val="000000"/>
                <w:sz w:val="22"/>
                <w:szCs w:val="22"/>
                <w14:textOutline w14:w="0" w14:cap="flat" w14:cmpd="sng" w14:algn="ctr">
                  <w14:noFill/>
                  <w14:prstDash w14:val="solid"/>
                  <w14:bevel/>
                </w14:textOutline>
              </w:rPr>
              <w:t>100.00%</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ECEA3A5" w14:textId="77777777" w:rsidR="008575FB" w:rsidRDefault="00176BDB">
            <w:pPr>
              <w:jc w:val="right"/>
            </w:pPr>
            <w:r>
              <w:rPr>
                <w:rFonts w:cs="Arial Unicode MS"/>
                <w:color w:val="000000"/>
                <w:sz w:val="22"/>
                <w:szCs w:val="22"/>
                <w14:textOutline w14:w="0" w14:cap="flat" w14:cmpd="sng" w14:algn="ctr">
                  <w14:noFill/>
                  <w14:prstDash w14:val="solid"/>
                  <w14:bevel/>
                </w14:textOutline>
              </w:rPr>
              <w:t>100.00%</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868C65B" w14:textId="77777777" w:rsidR="008575FB" w:rsidRDefault="00176BDB">
            <w:pPr>
              <w:jc w:val="right"/>
            </w:pPr>
            <w:r>
              <w:rPr>
                <w:rFonts w:cs="Arial Unicode MS"/>
                <w:color w:val="000000"/>
                <w:sz w:val="22"/>
                <w:szCs w:val="22"/>
                <w14:textOutline w14:w="0" w14:cap="flat" w14:cmpd="sng" w14:algn="ctr">
                  <w14:noFill/>
                  <w14:prstDash w14:val="solid"/>
                  <w14:bevel/>
                </w14:textOutline>
              </w:rPr>
              <w:t>317</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668E93F5" w14:textId="77777777" w:rsidR="008575FB" w:rsidRDefault="00176BDB">
            <w:pPr>
              <w:jc w:val="right"/>
            </w:pPr>
            <w:r>
              <w:rPr>
                <w:rFonts w:cs="Arial Unicode MS"/>
                <w:color w:val="000000"/>
                <w:sz w:val="22"/>
                <w:szCs w:val="22"/>
                <w14:textOutline w14:w="0" w14:cap="flat" w14:cmpd="sng" w14:algn="ctr">
                  <w14:noFill/>
                  <w14:prstDash w14:val="solid"/>
                  <w14:bevel/>
                </w14:textOutline>
              </w:rPr>
              <w:t>3,894,712.11</w:t>
            </w:r>
          </w:p>
        </w:tc>
      </w:tr>
      <w:tr w:rsidR="00EC3131" w14:paraId="283ED671"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EE9D56A" w14:textId="77777777" w:rsidR="008575FB" w:rsidRDefault="00176BDB">
            <w:pPr>
              <w:pStyle w:val="TableStyle2"/>
            </w:pPr>
            <w:r>
              <w:rPr>
                <w:rFonts w:ascii="Times New Roman" w:hAnsi="Times New Roman"/>
                <w:sz w:val="22"/>
                <w:szCs w:val="22"/>
              </w:rPr>
              <w:t>Fuels</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BAD1B18" w14:textId="77777777" w:rsidR="008575FB" w:rsidRDefault="00176BDB">
            <w:pPr>
              <w:jc w:val="right"/>
            </w:pPr>
            <w:r>
              <w:rPr>
                <w:rFonts w:cs="Arial Unicode MS"/>
                <w:color w:val="000000"/>
                <w:sz w:val="22"/>
                <w:szCs w:val="22"/>
                <w14:textOutline w14:w="0" w14:cap="flat" w14:cmpd="sng" w14:algn="ctr">
                  <w14:noFill/>
                  <w14:prstDash w14:val="solid"/>
                  <w14:bevel/>
                </w14:textOutline>
              </w:rPr>
              <w:t>95.95%</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AF574E2" w14:textId="77777777" w:rsidR="008575FB" w:rsidRDefault="00176BDB">
            <w:pPr>
              <w:jc w:val="right"/>
            </w:pPr>
            <w:r>
              <w:rPr>
                <w:rFonts w:cs="Arial Unicode MS"/>
                <w:color w:val="000000"/>
                <w:sz w:val="22"/>
                <w:szCs w:val="22"/>
                <w14:textOutline w14:w="0" w14:cap="flat" w14:cmpd="sng" w14:algn="ctr">
                  <w14:noFill/>
                  <w14:prstDash w14:val="solid"/>
                  <w14:bevel/>
                </w14:textOutline>
              </w:rPr>
              <w:t>82.86%</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591E408" w14:textId="77777777" w:rsidR="008575FB" w:rsidRDefault="00176BDB">
            <w:pPr>
              <w:jc w:val="right"/>
            </w:pPr>
            <w:r>
              <w:rPr>
                <w:rFonts w:cs="Arial Unicode MS"/>
                <w:color w:val="000000"/>
                <w:sz w:val="22"/>
                <w:szCs w:val="22"/>
                <w14:textOutline w14:w="0" w14:cap="flat" w14:cmpd="sng" w14:algn="ctr">
                  <w14:noFill/>
                  <w14:prstDash w14:val="solid"/>
                  <w14:bevel/>
                </w14:textOutline>
              </w:rPr>
              <w:t>29</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8E5F041" w14:textId="77777777" w:rsidR="008575FB" w:rsidRDefault="00176BDB">
            <w:pPr>
              <w:jc w:val="right"/>
            </w:pPr>
            <w:r>
              <w:rPr>
                <w:rFonts w:cs="Arial Unicode MS"/>
                <w:color w:val="000000"/>
                <w:sz w:val="22"/>
                <w:szCs w:val="22"/>
                <w14:textOutline w14:w="0" w14:cap="flat" w14:cmpd="sng" w14:algn="ctr">
                  <w14:noFill/>
                  <w14:prstDash w14:val="solid"/>
                  <w14:bevel/>
                </w14:textOutline>
              </w:rPr>
              <w:t>10,628,931.56</w:t>
            </w:r>
          </w:p>
        </w:tc>
      </w:tr>
      <w:tr w:rsidR="00EC3131" w14:paraId="1F556ED1"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DB56507" w14:textId="77777777" w:rsidR="008575FB" w:rsidRDefault="00176BDB">
            <w:pPr>
              <w:pStyle w:val="TableStyle2"/>
            </w:pPr>
            <w:r>
              <w:rPr>
                <w:rFonts w:ascii="Times New Roman" w:hAnsi="Times New Roman"/>
                <w:sz w:val="22"/>
                <w:szCs w:val="22"/>
              </w:rPr>
              <w:t>Footwear</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2F164F6" w14:textId="77777777" w:rsidR="008575FB" w:rsidRDefault="00176BDB">
            <w:pPr>
              <w:jc w:val="right"/>
            </w:pPr>
            <w:r>
              <w:rPr>
                <w:rFonts w:cs="Arial Unicode MS"/>
                <w:color w:val="000000"/>
                <w:sz w:val="22"/>
                <w:szCs w:val="22"/>
                <w14:textOutline w14:w="0" w14:cap="flat" w14:cmpd="sng" w14:algn="ctr">
                  <w14:noFill/>
                  <w14:prstDash w14:val="solid"/>
                  <w14:bevel/>
                </w14:textOutline>
              </w:rPr>
              <w:t>93.12%</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1BAD350" w14:textId="77777777" w:rsidR="008575FB" w:rsidRDefault="00176BDB">
            <w:pPr>
              <w:jc w:val="right"/>
            </w:pPr>
            <w:r>
              <w:rPr>
                <w:rFonts w:cs="Arial Unicode MS"/>
                <w:color w:val="000000"/>
                <w:sz w:val="22"/>
                <w:szCs w:val="22"/>
                <w14:textOutline w14:w="0" w14:cap="flat" w14:cmpd="sng" w14:algn="ctr">
                  <w14:noFill/>
                  <w14:prstDash w14:val="solid"/>
                  <w14:bevel/>
                </w14:textOutline>
              </w:rPr>
              <w:t>57.45%</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7496267" w14:textId="77777777" w:rsidR="008575FB" w:rsidRDefault="00176BDB">
            <w:pPr>
              <w:jc w:val="right"/>
            </w:pPr>
            <w:r>
              <w:rPr>
                <w:rFonts w:cs="Arial Unicode MS"/>
                <w:color w:val="000000"/>
                <w:sz w:val="22"/>
                <w:szCs w:val="22"/>
                <w14:textOutline w14:w="0" w14:cap="flat" w14:cmpd="sng" w14:algn="ctr">
                  <w14:noFill/>
                  <w14:prstDash w14:val="solid"/>
                  <w14:bevel/>
                </w14:textOutline>
              </w:rPr>
              <w:t>27</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5550FF0D" w14:textId="77777777" w:rsidR="008575FB" w:rsidRDefault="00176BDB">
            <w:pPr>
              <w:jc w:val="right"/>
            </w:pPr>
            <w:r>
              <w:rPr>
                <w:rFonts w:cs="Arial Unicode MS"/>
                <w:color w:val="000000"/>
                <w:sz w:val="22"/>
                <w:szCs w:val="22"/>
                <w14:textOutline w14:w="0" w14:cap="flat" w14:cmpd="sng" w14:algn="ctr">
                  <w14:noFill/>
                  <w14:prstDash w14:val="solid"/>
                  <w14:bevel/>
                </w14:textOutline>
              </w:rPr>
              <w:t>228,037.29</w:t>
            </w:r>
          </w:p>
        </w:tc>
      </w:tr>
      <w:tr w:rsidR="00EC3131" w14:paraId="0CD06BC4"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B88FA47" w14:textId="77777777" w:rsidR="008575FB" w:rsidRDefault="00176BDB">
            <w:pPr>
              <w:pStyle w:val="TableStyle2"/>
            </w:pPr>
            <w:r>
              <w:rPr>
                <w:rFonts w:ascii="Times New Roman" w:hAnsi="Times New Roman"/>
                <w:sz w:val="22"/>
                <w:szCs w:val="22"/>
              </w:rPr>
              <w:t>Minerals</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0F65208" w14:textId="77777777" w:rsidR="008575FB" w:rsidRDefault="00176BDB">
            <w:pPr>
              <w:jc w:val="right"/>
            </w:pPr>
            <w:r>
              <w:rPr>
                <w:rFonts w:cs="Arial Unicode MS"/>
                <w:color w:val="000000"/>
                <w:sz w:val="22"/>
                <w:szCs w:val="22"/>
                <w14:textOutline w14:w="0" w14:cap="flat" w14:cmpd="sng" w14:algn="ctr">
                  <w14:noFill/>
                  <w14:prstDash w14:val="solid"/>
                  <w14:bevel/>
                </w14:textOutline>
              </w:rPr>
              <w:t>91.65%</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4B5C763" w14:textId="77777777" w:rsidR="008575FB" w:rsidRDefault="00176BDB">
            <w:pPr>
              <w:jc w:val="right"/>
            </w:pPr>
            <w:r>
              <w:rPr>
                <w:rFonts w:cs="Arial Unicode MS"/>
                <w:color w:val="000000"/>
                <w:sz w:val="22"/>
                <w:szCs w:val="22"/>
                <w14:textOutline w14:w="0" w14:cap="flat" w14:cmpd="sng" w14:algn="ctr">
                  <w14:noFill/>
                  <w14:prstDash w14:val="solid"/>
                  <w14:bevel/>
                </w14:textOutline>
              </w:rPr>
              <w:t>3.66%</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CAEE993" w14:textId="77777777" w:rsidR="008575FB" w:rsidRDefault="00176BDB">
            <w:pPr>
              <w:jc w:val="right"/>
            </w:pPr>
            <w:r>
              <w:rPr>
                <w:rFonts w:cs="Arial Unicode MS"/>
                <w:color w:val="000000"/>
                <w:sz w:val="22"/>
                <w:szCs w:val="22"/>
                <w14:textOutline w14:w="0" w14:cap="flat" w14:cmpd="sng" w14:algn="ctr">
                  <w14:noFill/>
                  <w14:prstDash w14:val="solid"/>
                  <w14:bevel/>
                </w14:textOutline>
              </w:rPr>
              <w:t>3</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D436041" w14:textId="77777777" w:rsidR="008575FB" w:rsidRDefault="00176BDB">
            <w:pPr>
              <w:jc w:val="right"/>
            </w:pPr>
            <w:r>
              <w:rPr>
                <w:rFonts w:cs="Arial Unicode MS"/>
                <w:color w:val="000000"/>
                <w:sz w:val="22"/>
                <w:szCs w:val="22"/>
                <w14:textOutline w14:w="0" w14:cap="flat" w14:cmpd="sng" w14:algn="ctr">
                  <w14:noFill/>
                  <w14:prstDash w14:val="solid"/>
                  <w14:bevel/>
                </w14:textOutline>
              </w:rPr>
              <w:t>1,032,925.11</w:t>
            </w:r>
          </w:p>
        </w:tc>
      </w:tr>
      <w:tr w:rsidR="00EC3131" w14:paraId="4BDBDAA1"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2C302FD" w14:textId="77777777" w:rsidR="008575FB" w:rsidRDefault="00176BDB">
            <w:pPr>
              <w:pStyle w:val="TableStyle2"/>
            </w:pPr>
            <w:r>
              <w:rPr>
                <w:rFonts w:ascii="Times New Roman" w:hAnsi="Times New Roman"/>
                <w:sz w:val="22"/>
                <w:szCs w:val="22"/>
              </w:rPr>
              <w:t>Food Products</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E567401" w14:textId="77777777" w:rsidR="008575FB" w:rsidRDefault="00176BDB">
            <w:pPr>
              <w:jc w:val="right"/>
            </w:pPr>
            <w:r>
              <w:rPr>
                <w:rFonts w:cs="Arial Unicode MS"/>
                <w:color w:val="000000"/>
                <w:sz w:val="22"/>
                <w:szCs w:val="22"/>
                <w14:textOutline w14:w="0" w14:cap="flat" w14:cmpd="sng" w14:algn="ctr">
                  <w14:noFill/>
                  <w14:prstDash w14:val="solid"/>
                  <w14:bevel/>
                </w14:textOutline>
              </w:rPr>
              <w:t>80.38%</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55AD513C" w14:textId="77777777" w:rsidR="008575FB" w:rsidRDefault="00176BDB">
            <w:pPr>
              <w:jc w:val="right"/>
            </w:pPr>
            <w:r>
              <w:rPr>
                <w:rFonts w:cs="Arial Unicode MS"/>
                <w:color w:val="000000"/>
                <w:sz w:val="22"/>
                <w:szCs w:val="22"/>
                <w14:textOutline w14:w="0" w14:cap="flat" w14:cmpd="sng" w14:algn="ctr">
                  <w14:noFill/>
                  <w14:prstDash w14:val="solid"/>
                  <w14:bevel/>
                </w14:textOutline>
              </w:rPr>
              <w:t>97.98%</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51242D6" w14:textId="77777777" w:rsidR="008575FB" w:rsidRDefault="00176BDB">
            <w:pPr>
              <w:jc w:val="right"/>
            </w:pPr>
            <w:r>
              <w:rPr>
                <w:rFonts w:cs="Arial Unicode MS"/>
                <w:color w:val="000000"/>
                <w:sz w:val="22"/>
                <w:szCs w:val="22"/>
                <w14:textOutline w14:w="0" w14:cap="flat" w14:cmpd="sng" w14:algn="ctr">
                  <w14:noFill/>
                  <w14:prstDash w14:val="solid"/>
                  <w14:bevel/>
                </w14:textOutline>
              </w:rPr>
              <w:t>194</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589AF5FD" w14:textId="77777777" w:rsidR="008575FB" w:rsidRDefault="00176BDB">
            <w:pPr>
              <w:jc w:val="right"/>
            </w:pPr>
            <w:r>
              <w:rPr>
                <w:rFonts w:cs="Arial Unicode MS"/>
                <w:color w:val="000000"/>
                <w:sz w:val="22"/>
                <w:szCs w:val="22"/>
                <w14:textOutline w14:w="0" w14:cap="flat" w14:cmpd="sng" w14:algn="ctr">
                  <w14:noFill/>
                  <w14:prstDash w14:val="solid"/>
                  <w14:bevel/>
                </w14:textOutline>
              </w:rPr>
              <w:t>1,379,392.55</w:t>
            </w:r>
          </w:p>
        </w:tc>
      </w:tr>
      <w:tr w:rsidR="00EC3131" w14:paraId="3F934BF8" w14:textId="77777777" w:rsidTr="00EC3131">
        <w:trPr>
          <w:trHeight w:val="491"/>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C5F25A9" w14:textId="77777777" w:rsidR="008575FB" w:rsidRDefault="00176BDB">
            <w:pPr>
              <w:pStyle w:val="TableStyle2"/>
            </w:pPr>
            <w:r>
              <w:rPr>
                <w:rFonts w:ascii="Times New Roman" w:hAnsi="Times New Roman"/>
                <w:sz w:val="22"/>
                <w:szCs w:val="22"/>
              </w:rPr>
              <w:t>Textiles and Clothing</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9348FB2" w14:textId="77777777" w:rsidR="008575FB" w:rsidRDefault="00176BDB">
            <w:pPr>
              <w:jc w:val="right"/>
            </w:pPr>
            <w:r>
              <w:rPr>
                <w:rFonts w:cs="Arial Unicode MS"/>
                <w:color w:val="000000"/>
                <w:sz w:val="22"/>
                <w:szCs w:val="22"/>
                <w14:textOutline w14:w="0" w14:cap="flat" w14:cmpd="sng" w14:algn="ctr">
                  <w14:noFill/>
                  <w14:prstDash w14:val="solid"/>
                  <w14:bevel/>
                </w14:textOutline>
              </w:rPr>
              <w:t>69.11%</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0798E8E" w14:textId="77777777" w:rsidR="008575FB" w:rsidRDefault="00176BDB">
            <w:pPr>
              <w:jc w:val="right"/>
            </w:pPr>
            <w:r>
              <w:rPr>
                <w:rFonts w:cs="Arial Unicode MS"/>
                <w:color w:val="000000"/>
                <w:sz w:val="22"/>
                <w:szCs w:val="22"/>
                <w14:textOutline w14:w="0" w14:cap="flat" w14:cmpd="sng" w14:algn="ctr">
                  <w14:noFill/>
                  <w14:prstDash w14:val="solid"/>
                  <w14:bevel/>
                </w14:textOutline>
              </w:rPr>
              <w:t>65.07%</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25ED733" w14:textId="77777777" w:rsidR="008575FB" w:rsidRDefault="00176BDB">
            <w:pPr>
              <w:jc w:val="right"/>
            </w:pPr>
            <w:r>
              <w:rPr>
                <w:rFonts w:cs="Arial Unicode MS"/>
                <w:color w:val="000000"/>
                <w:sz w:val="22"/>
                <w:szCs w:val="22"/>
                <w14:textOutline w14:w="0" w14:cap="flat" w14:cmpd="sng" w14:algn="ctr">
                  <w14:noFill/>
                  <w14:prstDash w14:val="solid"/>
                  <w14:bevel/>
                </w14:textOutline>
              </w:rPr>
              <w:t>503</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B726B84" w14:textId="77777777" w:rsidR="008575FB" w:rsidRDefault="00176BDB">
            <w:pPr>
              <w:jc w:val="right"/>
            </w:pPr>
            <w:r>
              <w:rPr>
                <w:rFonts w:cs="Arial Unicode MS"/>
                <w:color w:val="000000"/>
                <w:sz w:val="22"/>
                <w:szCs w:val="22"/>
                <w14:textOutline w14:w="0" w14:cap="flat" w14:cmpd="sng" w14:algn="ctr">
                  <w14:noFill/>
                  <w14:prstDash w14:val="solid"/>
                  <w14:bevel/>
                </w14:textOutline>
              </w:rPr>
              <w:t>2,714,552.44</w:t>
            </w:r>
          </w:p>
        </w:tc>
      </w:tr>
      <w:tr w:rsidR="00EC3131" w14:paraId="7A4A8253" w14:textId="77777777" w:rsidTr="00EC3131">
        <w:trPr>
          <w:trHeight w:val="491"/>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0D64F97" w14:textId="77777777" w:rsidR="008575FB" w:rsidRDefault="00176BDB">
            <w:pPr>
              <w:pStyle w:val="TableStyle2"/>
            </w:pPr>
            <w:r>
              <w:rPr>
                <w:rFonts w:ascii="Times New Roman" w:hAnsi="Times New Roman"/>
                <w:b/>
                <w:bCs/>
                <w:sz w:val="22"/>
                <w:szCs w:val="22"/>
              </w:rPr>
              <w:t>All Import Products</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8B80AA2" w14:textId="77777777" w:rsidR="008575FB" w:rsidRDefault="00176BDB">
            <w:pPr>
              <w:jc w:val="right"/>
            </w:pPr>
            <w:r>
              <w:rPr>
                <w:rFonts w:cs="Arial Unicode MS"/>
                <w:b/>
                <w:bCs/>
                <w:color w:val="000000"/>
                <w:sz w:val="22"/>
                <w:szCs w:val="22"/>
                <w14:textOutline w14:w="0" w14:cap="flat" w14:cmpd="sng" w14:algn="ctr">
                  <w14:noFill/>
                  <w14:prstDash w14:val="solid"/>
                  <w14:bevel/>
                </w14:textOutline>
              </w:rPr>
              <w:t>57.25%</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77C93DD" w14:textId="77777777" w:rsidR="008575FB" w:rsidRDefault="00176BDB">
            <w:pPr>
              <w:jc w:val="right"/>
            </w:pPr>
            <w:r>
              <w:rPr>
                <w:rFonts w:cs="Arial Unicode MS"/>
                <w:b/>
                <w:bCs/>
                <w:color w:val="000000"/>
                <w:sz w:val="22"/>
                <w:szCs w:val="22"/>
                <w14:textOutline w14:w="0" w14:cap="flat" w14:cmpd="sng" w14:algn="ctr">
                  <w14:noFill/>
                  <w14:prstDash w14:val="solid"/>
                  <w14:bevel/>
                </w14:textOutline>
              </w:rPr>
              <w:t>44.55%</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14142CE" w14:textId="77777777" w:rsidR="008575FB" w:rsidRDefault="00176BDB">
            <w:pPr>
              <w:jc w:val="right"/>
            </w:pPr>
            <w:r>
              <w:rPr>
                <w:rFonts w:cs="Arial Unicode MS"/>
                <w:b/>
                <w:bCs/>
                <w:color w:val="000000"/>
                <w:sz w:val="22"/>
                <w:szCs w:val="22"/>
                <w14:textOutline w14:w="0" w14:cap="flat" w14:cmpd="sng" w14:algn="ctr">
                  <w14:noFill/>
                  <w14:prstDash w14:val="solid"/>
                  <w14:bevel/>
                </w14:textOutline>
              </w:rPr>
              <w:t>2138</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5FAC912E" w14:textId="77777777" w:rsidR="008575FB" w:rsidRDefault="00176BDB">
            <w:pPr>
              <w:jc w:val="right"/>
            </w:pPr>
            <w:r>
              <w:rPr>
                <w:rFonts w:cs="Arial Unicode MS"/>
                <w:b/>
                <w:bCs/>
                <w:color w:val="000000"/>
                <w:sz w:val="22"/>
                <w:szCs w:val="22"/>
                <w14:textOutline w14:w="0" w14:cap="flat" w14:cmpd="sng" w14:algn="ctr">
                  <w14:noFill/>
                  <w14:prstDash w14:val="solid"/>
                  <w14:bevel/>
                </w14:textOutline>
              </w:rPr>
              <w:t>31,530,730.75</w:t>
            </w:r>
          </w:p>
        </w:tc>
      </w:tr>
      <w:tr w:rsidR="00EC3131" w14:paraId="06A0F6B6"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776AA95" w14:textId="77777777" w:rsidR="008575FB" w:rsidRDefault="00176BDB">
            <w:pPr>
              <w:pStyle w:val="TableStyle2"/>
            </w:pPr>
            <w:r>
              <w:rPr>
                <w:rFonts w:ascii="Times New Roman" w:hAnsi="Times New Roman"/>
                <w:sz w:val="22"/>
                <w:szCs w:val="22"/>
              </w:rPr>
              <w:t>Miscellaneous</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E7AD67E" w14:textId="77777777" w:rsidR="008575FB" w:rsidRDefault="00176BDB">
            <w:pPr>
              <w:jc w:val="right"/>
            </w:pPr>
            <w:r>
              <w:rPr>
                <w:rFonts w:cs="Arial Unicode MS"/>
                <w:color w:val="000000"/>
                <w:sz w:val="22"/>
                <w:szCs w:val="22"/>
                <w14:textOutline w14:w="0" w14:cap="flat" w14:cmpd="sng" w14:algn="ctr">
                  <w14:noFill/>
                  <w14:prstDash w14:val="solid"/>
                  <w14:bevel/>
                </w14:textOutline>
              </w:rPr>
              <w:t>51.39%</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9837ABD" w14:textId="77777777" w:rsidR="008575FB" w:rsidRDefault="00176BDB">
            <w:pPr>
              <w:jc w:val="right"/>
            </w:pPr>
            <w:r>
              <w:rPr>
                <w:rFonts w:cs="Arial Unicode MS"/>
                <w:color w:val="000000"/>
                <w:sz w:val="22"/>
                <w:szCs w:val="22"/>
                <w14:textOutline w14:w="0" w14:cap="flat" w14:cmpd="sng" w14:algn="ctr">
                  <w14:noFill/>
                  <w14:prstDash w14:val="solid"/>
                  <w14:bevel/>
                </w14:textOutline>
              </w:rPr>
              <w:t>34.01%</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4086BC5" w14:textId="77777777" w:rsidR="008575FB" w:rsidRDefault="00176BDB">
            <w:pPr>
              <w:jc w:val="right"/>
            </w:pPr>
            <w:r>
              <w:rPr>
                <w:rFonts w:cs="Arial Unicode MS"/>
                <w:color w:val="000000"/>
                <w:sz w:val="22"/>
                <w:szCs w:val="22"/>
                <w14:textOutline w14:w="0" w14:cap="flat" w14:cmpd="sng" w14:algn="ctr">
                  <w14:noFill/>
                  <w14:prstDash w14:val="solid"/>
                  <w14:bevel/>
                </w14:textOutline>
              </w:rPr>
              <w:t>118</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21B2681" w14:textId="77777777" w:rsidR="008575FB" w:rsidRDefault="00176BDB">
            <w:pPr>
              <w:jc w:val="right"/>
            </w:pPr>
            <w:r>
              <w:rPr>
                <w:rFonts w:cs="Arial Unicode MS"/>
                <w:color w:val="000000"/>
                <w:sz w:val="22"/>
                <w:szCs w:val="22"/>
                <w14:textOutline w14:w="0" w14:cap="flat" w14:cmpd="sng" w14:algn="ctr">
                  <w14:noFill/>
                  <w14:prstDash w14:val="solid"/>
                  <w14:bevel/>
                </w14:textOutline>
              </w:rPr>
              <w:t>860,356.79</w:t>
            </w:r>
          </w:p>
        </w:tc>
      </w:tr>
      <w:tr w:rsidR="00EC3131" w14:paraId="61E8C956"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68256168" w14:textId="77777777" w:rsidR="008575FB" w:rsidRDefault="00176BDB">
            <w:pPr>
              <w:pStyle w:val="TableStyle2"/>
            </w:pPr>
            <w:r>
              <w:rPr>
                <w:rFonts w:ascii="Times New Roman" w:hAnsi="Times New Roman"/>
                <w:sz w:val="22"/>
                <w:szCs w:val="22"/>
              </w:rPr>
              <w:t>Plastic or Rubber</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D16C2F2" w14:textId="77777777" w:rsidR="008575FB" w:rsidRDefault="00176BDB">
            <w:pPr>
              <w:jc w:val="right"/>
            </w:pPr>
            <w:r>
              <w:rPr>
                <w:rFonts w:cs="Arial Unicode MS"/>
                <w:color w:val="000000"/>
                <w:sz w:val="22"/>
                <w:szCs w:val="22"/>
                <w14:textOutline w14:w="0" w14:cap="flat" w14:cmpd="sng" w14:algn="ctr">
                  <w14:noFill/>
                  <w14:prstDash w14:val="solid"/>
                  <w14:bevel/>
                </w14:textOutline>
              </w:rPr>
              <w:t>46.44%</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6D41BAE4" w14:textId="77777777" w:rsidR="008575FB" w:rsidRDefault="00176BDB">
            <w:pPr>
              <w:jc w:val="right"/>
            </w:pPr>
            <w:r>
              <w:rPr>
                <w:rFonts w:cs="Arial Unicode MS"/>
                <w:color w:val="000000"/>
                <w:sz w:val="22"/>
                <w:szCs w:val="22"/>
                <w14:textOutline w14:w="0" w14:cap="flat" w14:cmpd="sng" w14:algn="ctr">
                  <w14:noFill/>
                  <w14:prstDash w14:val="solid"/>
                  <w14:bevel/>
                </w14:textOutline>
              </w:rPr>
              <w:t>43.27%</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DABBC22" w14:textId="77777777" w:rsidR="008575FB" w:rsidRDefault="00176BDB">
            <w:pPr>
              <w:jc w:val="right"/>
            </w:pPr>
            <w:r>
              <w:rPr>
                <w:rFonts w:cs="Arial Unicode MS"/>
                <w:color w:val="000000"/>
                <w:sz w:val="22"/>
                <w:szCs w:val="22"/>
                <w14:textOutline w14:w="0" w14:cap="flat" w14:cmpd="sng" w14:algn="ctr">
                  <w14:noFill/>
                  <w14:prstDash w14:val="solid"/>
                  <w14:bevel/>
                </w14:textOutline>
              </w:rPr>
              <w:t>90</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05D2F35" w14:textId="77777777" w:rsidR="008575FB" w:rsidRDefault="00176BDB">
            <w:pPr>
              <w:jc w:val="right"/>
            </w:pPr>
            <w:r>
              <w:rPr>
                <w:rFonts w:cs="Arial Unicode MS"/>
                <w:color w:val="000000"/>
                <w:sz w:val="22"/>
                <w:szCs w:val="22"/>
                <w14:textOutline w14:w="0" w14:cap="flat" w14:cmpd="sng" w14:algn="ctr">
                  <w14:noFill/>
                  <w14:prstDash w14:val="solid"/>
                  <w14:bevel/>
                </w14:textOutline>
              </w:rPr>
              <w:t>1,395,158.40</w:t>
            </w:r>
          </w:p>
        </w:tc>
      </w:tr>
      <w:tr w:rsidR="00EC3131" w14:paraId="334EB7B2"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A80D437" w14:textId="77777777" w:rsidR="008575FB" w:rsidRDefault="00176BDB">
            <w:pPr>
              <w:pStyle w:val="TableStyle2"/>
            </w:pPr>
            <w:r>
              <w:rPr>
                <w:rFonts w:ascii="Times New Roman" w:hAnsi="Times New Roman"/>
                <w:sz w:val="22"/>
                <w:szCs w:val="22"/>
              </w:rPr>
              <w:t>Stone and Glass</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B5A1200" w14:textId="77777777" w:rsidR="008575FB" w:rsidRDefault="00176BDB">
            <w:pPr>
              <w:jc w:val="right"/>
            </w:pPr>
            <w:r>
              <w:rPr>
                <w:rFonts w:cs="Arial Unicode MS"/>
                <w:color w:val="000000"/>
                <w:sz w:val="22"/>
                <w:szCs w:val="22"/>
                <w14:textOutline w14:w="0" w14:cap="flat" w14:cmpd="sng" w14:algn="ctr">
                  <w14:noFill/>
                  <w14:prstDash w14:val="solid"/>
                  <w14:bevel/>
                </w14:textOutline>
              </w:rPr>
              <w:t>45.92%</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97189E7" w14:textId="77777777" w:rsidR="008575FB" w:rsidRDefault="00176BDB">
            <w:pPr>
              <w:jc w:val="right"/>
            </w:pPr>
            <w:r>
              <w:rPr>
                <w:rFonts w:cs="Arial Unicode MS"/>
                <w:color w:val="000000"/>
                <w:sz w:val="22"/>
                <w:szCs w:val="22"/>
                <w14:textOutline w14:w="0" w14:cap="flat" w14:cmpd="sng" w14:algn="ctr">
                  <w14:noFill/>
                  <w14:prstDash w14:val="solid"/>
                  <w14:bevel/>
                </w14:textOutline>
              </w:rPr>
              <w:t>24.02%</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3C43F28" w14:textId="77777777" w:rsidR="008575FB" w:rsidRDefault="00176BDB">
            <w:pPr>
              <w:jc w:val="right"/>
            </w:pPr>
            <w:r>
              <w:rPr>
                <w:rFonts w:cs="Arial Unicode MS"/>
                <w:color w:val="000000"/>
                <w:sz w:val="22"/>
                <w:szCs w:val="22"/>
                <w14:textOutline w14:w="0" w14:cap="flat" w14:cmpd="sng" w14:algn="ctr">
                  <w14:noFill/>
                  <w14:prstDash w14:val="solid"/>
                  <w14:bevel/>
                </w14:textOutline>
              </w:rPr>
              <w:t>43</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AB7AC03" w14:textId="77777777" w:rsidR="008575FB" w:rsidRDefault="00176BDB">
            <w:pPr>
              <w:jc w:val="right"/>
            </w:pPr>
            <w:r>
              <w:rPr>
                <w:rFonts w:cs="Arial Unicode MS"/>
                <w:color w:val="000000"/>
                <w:sz w:val="22"/>
                <w:szCs w:val="22"/>
                <w14:textOutline w14:w="0" w14:cap="flat" w14:cmpd="sng" w14:algn="ctr">
                  <w14:noFill/>
                  <w14:prstDash w14:val="solid"/>
                  <w14:bevel/>
                </w14:textOutline>
              </w:rPr>
              <w:t>439,082.01</w:t>
            </w:r>
          </w:p>
        </w:tc>
      </w:tr>
      <w:tr w:rsidR="00EC3131" w14:paraId="2C13B42B"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6DEA01E0" w14:textId="77777777" w:rsidR="008575FB" w:rsidRDefault="00176BDB">
            <w:pPr>
              <w:pStyle w:val="TableStyle2"/>
            </w:pPr>
            <w:r>
              <w:rPr>
                <w:rFonts w:ascii="Times New Roman" w:hAnsi="Times New Roman"/>
                <w:sz w:val="22"/>
                <w:szCs w:val="22"/>
              </w:rPr>
              <w:t>Mach and Elec</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556E2E3" w14:textId="77777777" w:rsidR="008575FB" w:rsidRDefault="00176BDB">
            <w:pPr>
              <w:jc w:val="right"/>
            </w:pPr>
            <w:r>
              <w:rPr>
                <w:rFonts w:cs="Arial Unicode MS"/>
                <w:color w:val="000000"/>
                <w:sz w:val="22"/>
                <w:szCs w:val="22"/>
                <w14:textOutline w14:w="0" w14:cap="flat" w14:cmpd="sng" w14:algn="ctr">
                  <w14:noFill/>
                  <w14:prstDash w14:val="solid"/>
                  <w14:bevel/>
                </w14:textOutline>
              </w:rPr>
              <w:t>38.14%</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14B09B0" w14:textId="77777777" w:rsidR="008575FB" w:rsidRDefault="00176BDB">
            <w:pPr>
              <w:jc w:val="right"/>
            </w:pPr>
            <w:r>
              <w:rPr>
                <w:rFonts w:cs="Arial Unicode MS"/>
                <w:color w:val="000000"/>
                <w:sz w:val="22"/>
                <w:szCs w:val="22"/>
                <w14:textOutline w14:w="0" w14:cap="flat" w14:cmpd="sng" w14:algn="ctr">
                  <w14:noFill/>
                  <w14:prstDash w14:val="solid"/>
                  <w14:bevel/>
                </w14:textOutline>
              </w:rPr>
              <w:t>18.56%</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6BF7C02" w14:textId="77777777" w:rsidR="008575FB" w:rsidRDefault="00176BDB">
            <w:pPr>
              <w:jc w:val="right"/>
            </w:pPr>
            <w:r>
              <w:rPr>
                <w:rFonts w:cs="Arial Unicode MS"/>
                <w:color w:val="000000"/>
                <w:sz w:val="22"/>
                <w:szCs w:val="22"/>
                <w14:textOutline w14:w="0" w14:cap="flat" w14:cmpd="sng" w14:algn="ctr">
                  <w14:noFill/>
                  <w14:prstDash w14:val="solid"/>
                  <w14:bevel/>
                </w14:textOutline>
              </w:rPr>
              <w:t>142</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B050EC1" w14:textId="77777777" w:rsidR="008575FB" w:rsidRDefault="00176BDB">
            <w:pPr>
              <w:jc w:val="right"/>
            </w:pPr>
            <w:r>
              <w:rPr>
                <w:rFonts w:cs="Arial Unicode MS"/>
                <w:color w:val="000000"/>
                <w:sz w:val="22"/>
                <w:szCs w:val="22"/>
                <w14:textOutline w14:w="0" w14:cap="flat" w14:cmpd="sng" w14:algn="ctr">
                  <w14:noFill/>
                  <w14:prstDash w14:val="solid"/>
                  <w14:bevel/>
                </w14:textOutline>
              </w:rPr>
              <w:t>3,824,938.15</w:t>
            </w:r>
          </w:p>
        </w:tc>
      </w:tr>
      <w:tr w:rsidR="00EC3131" w14:paraId="06333110"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AF395FD" w14:textId="77777777" w:rsidR="008575FB" w:rsidRDefault="00176BDB">
            <w:pPr>
              <w:pStyle w:val="TableStyle2"/>
            </w:pPr>
            <w:r>
              <w:rPr>
                <w:rFonts w:ascii="Times New Roman" w:hAnsi="Times New Roman"/>
                <w:sz w:val="22"/>
                <w:szCs w:val="22"/>
              </w:rPr>
              <w:t>Chemicals</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DCDBF83" w14:textId="77777777" w:rsidR="008575FB" w:rsidRDefault="00176BDB">
            <w:pPr>
              <w:jc w:val="right"/>
            </w:pPr>
            <w:r>
              <w:rPr>
                <w:rFonts w:cs="Arial Unicode MS"/>
                <w:color w:val="000000"/>
                <w:sz w:val="22"/>
                <w:szCs w:val="22"/>
                <w14:textOutline w14:w="0" w14:cap="flat" w14:cmpd="sng" w14:algn="ctr">
                  <w14:noFill/>
                  <w14:prstDash w14:val="solid"/>
                  <w14:bevel/>
                </w14:textOutline>
              </w:rPr>
              <w:t>36.31%</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938CBB3" w14:textId="77777777" w:rsidR="008575FB" w:rsidRDefault="00176BDB">
            <w:pPr>
              <w:jc w:val="right"/>
            </w:pPr>
            <w:r>
              <w:rPr>
                <w:rFonts w:cs="Arial Unicode MS"/>
                <w:color w:val="000000"/>
                <w:sz w:val="22"/>
                <w:szCs w:val="22"/>
                <w14:textOutline w14:w="0" w14:cap="flat" w14:cmpd="sng" w14:algn="ctr">
                  <w14:noFill/>
                  <w14:prstDash w14:val="solid"/>
                  <w14:bevel/>
                </w14:textOutline>
              </w:rPr>
              <w:t>23.60%</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32EB53F7" w14:textId="77777777" w:rsidR="008575FB" w:rsidRDefault="00176BDB">
            <w:pPr>
              <w:jc w:val="right"/>
            </w:pPr>
            <w:r>
              <w:rPr>
                <w:rFonts w:cs="Arial Unicode MS"/>
                <w:color w:val="000000"/>
                <w:sz w:val="22"/>
                <w:szCs w:val="22"/>
                <w14:textOutline w14:w="0" w14:cap="flat" w14:cmpd="sng" w14:algn="ctr">
                  <w14:noFill/>
                  <w14:prstDash w14:val="solid"/>
                  <w14:bevel/>
                </w14:textOutline>
              </w:rPr>
              <w:t>169</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900FE94" w14:textId="77777777" w:rsidR="008575FB" w:rsidRDefault="00176BDB">
            <w:pPr>
              <w:jc w:val="right"/>
            </w:pPr>
            <w:r>
              <w:rPr>
                <w:rFonts w:cs="Arial Unicode MS"/>
                <w:color w:val="000000"/>
                <w:sz w:val="22"/>
                <w:szCs w:val="22"/>
                <w14:textOutline w14:w="0" w14:cap="flat" w14:cmpd="sng" w14:algn="ctr">
                  <w14:noFill/>
                  <w14:prstDash w14:val="solid"/>
                  <w14:bevel/>
                </w14:textOutline>
              </w:rPr>
              <w:t>1,570,577.51</w:t>
            </w:r>
          </w:p>
        </w:tc>
      </w:tr>
      <w:tr w:rsidR="00EC3131" w14:paraId="1D88919D"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4EDD640" w14:textId="77777777" w:rsidR="008575FB" w:rsidRDefault="00176BDB">
            <w:pPr>
              <w:pStyle w:val="TableStyle2"/>
            </w:pPr>
            <w:r>
              <w:rPr>
                <w:rFonts w:ascii="Times New Roman" w:hAnsi="Times New Roman"/>
                <w:sz w:val="22"/>
                <w:szCs w:val="22"/>
              </w:rPr>
              <w:t>Wood</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6341523B" w14:textId="77777777" w:rsidR="008575FB" w:rsidRDefault="00176BDB">
            <w:pPr>
              <w:jc w:val="right"/>
            </w:pPr>
            <w:r>
              <w:rPr>
                <w:rFonts w:cs="Arial Unicode MS"/>
                <w:color w:val="000000"/>
                <w:sz w:val="22"/>
                <w:szCs w:val="22"/>
                <w14:textOutline w14:w="0" w14:cap="flat" w14:cmpd="sng" w14:algn="ctr">
                  <w14:noFill/>
                  <w14:prstDash w14:val="solid"/>
                  <w14:bevel/>
                </w14:textOutline>
              </w:rPr>
              <w:t>36.14%</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5BFC7A5F" w14:textId="77777777" w:rsidR="008575FB" w:rsidRDefault="00176BDB">
            <w:pPr>
              <w:jc w:val="right"/>
            </w:pPr>
            <w:r>
              <w:rPr>
                <w:rFonts w:cs="Arial Unicode MS"/>
                <w:color w:val="000000"/>
                <w:sz w:val="22"/>
                <w:szCs w:val="22"/>
                <w14:textOutline w14:w="0" w14:cap="flat" w14:cmpd="sng" w14:algn="ctr">
                  <w14:noFill/>
                  <w14:prstDash w14:val="solid"/>
                  <w14:bevel/>
                </w14:textOutline>
              </w:rPr>
              <w:t>40.44%</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FEF7FA6" w14:textId="77777777" w:rsidR="008575FB" w:rsidRDefault="00176BDB">
            <w:pPr>
              <w:jc w:val="right"/>
            </w:pPr>
            <w:r>
              <w:rPr>
                <w:rFonts w:cs="Arial Unicode MS"/>
                <w:color w:val="000000"/>
                <w:sz w:val="22"/>
                <w:szCs w:val="22"/>
                <w14:textOutline w14:w="0" w14:cap="flat" w14:cmpd="sng" w14:algn="ctr">
                  <w14:noFill/>
                  <w14:prstDash w14:val="solid"/>
                  <w14:bevel/>
                </w14:textOutline>
              </w:rPr>
              <w:t>91</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2010E26" w14:textId="77777777" w:rsidR="008575FB" w:rsidRDefault="00176BDB">
            <w:pPr>
              <w:jc w:val="right"/>
            </w:pPr>
            <w:r>
              <w:rPr>
                <w:rFonts w:cs="Arial Unicode MS"/>
                <w:color w:val="000000"/>
                <w:sz w:val="22"/>
                <w:szCs w:val="22"/>
                <w14:textOutline w14:w="0" w14:cap="flat" w14:cmpd="sng" w14:algn="ctr">
                  <w14:noFill/>
                  <w14:prstDash w14:val="solid"/>
                  <w14:bevel/>
                </w14:textOutline>
              </w:rPr>
              <w:t>613,471.73</w:t>
            </w:r>
          </w:p>
        </w:tc>
      </w:tr>
      <w:tr w:rsidR="00EC3131" w14:paraId="24E1404F"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B46E44B" w14:textId="77777777" w:rsidR="008575FB" w:rsidRDefault="00176BDB">
            <w:pPr>
              <w:pStyle w:val="TableStyle2"/>
            </w:pPr>
            <w:r>
              <w:rPr>
                <w:rFonts w:ascii="Times New Roman" w:hAnsi="Times New Roman"/>
                <w:sz w:val="22"/>
                <w:szCs w:val="22"/>
              </w:rPr>
              <w:t>Metals</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09B0C3D4" w14:textId="77777777" w:rsidR="008575FB" w:rsidRDefault="00176BDB">
            <w:pPr>
              <w:jc w:val="right"/>
            </w:pPr>
            <w:r>
              <w:rPr>
                <w:rFonts w:cs="Arial Unicode MS"/>
                <w:color w:val="000000"/>
                <w:sz w:val="22"/>
                <w:szCs w:val="22"/>
                <w14:textOutline w14:w="0" w14:cap="flat" w14:cmpd="sng" w14:algn="ctr">
                  <w14:noFill/>
                  <w14:prstDash w14:val="solid"/>
                  <w14:bevel/>
                </w14:textOutline>
              </w:rPr>
              <w:t>27.54%</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5D55406E" w14:textId="77777777" w:rsidR="008575FB" w:rsidRDefault="00176BDB">
            <w:pPr>
              <w:jc w:val="right"/>
            </w:pPr>
            <w:r>
              <w:rPr>
                <w:rFonts w:cs="Arial Unicode MS"/>
                <w:color w:val="000000"/>
                <w:sz w:val="22"/>
                <w:szCs w:val="22"/>
                <w14:textOutline w14:w="0" w14:cap="flat" w14:cmpd="sng" w14:algn="ctr">
                  <w14:noFill/>
                  <w14:prstDash w14:val="solid"/>
                  <w14:bevel/>
                </w14:textOutline>
              </w:rPr>
              <w:t>25.29%</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A95A071" w14:textId="77777777" w:rsidR="008575FB" w:rsidRDefault="00176BDB">
            <w:pPr>
              <w:jc w:val="right"/>
            </w:pPr>
            <w:r>
              <w:rPr>
                <w:rFonts w:cs="Arial Unicode MS"/>
                <w:color w:val="000000"/>
                <w:sz w:val="22"/>
                <w:szCs w:val="22"/>
                <w14:textOutline w14:w="0" w14:cap="flat" w14:cmpd="sng" w14:algn="ctr">
                  <w14:noFill/>
                  <w14:prstDash w14:val="solid"/>
                  <w14:bevel/>
                </w14:textOutline>
              </w:rPr>
              <w:t>133</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938D8C8" w14:textId="77777777" w:rsidR="008575FB" w:rsidRDefault="00176BDB">
            <w:pPr>
              <w:jc w:val="right"/>
            </w:pPr>
            <w:r>
              <w:rPr>
                <w:rFonts w:cs="Arial Unicode MS"/>
                <w:color w:val="000000"/>
                <w:sz w:val="22"/>
                <w:szCs w:val="22"/>
                <w14:textOutline w14:w="0" w14:cap="flat" w14:cmpd="sng" w14:algn="ctr">
                  <w14:noFill/>
                  <w14:prstDash w14:val="solid"/>
                  <w14:bevel/>
                </w14:textOutline>
              </w:rPr>
              <w:t>1,324,646.83</w:t>
            </w:r>
          </w:p>
        </w:tc>
      </w:tr>
      <w:tr w:rsidR="00EC3131" w14:paraId="5A9BB9D8" w14:textId="77777777" w:rsidTr="00EC3131">
        <w:trPr>
          <w:trHeight w:val="400"/>
          <w:jc w:val="right"/>
        </w:trPr>
        <w:tc>
          <w:tcPr>
            <w:tcW w:w="2154"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706CCD65" w14:textId="77777777" w:rsidR="008575FB" w:rsidRDefault="00176BDB">
            <w:pPr>
              <w:pStyle w:val="TableStyle2"/>
            </w:pPr>
            <w:r>
              <w:rPr>
                <w:rFonts w:ascii="Times New Roman" w:hAnsi="Times New Roman"/>
                <w:sz w:val="22"/>
                <w:szCs w:val="22"/>
              </w:rPr>
              <w:t>Transportation</w:t>
            </w:r>
          </w:p>
        </w:tc>
        <w:tc>
          <w:tcPr>
            <w:tcW w:w="1806"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19108C76" w14:textId="77777777" w:rsidR="008575FB" w:rsidRDefault="00176BDB">
            <w:pPr>
              <w:jc w:val="right"/>
            </w:pPr>
            <w:r>
              <w:rPr>
                <w:rFonts w:cs="Arial Unicode MS"/>
                <w:color w:val="000000"/>
                <w:sz w:val="22"/>
                <w:szCs w:val="22"/>
                <w14:textOutline w14:w="0" w14:cap="flat" w14:cmpd="sng" w14:algn="ctr">
                  <w14:noFill/>
                  <w14:prstDash w14:val="solid"/>
                  <w14:bevel/>
                </w14:textOutline>
              </w:rPr>
              <w:t>11.37%</w:t>
            </w:r>
          </w:p>
        </w:tc>
        <w:tc>
          <w:tcPr>
            <w:tcW w:w="189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2AE94C95" w14:textId="77777777" w:rsidR="008575FB" w:rsidRDefault="00176BDB">
            <w:pPr>
              <w:jc w:val="right"/>
            </w:pPr>
            <w:r>
              <w:rPr>
                <w:rFonts w:cs="Arial Unicode MS"/>
                <w:color w:val="000000"/>
                <w:sz w:val="22"/>
                <w:szCs w:val="22"/>
                <w14:textOutline w14:w="0" w14:cap="flat" w14:cmpd="sng" w14:algn="ctr">
                  <w14:noFill/>
                  <w14:prstDash w14:val="solid"/>
                  <w14:bevel/>
                </w14:textOutline>
              </w:rPr>
              <w:t>13.56%</w:t>
            </w:r>
          </w:p>
        </w:tc>
        <w:tc>
          <w:tcPr>
            <w:tcW w:w="1793"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532BAF11" w14:textId="77777777" w:rsidR="008575FB" w:rsidRDefault="00176BDB">
            <w:pPr>
              <w:jc w:val="right"/>
            </w:pPr>
            <w:r>
              <w:rPr>
                <w:rFonts w:cs="Arial Unicode MS"/>
                <w:color w:val="000000"/>
                <w:sz w:val="22"/>
                <w:szCs w:val="22"/>
                <w14:textOutline w14:w="0" w14:cap="flat" w14:cmpd="sng" w14:algn="ctr">
                  <w14:noFill/>
                  <w14:prstDash w14:val="solid"/>
                  <w14:bevel/>
                </w14:textOutline>
              </w:rPr>
              <w:t>16</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14:paraId="4DE80F31" w14:textId="77777777" w:rsidR="008575FB" w:rsidRDefault="00176BDB">
            <w:pPr>
              <w:jc w:val="right"/>
            </w:pPr>
            <w:r>
              <w:rPr>
                <w:rFonts w:cs="Arial Unicode MS"/>
                <w:color w:val="000000"/>
                <w:sz w:val="22"/>
                <w:szCs w:val="22"/>
                <w14:textOutline w14:w="0" w14:cap="flat" w14:cmpd="sng" w14:algn="ctr">
                  <w14:noFill/>
                  <w14:prstDash w14:val="solid"/>
                  <w14:bevel/>
                </w14:textOutline>
              </w:rPr>
              <w:t>636,980.05</w:t>
            </w:r>
          </w:p>
        </w:tc>
      </w:tr>
    </w:tbl>
    <w:p w14:paraId="233574A7" w14:textId="77777777" w:rsidR="008575FB" w:rsidRDefault="008575FB">
      <w:pPr>
        <w:pStyle w:val="Default"/>
        <w:jc w:val="right"/>
        <w:rPr>
          <w:rFonts w:ascii="Calibri" w:eastAsia="Calibri" w:hAnsi="Calibri" w:cs="Calibri"/>
        </w:rPr>
      </w:pPr>
    </w:p>
    <w:p w14:paraId="54C8F4B2" w14:textId="77777777" w:rsidR="008575FB" w:rsidRDefault="00176BDB">
      <w:pPr>
        <w:pStyle w:val="Default"/>
        <w:jc w:val="both"/>
        <w:rPr>
          <w:rFonts w:ascii="Times New Roman" w:eastAsia="Times New Roman" w:hAnsi="Times New Roman" w:cs="Times New Roman"/>
          <w:sz w:val="20"/>
          <w:szCs w:val="20"/>
        </w:rPr>
      </w:pPr>
      <w:r>
        <w:rPr>
          <w:rFonts w:ascii="Times New Roman" w:hAnsi="Times New Roman"/>
          <w:sz w:val="20"/>
          <w:szCs w:val="20"/>
        </w:rPr>
        <w:t>Note: The coverage ratio is calculated by determining the value of imports of each commodity subject to NTMs. The frequency ratio indicates</w:t>
      </w:r>
      <w:r>
        <w:rPr>
          <w:rFonts w:ascii="Times New Roman" w:hAnsi="Times New Roman"/>
          <w:sz w:val="20"/>
          <w:szCs w:val="20"/>
        </w:rPr>
        <w:t xml:space="preserve"> the percentage of traded products to which one or more NTMs are applied. NTM affected product </w:t>
      </w:r>
      <w:r>
        <w:rPr>
          <w:rFonts w:ascii="Times New Roman" w:hAnsi="Times New Roman"/>
          <w:sz w:val="20"/>
          <w:szCs w:val="20"/>
        </w:rPr>
        <w:lastRenderedPageBreak/>
        <w:t>- count represents the number of traded HS 6 digit products that are subject to one or more NTM measures. NTM affected trade measures sum of gross imports or gro</w:t>
      </w:r>
      <w:r>
        <w:rPr>
          <w:rFonts w:ascii="Times New Roman" w:hAnsi="Times New Roman"/>
          <w:sz w:val="20"/>
          <w:szCs w:val="20"/>
        </w:rPr>
        <w:t>ss exports that are affected by one or more NTM measures</w:t>
      </w:r>
    </w:p>
    <w:p w14:paraId="3C603C30" w14:textId="77777777" w:rsidR="008575FB" w:rsidRDefault="008575FB">
      <w:pPr>
        <w:pStyle w:val="Body"/>
        <w:jc w:val="both"/>
        <w:rPr>
          <w:rFonts w:ascii="Times New Roman" w:eastAsia="Times New Roman" w:hAnsi="Times New Roman" w:cs="Times New Roman"/>
          <w:sz w:val="24"/>
          <w:szCs w:val="24"/>
        </w:rPr>
      </w:pPr>
    </w:p>
    <w:p w14:paraId="52F1CA03"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Table 2 lists the top ten most imposed non-tariff measures in Morocco. Evidently, the most prominent NTBs are technical barriers to trade (Category B</w:t>
      </w:r>
      <w:bookmarkStart w:id="0" w:name="_GoBack"/>
      <w:bookmarkEnd w:id="0"/>
      <w:r>
        <w:rPr>
          <w:rFonts w:ascii="Times New Roman" w:hAnsi="Times New Roman"/>
          <w:sz w:val="24"/>
          <w:szCs w:val="24"/>
        </w:rPr>
        <w:t xml:space="preserve">), pre-shipment inspection and other formalities </w:t>
      </w:r>
      <w:r>
        <w:rPr>
          <w:rFonts w:ascii="Times New Roman" w:hAnsi="Times New Roman"/>
          <w:sz w:val="24"/>
          <w:szCs w:val="24"/>
        </w:rPr>
        <w:t>(Category P), and charges, taxes, and other para-tariff measures (Category F).</w:t>
      </w:r>
    </w:p>
    <w:p w14:paraId="20DFC75C" w14:textId="77777777" w:rsidR="008575FB" w:rsidRDefault="008575FB">
      <w:pPr>
        <w:pStyle w:val="Body"/>
        <w:jc w:val="both"/>
        <w:rPr>
          <w:rFonts w:ascii="Times New Roman" w:eastAsia="Times New Roman" w:hAnsi="Times New Roman" w:cs="Times New Roman"/>
          <w:sz w:val="24"/>
          <w:szCs w:val="24"/>
        </w:rPr>
      </w:pPr>
    </w:p>
    <w:tbl>
      <w:tblPr>
        <w:tblW w:w="9617" w:type="dxa"/>
        <w:jc w:val="righ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180"/>
        <w:gridCol w:w="1819"/>
        <w:gridCol w:w="1882"/>
        <w:gridCol w:w="1812"/>
        <w:gridCol w:w="1924"/>
      </w:tblGrid>
      <w:tr w:rsidR="008575FB" w14:paraId="60D77418" w14:textId="77777777" w:rsidTr="00376F17">
        <w:trPr>
          <w:trHeight w:val="290"/>
          <w:tblHeader/>
          <w:jc w:val="right"/>
        </w:trPr>
        <w:tc>
          <w:tcPr>
            <w:tcW w:w="9617" w:type="dxa"/>
            <w:gridSpan w:val="5"/>
            <w:tcBorders>
              <w:top w:val="single" w:sz="4" w:space="0" w:color="FFFFFF" w:themeColor="background1"/>
              <w:left w:val="single" w:sz="4" w:space="0" w:color="FFFFFF" w:themeColor="background1"/>
              <w:right w:val="single" w:sz="4" w:space="0" w:color="FFFFFF" w:themeColor="background1"/>
            </w:tcBorders>
            <w:shd w:val="clear" w:color="auto" w:fill="auto"/>
            <w:tcMar>
              <w:top w:w="80" w:type="dxa"/>
              <w:left w:w="80" w:type="dxa"/>
              <w:bottom w:w="80" w:type="dxa"/>
              <w:right w:w="80" w:type="dxa"/>
            </w:tcMar>
            <w:vAlign w:val="center"/>
          </w:tcPr>
          <w:p w14:paraId="43EFC7F9" w14:textId="77777777" w:rsidR="008575FB" w:rsidRDefault="00176BDB">
            <w:pPr>
              <w:pStyle w:val="TableTitle1"/>
            </w:pPr>
            <w:r>
              <w:rPr>
                <w:rFonts w:ascii="Times New Roman" w:eastAsia="Times New Roman" w:hAnsi="Times New Roman" w:cs="Times New Roman"/>
              </w:rPr>
              <w:t>Table 2: Morocco Top ten most imposed non-tariff measures</w:t>
            </w:r>
          </w:p>
        </w:tc>
      </w:tr>
      <w:tr w:rsidR="008575FB" w14:paraId="7F5B3A31" w14:textId="77777777" w:rsidTr="00376F17">
        <w:trPr>
          <w:trHeight w:val="491"/>
          <w:jc w:val="right"/>
        </w:trPr>
        <w:tc>
          <w:tcPr>
            <w:tcW w:w="2180" w:type="dxa"/>
            <w:shd w:val="clear" w:color="auto" w:fill="auto"/>
            <w:tcMar>
              <w:top w:w="0" w:type="dxa"/>
              <w:left w:w="100" w:type="dxa"/>
              <w:bottom w:w="0" w:type="dxa"/>
              <w:right w:w="100" w:type="dxa"/>
            </w:tcMar>
            <w:vAlign w:val="center"/>
          </w:tcPr>
          <w:p w14:paraId="448DB85A" w14:textId="77777777" w:rsidR="008575FB" w:rsidRDefault="00176BDB">
            <w:pPr>
              <w:pStyle w:val="TableStyle2"/>
            </w:pPr>
            <w:r>
              <w:rPr>
                <w:rFonts w:ascii="Times New Roman" w:hAnsi="Times New Roman"/>
                <w:sz w:val="22"/>
                <w:szCs w:val="22"/>
              </w:rPr>
              <w:t>Measure</w:t>
            </w:r>
          </w:p>
        </w:tc>
        <w:tc>
          <w:tcPr>
            <w:tcW w:w="1819" w:type="dxa"/>
            <w:shd w:val="clear" w:color="auto" w:fill="auto"/>
            <w:tcMar>
              <w:top w:w="0" w:type="dxa"/>
              <w:left w:w="100" w:type="dxa"/>
              <w:bottom w:w="0" w:type="dxa"/>
              <w:right w:w="100" w:type="dxa"/>
            </w:tcMar>
            <w:vAlign w:val="center"/>
          </w:tcPr>
          <w:p w14:paraId="0BE6234C" w14:textId="77777777" w:rsidR="008575FB" w:rsidRDefault="00176BDB">
            <w:pPr>
              <w:pStyle w:val="TableStyle2"/>
            </w:pPr>
            <w:r>
              <w:rPr>
                <w:rFonts w:ascii="Times New Roman" w:hAnsi="Times New Roman"/>
                <w:sz w:val="22"/>
                <w:szCs w:val="22"/>
              </w:rPr>
              <w:t>NTM Coverage Ratio</w:t>
            </w:r>
          </w:p>
        </w:tc>
        <w:tc>
          <w:tcPr>
            <w:tcW w:w="1882" w:type="dxa"/>
            <w:shd w:val="clear" w:color="auto" w:fill="auto"/>
            <w:tcMar>
              <w:top w:w="0" w:type="dxa"/>
              <w:left w:w="100" w:type="dxa"/>
              <w:bottom w:w="0" w:type="dxa"/>
              <w:right w:w="100" w:type="dxa"/>
            </w:tcMar>
            <w:vAlign w:val="center"/>
          </w:tcPr>
          <w:p w14:paraId="16E4E2D8" w14:textId="77777777" w:rsidR="008575FB" w:rsidRDefault="00176BDB">
            <w:pPr>
              <w:pStyle w:val="TableStyle2"/>
            </w:pPr>
            <w:r>
              <w:rPr>
                <w:rFonts w:ascii="Times New Roman" w:hAnsi="Times New Roman"/>
                <w:sz w:val="22"/>
                <w:szCs w:val="22"/>
              </w:rPr>
              <w:t>NTM Frequency Ratio</w:t>
            </w:r>
          </w:p>
        </w:tc>
        <w:tc>
          <w:tcPr>
            <w:tcW w:w="1812" w:type="dxa"/>
            <w:shd w:val="clear" w:color="auto" w:fill="auto"/>
            <w:tcMar>
              <w:top w:w="0" w:type="dxa"/>
              <w:left w:w="100" w:type="dxa"/>
              <w:bottom w:w="0" w:type="dxa"/>
              <w:right w:w="100" w:type="dxa"/>
            </w:tcMar>
            <w:vAlign w:val="center"/>
          </w:tcPr>
          <w:p w14:paraId="65DF2FD7" w14:textId="77777777" w:rsidR="008575FB" w:rsidRDefault="00176BDB">
            <w:pPr>
              <w:pStyle w:val="TableStyle2"/>
            </w:pPr>
            <w:r>
              <w:rPr>
                <w:rFonts w:ascii="Times New Roman" w:hAnsi="Times New Roman"/>
                <w:sz w:val="22"/>
                <w:szCs w:val="22"/>
              </w:rPr>
              <w:t>NTM affected product - Count</w:t>
            </w:r>
          </w:p>
        </w:tc>
        <w:tc>
          <w:tcPr>
            <w:tcW w:w="1923" w:type="dxa"/>
            <w:shd w:val="clear" w:color="auto" w:fill="auto"/>
            <w:tcMar>
              <w:top w:w="0" w:type="dxa"/>
              <w:left w:w="100" w:type="dxa"/>
              <w:bottom w:w="0" w:type="dxa"/>
              <w:right w:w="100" w:type="dxa"/>
            </w:tcMar>
            <w:vAlign w:val="center"/>
          </w:tcPr>
          <w:p w14:paraId="3E3B2DDD" w14:textId="77777777" w:rsidR="008575FB" w:rsidRDefault="00176BDB">
            <w:pPr>
              <w:pStyle w:val="TableStyle2"/>
            </w:pPr>
            <w:r>
              <w:rPr>
                <w:rFonts w:ascii="Times New Roman" w:hAnsi="Times New Roman"/>
                <w:sz w:val="22"/>
                <w:szCs w:val="22"/>
              </w:rPr>
              <w:t>NTM affected Trade</w:t>
            </w:r>
          </w:p>
        </w:tc>
      </w:tr>
      <w:tr w:rsidR="008575FB" w14:paraId="547A451B" w14:textId="77777777" w:rsidTr="00376F17">
        <w:trPr>
          <w:trHeight w:val="491"/>
          <w:jc w:val="right"/>
        </w:trPr>
        <w:tc>
          <w:tcPr>
            <w:tcW w:w="2180" w:type="dxa"/>
            <w:shd w:val="clear" w:color="auto" w:fill="auto"/>
            <w:tcMar>
              <w:top w:w="0" w:type="dxa"/>
              <w:left w:w="100" w:type="dxa"/>
              <w:bottom w:w="0" w:type="dxa"/>
              <w:right w:w="100" w:type="dxa"/>
            </w:tcMar>
            <w:vAlign w:val="center"/>
          </w:tcPr>
          <w:p w14:paraId="69D471DE" w14:textId="77777777" w:rsidR="008575FB" w:rsidRDefault="00176BDB">
            <w:pPr>
              <w:pStyle w:val="TableStyle2"/>
            </w:pPr>
            <w:r>
              <w:rPr>
                <w:rFonts w:ascii="Times New Roman" w:hAnsi="Times New Roman"/>
                <w:sz w:val="22"/>
                <w:szCs w:val="22"/>
              </w:rPr>
              <w:t xml:space="preserve">Certification </w:t>
            </w:r>
            <w:r>
              <w:rPr>
                <w:rFonts w:ascii="Times New Roman" w:hAnsi="Times New Roman"/>
                <w:sz w:val="22"/>
                <w:szCs w:val="22"/>
              </w:rPr>
              <w:t>requirement (B830)</w:t>
            </w:r>
          </w:p>
        </w:tc>
        <w:tc>
          <w:tcPr>
            <w:tcW w:w="1819" w:type="dxa"/>
            <w:shd w:val="clear" w:color="auto" w:fill="auto"/>
            <w:tcMar>
              <w:top w:w="0" w:type="dxa"/>
              <w:left w:w="100" w:type="dxa"/>
              <w:bottom w:w="0" w:type="dxa"/>
              <w:right w:w="100" w:type="dxa"/>
            </w:tcMar>
            <w:vAlign w:val="center"/>
          </w:tcPr>
          <w:p w14:paraId="16214C75" w14:textId="77777777" w:rsidR="008575FB" w:rsidRDefault="00176BDB">
            <w:pPr>
              <w:jc w:val="right"/>
            </w:pPr>
            <w:r>
              <w:rPr>
                <w:rFonts w:cs="Arial Unicode MS"/>
                <w:color w:val="000000"/>
                <w:sz w:val="22"/>
                <w:szCs w:val="22"/>
                <w14:textOutline w14:w="0" w14:cap="flat" w14:cmpd="sng" w14:algn="ctr">
                  <w14:noFill/>
                  <w14:prstDash w14:val="solid"/>
                  <w14:bevel/>
                </w14:textOutline>
              </w:rPr>
              <w:t>36.56%</w:t>
            </w:r>
          </w:p>
        </w:tc>
        <w:tc>
          <w:tcPr>
            <w:tcW w:w="1882" w:type="dxa"/>
            <w:shd w:val="clear" w:color="auto" w:fill="auto"/>
            <w:tcMar>
              <w:top w:w="0" w:type="dxa"/>
              <w:left w:w="100" w:type="dxa"/>
              <w:bottom w:w="0" w:type="dxa"/>
              <w:right w:w="100" w:type="dxa"/>
            </w:tcMar>
            <w:vAlign w:val="center"/>
          </w:tcPr>
          <w:p w14:paraId="167EF32E" w14:textId="77777777" w:rsidR="008575FB" w:rsidRDefault="00176BDB">
            <w:pPr>
              <w:jc w:val="right"/>
            </w:pPr>
            <w:r>
              <w:rPr>
                <w:rFonts w:cs="Arial Unicode MS"/>
                <w:color w:val="000000"/>
                <w:sz w:val="22"/>
                <w:szCs w:val="22"/>
                <w14:textOutline w14:w="0" w14:cap="flat" w14:cmpd="sng" w14:algn="ctr">
                  <w14:noFill/>
                  <w14:prstDash w14:val="solid"/>
                  <w14:bevel/>
                </w14:textOutline>
              </w:rPr>
              <w:t>33.36%</w:t>
            </w:r>
          </w:p>
        </w:tc>
        <w:tc>
          <w:tcPr>
            <w:tcW w:w="1812" w:type="dxa"/>
            <w:shd w:val="clear" w:color="auto" w:fill="auto"/>
            <w:tcMar>
              <w:top w:w="0" w:type="dxa"/>
              <w:left w:w="100" w:type="dxa"/>
              <w:bottom w:w="0" w:type="dxa"/>
              <w:right w:w="100" w:type="dxa"/>
            </w:tcMar>
            <w:vAlign w:val="center"/>
          </w:tcPr>
          <w:p w14:paraId="1F43FAEA" w14:textId="77777777" w:rsidR="008575FB" w:rsidRDefault="00176BDB">
            <w:pPr>
              <w:jc w:val="right"/>
            </w:pPr>
            <w:r>
              <w:rPr>
                <w:rFonts w:cs="Arial Unicode MS"/>
                <w:color w:val="000000"/>
                <w:sz w:val="22"/>
                <w:szCs w:val="22"/>
                <w14:textOutline w14:w="0" w14:cap="flat" w14:cmpd="sng" w14:algn="ctr">
                  <w14:noFill/>
                  <w14:prstDash w14:val="solid"/>
                  <w14:bevel/>
                </w14:textOutline>
              </w:rPr>
              <w:t>1601</w:t>
            </w:r>
          </w:p>
        </w:tc>
        <w:tc>
          <w:tcPr>
            <w:tcW w:w="1923" w:type="dxa"/>
            <w:shd w:val="clear" w:color="auto" w:fill="auto"/>
            <w:tcMar>
              <w:top w:w="0" w:type="dxa"/>
              <w:left w:w="100" w:type="dxa"/>
              <w:bottom w:w="0" w:type="dxa"/>
              <w:right w:w="100" w:type="dxa"/>
            </w:tcMar>
            <w:vAlign w:val="center"/>
          </w:tcPr>
          <w:p w14:paraId="0DFD9643" w14:textId="77777777" w:rsidR="008575FB" w:rsidRDefault="00176BDB">
            <w:pPr>
              <w:jc w:val="right"/>
            </w:pPr>
            <w:r>
              <w:rPr>
                <w:rFonts w:cs="Arial Unicode MS"/>
                <w:color w:val="000000"/>
                <w:sz w:val="22"/>
                <w:szCs w:val="22"/>
                <w14:textOutline w14:w="0" w14:cap="flat" w14:cmpd="sng" w14:algn="ctr">
                  <w14:noFill/>
                  <w14:prstDash w14:val="solid"/>
                  <w14:bevel/>
                </w14:textOutline>
              </w:rPr>
              <w:t>20,135,720.77</w:t>
            </w:r>
          </w:p>
        </w:tc>
      </w:tr>
      <w:tr w:rsidR="008575FB" w14:paraId="7D4B1315" w14:textId="77777777" w:rsidTr="00376F17">
        <w:trPr>
          <w:trHeight w:val="491"/>
          <w:jc w:val="right"/>
        </w:trPr>
        <w:tc>
          <w:tcPr>
            <w:tcW w:w="2180" w:type="dxa"/>
            <w:shd w:val="clear" w:color="auto" w:fill="auto"/>
            <w:tcMar>
              <w:top w:w="0" w:type="dxa"/>
              <w:left w:w="100" w:type="dxa"/>
              <w:bottom w:w="0" w:type="dxa"/>
              <w:right w:w="100" w:type="dxa"/>
            </w:tcMar>
            <w:vAlign w:val="center"/>
          </w:tcPr>
          <w:p w14:paraId="71BA028F" w14:textId="77777777" w:rsidR="008575FB" w:rsidRDefault="00176BDB">
            <w:pPr>
              <w:pStyle w:val="TableStyle2"/>
            </w:pPr>
            <w:r>
              <w:rPr>
                <w:rFonts w:ascii="Times New Roman" w:hAnsi="Times New Roman"/>
                <w:sz w:val="22"/>
                <w:szCs w:val="22"/>
              </w:rPr>
              <w:t>Testing requirement (B820)</w:t>
            </w:r>
          </w:p>
        </w:tc>
        <w:tc>
          <w:tcPr>
            <w:tcW w:w="1819" w:type="dxa"/>
            <w:shd w:val="clear" w:color="auto" w:fill="auto"/>
            <w:tcMar>
              <w:top w:w="0" w:type="dxa"/>
              <w:left w:w="100" w:type="dxa"/>
              <w:bottom w:w="0" w:type="dxa"/>
              <w:right w:w="100" w:type="dxa"/>
            </w:tcMar>
            <w:vAlign w:val="center"/>
          </w:tcPr>
          <w:p w14:paraId="08011B6B" w14:textId="77777777" w:rsidR="008575FB" w:rsidRDefault="00176BDB">
            <w:pPr>
              <w:jc w:val="right"/>
            </w:pPr>
            <w:r>
              <w:rPr>
                <w:rFonts w:cs="Arial Unicode MS"/>
                <w:color w:val="000000"/>
                <w:sz w:val="22"/>
                <w:szCs w:val="22"/>
                <w14:textOutline w14:w="0" w14:cap="flat" w14:cmpd="sng" w14:algn="ctr">
                  <w14:noFill/>
                  <w14:prstDash w14:val="solid"/>
                  <w14:bevel/>
                </w14:textOutline>
              </w:rPr>
              <w:t>31.09%</w:t>
            </w:r>
          </w:p>
        </w:tc>
        <w:tc>
          <w:tcPr>
            <w:tcW w:w="1882" w:type="dxa"/>
            <w:shd w:val="clear" w:color="auto" w:fill="auto"/>
            <w:tcMar>
              <w:top w:w="0" w:type="dxa"/>
              <w:left w:w="100" w:type="dxa"/>
              <w:bottom w:w="0" w:type="dxa"/>
              <w:right w:w="100" w:type="dxa"/>
            </w:tcMar>
            <w:vAlign w:val="center"/>
          </w:tcPr>
          <w:p w14:paraId="2D8587E7" w14:textId="77777777" w:rsidR="008575FB" w:rsidRDefault="00176BDB">
            <w:pPr>
              <w:jc w:val="right"/>
            </w:pPr>
            <w:r>
              <w:rPr>
                <w:rFonts w:cs="Arial Unicode MS"/>
                <w:color w:val="000000"/>
                <w:sz w:val="22"/>
                <w:szCs w:val="22"/>
                <w14:textOutline w14:w="0" w14:cap="flat" w14:cmpd="sng" w14:algn="ctr">
                  <w14:noFill/>
                  <w14:prstDash w14:val="solid"/>
                  <w14:bevel/>
                </w14:textOutline>
              </w:rPr>
              <w:t>22.71%</w:t>
            </w:r>
          </w:p>
        </w:tc>
        <w:tc>
          <w:tcPr>
            <w:tcW w:w="1812" w:type="dxa"/>
            <w:shd w:val="clear" w:color="auto" w:fill="auto"/>
            <w:tcMar>
              <w:top w:w="0" w:type="dxa"/>
              <w:left w:w="100" w:type="dxa"/>
              <w:bottom w:w="0" w:type="dxa"/>
              <w:right w:w="100" w:type="dxa"/>
            </w:tcMar>
            <w:vAlign w:val="center"/>
          </w:tcPr>
          <w:p w14:paraId="76BB6CF3" w14:textId="77777777" w:rsidR="008575FB" w:rsidRDefault="00176BDB">
            <w:pPr>
              <w:jc w:val="right"/>
            </w:pPr>
            <w:r>
              <w:rPr>
                <w:rFonts w:cs="Arial Unicode MS"/>
                <w:color w:val="000000"/>
                <w:sz w:val="22"/>
                <w:szCs w:val="22"/>
                <w14:textOutline w14:w="0" w14:cap="flat" w14:cmpd="sng" w14:algn="ctr">
                  <w14:noFill/>
                  <w14:prstDash w14:val="solid"/>
                  <w14:bevel/>
                </w14:textOutline>
              </w:rPr>
              <w:t>1090</w:t>
            </w:r>
          </w:p>
        </w:tc>
        <w:tc>
          <w:tcPr>
            <w:tcW w:w="1923" w:type="dxa"/>
            <w:shd w:val="clear" w:color="auto" w:fill="auto"/>
            <w:tcMar>
              <w:top w:w="0" w:type="dxa"/>
              <w:left w:w="100" w:type="dxa"/>
              <w:bottom w:w="0" w:type="dxa"/>
              <w:right w:w="100" w:type="dxa"/>
            </w:tcMar>
            <w:vAlign w:val="center"/>
          </w:tcPr>
          <w:p w14:paraId="0F4FA3C9" w14:textId="77777777" w:rsidR="008575FB" w:rsidRDefault="00176BDB">
            <w:pPr>
              <w:jc w:val="right"/>
            </w:pPr>
            <w:r>
              <w:rPr>
                <w:rFonts w:cs="Arial Unicode MS"/>
                <w:color w:val="000000"/>
                <w:sz w:val="22"/>
                <w:szCs w:val="22"/>
                <w14:textOutline w14:w="0" w14:cap="flat" w14:cmpd="sng" w14:algn="ctr">
                  <w14:noFill/>
                  <w14:prstDash w14:val="solid"/>
                  <w14:bevel/>
                </w14:textOutline>
              </w:rPr>
              <w:t>17,122,818.73</w:t>
            </w:r>
          </w:p>
        </w:tc>
      </w:tr>
      <w:tr w:rsidR="008575FB" w14:paraId="1A7AE829" w14:textId="77777777" w:rsidTr="00376F17">
        <w:trPr>
          <w:trHeight w:val="731"/>
          <w:jc w:val="right"/>
        </w:trPr>
        <w:tc>
          <w:tcPr>
            <w:tcW w:w="2180" w:type="dxa"/>
            <w:shd w:val="clear" w:color="auto" w:fill="auto"/>
            <w:tcMar>
              <w:top w:w="0" w:type="dxa"/>
              <w:left w:w="100" w:type="dxa"/>
              <w:bottom w:w="0" w:type="dxa"/>
              <w:right w:w="100" w:type="dxa"/>
            </w:tcMar>
            <w:vAlign w:val="center"/>
          </w:tcPr>
          <w:p w14:paraId="44280E41" w14:textId="77777777" w:rsidR="008575FB" w:rsidRDefault="00176BDB">
            <w:pPr>
              <w:pStyle w:val="TableStyle2"/>
            </w:pPr>
            <w:r>
              <w:rPr>
                <w:rFonts w:ascii="Times New Roman" w:hAnsi="Times New Roman"/>
                <w:sz w:val="22"/>
                <w:szCs w:val="22"/>
              </w:rPr>
              <w:t>Product quality or performance requirement (B700)</w:t>
            </w:r>
          </w:p>
        </w:tc>
        <w:tc>
          <w:tcPr>
            <w:tcW w:w="1819" w:type="dxa"/>
            <w:shd w:val="clear" w:color="auto" w:fill="auto"/>
            <w:tcMar>
              <w:top w:w="0" w:type="dxa"/>
              <w:left w:w="100" w:type="dxa"/>
              <w:bottom w:w="0" w:type="dxa"/>
              <w:right w:w="100" w:type="dxa"/>
            </w:tcMar>
            <w:vAlign w:val="center"/>
          </w:tcPr>
          <w:p w14:paraId="4FB7B6BE" w14:textId="77777777" w:rsidR="008575FB" w:rsidRDefault="00176BDB">
            <w:pPr>
              <w:jc w:val="right"/>
            </w:pPr>
            <w:r>
              <w:rPr>
                <w:rFonts w:cs="Arial Unicode MS"/>
                <w:color w:val="000000"/>
                <w:sz w:val="22"/>
                <w:szCs w:val="22"/>
                <w14:textOutline w14:w="0" w14:cap="flat" w14:cmpd="sng" w14:algn="ctr">
                  <w14:noFill/>
                  <w14:prstDash w14:val="solid"/>
                  <w14:bevel/>
                </w14:textOutline>
              </w:rPr>
              <w:t>30.98%</w:t>
            </w:r>
          </w:p>
        </w:tc>
        <w:tc>
          <w:tcPr>
            <w:tcW w:w="1882" w:type="dxa"/>
            <w:shd w:val="clear" w:color="auto" w:fill="auto"/>
            <w:tcMar>
              <w:top w:w="0" w:type="dxa"/>
              <w:left w:w="100" w:type="dxa"/>
              <w:bottom w:w="0" w:type="dxa"/>
              <w:right w:w="100" w:type="dxa"/>
            </w:tcMar>
            <w:vAlign w:val="center"/>
          </w:tcPr>
          <w:p w14:paraId="55EA7CC6" w14:textId="77777777" w:rsidR="008575FB" w:rsidRDefault="00176BDB">
            <w:pPr>
              <w:jc w:val="right"/>
            </w:pPr>
            <w:r>
              <w:rPr>
                <w:rFonts w:cs="Arial Unicode MS"/>
                <w:color w:val="000000"/>
                <w:sz w:val="22"/>
                <w:szCs w:val="22"/>
                <w14:textOutline w14:w="0" w14:cap="flat" w14:cmpd="sng" w14:algn="ctr">
                  <w14:noFill/>
                  <w14:prstDash w14:val="solid"/>
                  <w14:bevel/>
                </w14:textOutline>
              </w:rPr>
              <w:t>25.44%</w:t>
            </w:r>
          </w:p>
        </w:tc>
        <w:tc>
          <w:tcPr>
            <w:tcW w:w="1812" w:type="dxa"/>
            <w:shd w:val="clear" w:color="auto" w:fill="auto"/>
            <w:tcMar>
              <w:top w:w="0" w:type="dxa"/>
              <w:left w:w="100" w:type="dxa"/>
              <w:bottom w:w="0" w:type="dxa"/>
              <w:right w:w="100" w:type="dxa"/>
            </w:tcMar>
            <w:vAlign w:val="center"/>
          </w:tcPr>
          <w:p w14:paraId="1FC1AB65" w14:textId="77777777" w:rsidR="008575FB" w:rsidRDefault="00176BDB">
            <w:pPr>
              <w:jc w:val="right"/>
            </w:pPr>
            <w:r>
              <w:rPr>
                <w:rFonts w:cs="Arial Unicode MS"/>
                <w:color w:val="000000"/>
                <w:sz w:val="22"/>
                <w:szCs w:val="22"/>
                <w14:textOutline w14:w="0" w14:cap="flat" w14:cmpd="sng" w14:algn="ctr">
                  <w14:noFill/>
                  <w14:prstDash w14:val="solid"/>
                  <w14:bevel/>
                </w14:textOutline>
              </w:rPr>
              <w:t>1221</w:t>
            </w:r>
          </w:p>
        </w:tc>
        <w:tc>
          <w:tcPr>
            <w:tcW w:w="1923" w:type="dxa"/>
            <w:shd w:val="clear" w:color="auto" w:fill="auto"/>
            <w:tcMar>
              <w:top w:w="0" w:type="dxa"/>
              <w:left w:w="100" w:type="dxa"/>
              <w:bottom w:w="0" w:type="dxa"/>
              <w:right w:w="100" w:type="dxa"/>
            </w:tcMar>
            <w:vAlign w:val="center"/>
          </w:tcPr>
          <w:p w14:paraId="63D91802" w14:textId="77777777" w:rsidR="008575FB" w:rsidRDefault="00176BDB">
            <w:pPr>
              <w:jc w:val="right"/>
            </w:pPr>
            <w:r>
              <w:rPr>
                <w:rFonts w:cs="Arial Unicode MS"/>
                <w:color w:val="000000"/>
                <w:sz w:val="22"/>
                <w:szCs w:val="22"/>
                <w14:textOutline w14:w="0" w14:cap="flat" w14:cmpd="sng" w14:algn="ctr">
                  <w14:noFill/>
                  <w14:prstDash w14:val="solid"/>
                  <w14:bevel/>
                </w14:textOutline>
              </w:rPr>
              <w:t>17,061,371.24</w:t>
            </w:r>
          </w:p>
        </w:tc>
      </w:tr>
      <w:tr w:rsidR="008575FB" w14:paraId="51A9F861" w14:textId="77777777" w:rsidTr="00376F17">
        <w:trPr>
          <w:trHeight w:val="491"/>
          <w:jc w:val="right"/>
        </w:trPr>
        <w:tc>
          <w:tcPr>
            <w:tcW w:w="2180" w:type="dxa"/>
            <w:shd w:val="clear" w:color="auto" w:fill="auto"/>
            <w:tcMar>
              <w:top w:w="0" w:type="dxa"/>
              <w:left w:w="100" w:type="dxa"/>
              <w:bottom w:w="0" w:type="dxa"/>
              <w:right w:w="100" w:type="dxa"/>
            </w:tcMar>
            <w:vAlign w:val="center"/>
          </w:tcPr>
          <w:p w14:paraId="782921CA" w14:textId="77777777" w:rsidR="008575FB" w:rsidRDefault="00176BDB">
            <w:pPr>
              <w:pStyle w:val="TableStyle2"/>
            </w:pPr>
            <w:r>
              <w:rPr>
                <w:rFonts w:ascii="Times New Roman" w:hAnsi="Times New Roman"/>
                <w:sz w:val="22"/>
                <w:szCs w:val="22"/>
              </w:rPr>
              <w:t>Export taxes and charges (P500)</w:t>
            </w:r>
          </w:p>
        </w:tc>
        <w:tc>
          <w:tcPr>
            <w:tcW w:w="1819" w:type="dxa"/>
            <w:shd w:val="clear" w:color="auto" w:fill="auto"/>
            <w:tcMar>
              <w:top w:w="0" w:type="dxa"/>
              <w:left w:w="100" w:type="dxa"/>
              <w:bottom w:w="0" w:type="dxa"/>
              <w:right w:w="100" w:type="dxa"/>
            </w:tcMar>
            <w:vAlign w:val="center"/>
          </w:tcPr>
          <w:p w14:paraId="5D024BBA" w14:textId="77777777" w:rsidR="008575FB" w:rsidRDefault="00176BDB">
            <w:pPr>
              <w:jc w:val="right"/>
            </w:pPr>
            <w:r>
              <w:rPr>
                <w:rFonts w:cs="Arial Unicode MS"/>
                <w:color w:val="000000"/>
                <w:sz w:val="22"/>
                <w:szCs w:val="22"/>
                <w14:textOutline w14:w="0" w14:cap="flat" w14:cmpd="sng" w14:algn="ctr">
                  <w14:noFill/>
                  <w14:prstDash w14:val="solid"/>
                  <w14:bevel/>
                </w14:textOutline>
              </w:rPr>
              <w:t>27.18%</w:t>
            </w:r>
          </w:p>
        </w:tc>
        <w:tc>
          <w:tcPr>
            <w:tcW w:w="1882" w:type="dxa"/>
            <w:shd w:val="clear" w:color="auto" w:fill="auto"/>
            <w:tcMar>
              <w:top w:w="0" w:type="dxa"/>
              <w:left w:w="100" w:type="dxa"/>
              <w:bottom w:w="0" w:type="dxa"/>
              <w:right w:w="100" w:type="dxa"/>
            </w:tcMar>
            <w:vAlign w:val="center"/>
          </w:tcPr>
          <w:p w14:paraId="3C1FF676" w14:textId="77777777" w:rsidR="008575FB" w:rsidRDefault="00176BDB">
            <w:pPr>
              <w:jc w:val="right"/>
            </w:pPr>
            <w:r>
              <w:rPr>
                <w:rFonts w:cs="Arial Unicode MS"/>
                <w:color w:val="000000"/>
                <w:sz w:val="22"/>
                <w:szCs w:val="22"/>
                <w14:textOutline w14:w="0" w14:cap="flat" w14:cmpd="sng" w14:algn="ctr">
                  <w14:noFill/>
                  <w14:prstDash w14:val="solid"/>
                  <w14:bevel/>
                </w14:textOutline>
              </w:rPr>
              <w:t>16.27%</w:t>
            </w:r>
          </w:p>
        </w:tc>
        <w:tc>
          <w:tcPr>
            <w:tcW w:w="1812" w:type="dxa"/>
            <w:shd w:val="clear" w:color="auto" w:fill="auto"/>
            <w:tcMar>
              <w:top w:w="0" w:type="dxa"/>
              <w:left w:w="100" w:type="dxa"/>
              <w:bottom w:w="0" w:type="dxa"/>
              <w:right w:w="100" w:type="dxa"/>
            </w:tcMar>
            <w:vAlign w:val="center"/>
          </w:tcPr>
          <w:p w14:paraId="313EE92E" w14:textId="77777777" w:rsidR="008575FB" w:rsidRDefault="00176BDB">
            <w:pPr>
              <w:jc w:val="right"/>
            </w:pPr>
            <w:r>
              <w:rPr>
                <w:rFonts w:cs="Arial Unicode MS"/>
                <w:color w:val="000000"/>
                <w:sz w:val="22"/>
                <w:szCs w:val="22"/>
                <w14:textOutline w14:w="0" w14:cap="flat" w14:cmpd="sng" w14:algn="ctr">
                  <w14:noFill/>
                  <w14:prstDash w14:val="solid"/>
                  <w14:bevel/>
                </w14:textOutline>
              </w:rPr>
              <w:t>589</w:t>
            </w:r>
          </w:p>
        </w:tc>
        <w:tc>
          <w:tcPr>
            <w:tcW w:w="1923" w:type="dxa"/>
            <w:shd w:val="clear" w:color="auto" w:fill="auto"/>
            <w:tcMar>
              <w:top w:w="0" w:type="dxa"/>
              <w:left w:w="100" w:type="dxa"/>
              <w:bottom w:w="0" w:type="dxa"/>
              <w:right w:w="100" w:type="dxa"/>
            </w:tcMar>
            <w:vAlign w:val="center"/>
          </w:tcPr>
          <w:p w14:paraId="55845B28" w14:textId="77777777" w:rsidR="008575FB" w:rsidRDefault="00176BDB">
            <w:pPr>
              <w:jc w:val="right"/>
            </w:pPr>
            <w:r>
              <w:rPr>
                <w:rFonts w:cs="Arial Unicode MS"/>
                <w:color w:val="000000"/>
                <w:sz w:val="22"/>
                <w:szCs w:val="22"/>
                <w14:textOutline w14:w="0" w14:cap="flat" w14:cmpd="sng" w14:algn="ctr">
                  <w14:noFill/>
                  <w14:prstDash w14:val="solid"/>
                  <w14:bevel/>
                </w14:textOutline>
              </w:rPr>
              <w:t>8,514,873.46</w:t>
            </w:r>
          </w:p>
        </w:tc>
      </w:tr>
      <w:tr w:rsidR="008575FB" w14:paraId="5C6041DD" w14:textId="77777777" w:rsidTr="00376F17">
        <w:trPr>
          <w:trHeight w:val="491"/>
          <w:jc w:val="right"/>
        </w:trPr>
        <w:tc>
          <w:tcPr>
            <w:tcW w:w="2180" w:type="dxa"/>
            <w:shd w:val="clear" w:color="auto" w:fill="auto"/>
            <w:tcMar>
              <w:top w:w="0" w:type="dxa"/>
              <w:left w:w="100" w:type="dxa"/>
              <w:bottom w:w="0" w:type="dxa"/>
              <w:right w:w="100" w:type="dxa"/>
            </w:tcMar>
            <w:vAlign w:val="center"/>
          </w:tcPr>
          <w:p w14:paraId="00AA7BD5" w14:textId="77777777" w:rsidR="008575FB" w:rsidRDefault="00176BDB">
            <w:pPr>
              <w:pStyle w:val="TableStyle2"/>
            </w:pPr>
            <w:r>
              <w:rPr>
                <w:rFonts w:ascii="Times New Roman" w:hAnsi="Times New Roman"/>
                <w:sz w:val="22"/>
                <w:szCs w:val="22"/>
              </w:rPr>
              <w:t>Inspection requirement (P610)</w:t>
            </w:r>
          </w:p>
        </w:tc>
        <w:tc>
          <w:tcPr>
            <w:tcW w:w="1819" w:type="dxa"/>
            <w:shd w:val="clear" w:color="auto" w:fill="auto"/>
            <w:tcMar>
              <w:top w:w="0" w:type="dxa"/>
              <w:left w:w="100" w:type="dxa"/>
              <w:bottom w:w="0" w:type="dxa"/>
              <w:right w:w="100" w:type="dxa"/>
            </w:tcMar>
            <w:vAlign w:val="center"/>
          </w:tcPr>
          <w:p w14:paraId="275D3EA5" w14:textId="77777777" w:rsidR="008575FB" w:rsidRDefault="00176BDB">
            <w:pPr>
              <w:jc w:val="right"/>
            </w:pPr>
            <w:r>
              <w:rPr>
                <w:rFonts w:cs="Arial Unicode MS"/>
                <w:color w:val="000000"/>
                <w:sz w:val="22"/>
                <w:szCs w:val="22"/>
                <w14:textOutline w14:w="0" w14:cap="flat" w14:cmpd="sng" w14:algn="ctr">
                  <w14:noFill/>
                  <w14:prstDash w14:val="solid"/>
                  <w14:bevel/>
                </w14:textOutline>
              </w:rPr>
              <w:t>19.84%</w:t>
            </w:r>
          </w:p>
        </w:tc>
        <w:tc>
          <w:tcPr>
            <w:tcW w:w="1882" w:type="dxa"/>
            <w:shd w:val="clear" w:color="auto" w:fill="auto"/>
            <w:tcMar>
              <w:top w:w="0" w:type="dxa"/>
              <w:left w:w="100" w:type="dxa"/>
              <w:bottom w:w="0" w:type="dxa"/>
              <w:right w:w="100" w:type="dxa"/>
            </w:tcMar>
            <w:vAlign w:val="center"/>
          </w:tcPr>
          <w:p w14:paraId="3F39167C" w14:textId="77777777" w:rsidR="008575FB" w:rsidRDefault="00176BDB">
            <w:pPr>
              <w:jc w:val="right"/>
            </w:pPr>
            <w:r>
              <w:rPr>
                <w:rFonts w:cs="Arial Unicode MS"/>
                <w:color w:val="000000"/>
                <w:sz w:val="22"/>
                <w:szCs w:val="22"/>
                <w14:textOutline w14:w="0" w14:cap="flat" w14:cmpd="sng" w14:algn="ctr">
                  <w14:noFill/>
                  <w14:prstDash w14:val="solid"/>
                  <w14:bevel/>
                </w14:textOutline>
              </w:rPr>
              <w:t>17.59%</w:t>
            </w:r>
          </w:p>
        </w:tc>
        <w:tc>
          <w:tcPr>
            <w:tcW w:w="1812" w:type="dxa"/>
            <w:shd w:val="clear" w:color="auto" w:fill="auto"/>
            <w:tcMar>
              <w:top w:w="0" w:type="dxa"/>
              <w:left w:w="100" w:type="dxa"/>
              <w:bottom w:w="0" w:type="dxa"/>
              <w:right w:w="100" w:type="dxa"/>
            </w:tcMar>
            <w:vAlign w:val="center"/>
          </w:tcPr>
          <w:p w14:paraId="0C207086" w14:textId="77777777" w:rsidR="008575FB" w:rsidRDefault="00176BDB">
            <w:pPr>
              <w:jc w:val="right"/>
            </w:pPr>
            <w:r>
              <w:rPr>
                <w:rFonts w:cs="Arial Unicode MS"/>
                <w:color w:val="000000"/>
                <w:sz w:val="22"/>
                <w:szCs w:val="22"/>
                <w14:textOutline w14:w="0" w14:cap="flat" w14:cmpd="sng" w14:algn="ctr">
                  <w14:noFill/>
                  <w14:prstDash w14:val="solid"/>
                  <w14:bevel/>
                </w14:textOutline>
              </w:rPr>
              <w:t>637</w:t>
            </w:r>
          </w:p>
        </w:tc>
        <w:tc>
          <w:tcPr>
            <w:tcW w:w="1923" w:type="dxa"/>
            <w:shd w:val="clear" w:color="auto" w:fill="auto"/>
            <w:tcMar>
              <w:top w:w="0" w:type="dxa"/>
              <w:left w:w="100" w:type="dxa"/>
              <w:bottom w:w="0" w:type="dxa"/>
              <w:right w:w="100" w:type="dxa"/>
            </w:tcMar>
            <w:vAlign w:val="center"/>
          </w:tcPr>
          <w:p w14:paraId="53897BD3" w14:textId="77777777" w:rsidR="008575FB" w:rsidRDefault="00176BDB">
            <w:pPr>
              <w:jc w:val="right"/>
            </w:pPr>
            <w:r>
              <w:rPr>
                <w:rFonts w:cs="Arial Unicode MS"/>
                <w:color w:val="000000"/>
                <w:sz w:val="22"/>
                <w:szCs w:val="22"/>
                <w14:textOutline w14:w="0" w14:cap="flat" w14:cmpd="sng" w14:algn="ctr">
                  <w14:noFill/>
                  <w14:prstDash w14:val="solid"/>
                  <w14:bevel/>
                </w14:textOutline>
              </w:rPr>
              <w:t>6,214,527.55</w:t>
            </w:r>
          </w:p>
        </w:tc>
      </w:tr>
      <w:tr w:rsidR="008575FB" w14:paraId="7D97CA1E" w14:textId="77777777" w:rsidTr="00376F17">
        <w:trPr>
          <w:trHeight w:val="400"/>
          <w:jc w:val="right"/>
        </w:trPr>
        <w:tc>
          <w:tcPr>
            <w:tcW w:w="2180" w:type="dxa"/>
            <w:shd w:val="clear" w:color="auto" w:fill="auto"/>
            <w:tcMar>
              <w:top w:w="0" w:type="dxa"/>
              <w:left w:w="100" w:type="dxa"/>
              <w:bottom w:w="0" w:type="dxa"/>
              <w:right w:w="100" w:type="dxa"/>
            </w:tcMar>
            <w:vAlign w:val="center"/>
          </w:tcPr>
          <w:p w14:paraId="73CBB0EB" w14:textId="77777777" w:rsidR="008575FB" w:rsidRDefault="00176BDB">
            <w:pPr>
              <w:pStyle w:val="TableStyle2"/>
            </w:pPr>
            <w:r>
              <w:rPr>
                <w:rFonts w:ascii="Times New Roman" w:hAnsi="Times New Roman"/>
                <w:sz w:val="22"/>
                <w:szCs w:val="22"/>
              </w:rPr>
              <w:t>Excise taxes (F720)</w:t>
            </w:r>
          </w:p>
        </w:tc>
        <w:tc>
          <w:tcPr>
            <w:tcW w:w="1819" w:type="dxa"/>
            <w:shd w:val="clear" w:color="auto" w:fill="auto"/>
            <w:tcMar>
              <w:top w:w="0" w:type="dxa"/>
              <w:left w:w="100" w:type="dxa"/>
              <w:bottom w:w="0" w:type="dxa"/>
              <w:right w:w="100" w:type="dxa"/>
            </w:tcMar>
            <w:vAlign w:val="center"/>
          </w:tcPr>
          <w:p w14:paraId="684F2E51" w14:textId="77777777" w:rsidR="008575FB" w:rsidRDefault="00176BDB">
            <w:pPr>
              <w:jc w:val="right"/>
            </w:pPr>
            <w:r>
              <w:rPr>
                <w:rFonts w:cs="Arial Unicode MS"/>
                <w:color w:val="000000"/>
                <w:sz w:val="22"/>
                <w:szCs w:val="22"/>
                <w14:textOutline w14:w="0" w14:cap="flat" w14:cmpd="sng" w14:algn="ctr">
                  <w14:noFill/>
                  <w14:prstDash w14:val="solid"/>
                  <w14:bevel/>
                </w14:textOutline>
              </w:rPr>
              <w:t>19.69%</w:t>
            </w:r>
          </w:p>
        </w:tc>
        <w:tc>
          <w:tcPr>
            <w:tcW w:w="1882" w:type="dxa"/>
            <w:shd w:val="clear" w:color="auto" w:fill="auto"/>
            <w:tcMar>
              <w:top w:w="0" w:type="dxa"/>
              <w:left w:w="100" w:type="dxa"/>
              <w:bottom w:w="0" w:type="dxa"/>
              <w:right w:w="100" w:type="dxa"/>
            </w:tcMar>
            <w:vAlign w:val="center"/>
          </w:tcPr>
          <w:p w14:paraId="40B0B883" w14:textId="77777777" w:rsidR="008575FB" w:rsidRDefault="00176BDB">
            <w:pPr>
              <w:jc w:val="right"/>
            </w:pPr>
            <w:r>
              <w:rPr>
                <w:rFonts w:cs="Arial Unicode MS"/>
                <w:color w:val="000000"/>
                <w:sz w:val="22"/>
                <w:szCs w:val="22"/>
                <w14:textOutline w14:w="0" w14:cap="flat" w14:cmpd="sng" w14:algn="ctr">
                  <w14:noFill/>
                  <w14:prstDash w14:val="solid"/>
                  <w14:bevel/>
                </w14:textOutline>
              </w:rPr>
              <w:t>1.13%</w:t>
            </w:r>
          </w:p>
        </w:tc>
        <w:tc>
          <w:tcPr>
            <w:tcW w:w="1812" w:type="dxa"/>
            <w:shd w:val="clear" w:color="auto" w:fill="auto"/>
            <w:tcMar>
              <w:top w:w="0" w:type="dxa"/>
              <w:left w:w="100" w:type="dxa"/>
              <w:bottom w:w="0" w:type="dxa"/>
              <w:right w:w="100" w:type="dxa"/>
            </w:tcMar>
            <w:vAlign w:val="center"/>
          </w:tcPr>
          <w:p w14:paraId="56A34052" w14:textId="77777777" w:rsidR="008575FB" w:rsidRDefault="00176BDB">
            <w:pPr>
              <w:jc w:val="right"/>
            </w:pPr>
            <w:r>
              <w:rPr>
                <w:rFonts w:cs="Arial Unicode MS"/>
                <w:color w:val="000000"/>
                <w:sz w:val="22"/>
                <w:szCs w:val="22"/>
                <w14:textOutline w14:w="0" w14:cap="flat" w14:cmpd="sng" w14:algn="ctr">
                  <w14:noFill/>
                  <w14:prstDash w14:val="solid"/>
                  <w14:bevel/>
                </w14:textOutline>
              </w:rPr>
              <w:t>54</w:t>
            </w:r>
          </w:p>
        </w:tc>
        <w:tc>
          <w:tcPr>
            <w:tcW w:w="1923" w:type="dxa"/>
            <w:shd w:val="clear" w:color="auto" w:fill="auto"/>
            <w:tcMar>
              <w:top w:w="0" w:type="dxa"/>
              <w:left w:w="100" w:type="dxa"/>
              <w:bottom w:w="0" w:type="dxa"/>
              <w:right w:w="100" w:type="dxa"/>
            </w:tcMar>
            <w:vAlign w:val="center"/>
          </w:tcPr>
          <w:p w14:paraId="4FE7759C" w14:textId="77777777" w:rsidR="008575FB" w:rsidRDefault="00176BDB">
            <w:pPr>
              <w:jc w:val="right"/>
            </w:pPr>
            <w:r>
              <w:rPr>
                <w:rFonts w:cs="Arial Unicode MS"/>
                <w:color w:val="000000"/>
                <w:sz w:val="22"/>
                <w:szCs w:val="22"/>
                <w14:textOutline w14:w="0" w14:cap="flat" w14:cmpd="sng" w14:algn="ctr">
                  <w14:noFill/>
                  <w14:prstDash w14:val="solid"/>
                  <w14:bevel/>
                </w14:textOutline>
              </w:rPr>
              <w:t>10,846,177.64</w:t>
            </w:r>
          </w:p>
        </w:tc>
      </w:tr>
      <w:tr w:rsidR="008575FB" w14:paraId="4E7CFD87" w14:textId="77777777" w:rsidTr="00376F17">
        <w:trPr>
          <w:trHeight w:val="731"/>
          <w:jc w:val="right"/>
        </w:trPr>
        <w:tc>
          <w:tcPr>
            <w:tcW w:w="2180" w:type="dxa"/>
            <w:shd w:val="clear" w:color="auto" w:fill="auto"/>
            <w:tcMar>
              <w:top w:w="0" w:type="dxa"/>
              <w:left w:w="100" w:type="dxa"/>
              <w:bottom w:w="0" w:type="dxa"/>
              <w:right w:w="100" w:type="dxa"/>
            </w:tcMar>
            <w:vAlign w:val="center"/>
          </w:tcPr>
          <w:p w14:paraId="4331E90B" w14:textId="77777777" w:rsidR="008575FB" w:rsidRDefault="00176BDB">
            <w:pPr>
              <w:pStyle w:val="TableStyle2"/>
            </w:pPr>
            <w:r>
              <w:rPr>
                <w:rFonts w:ascii="Times New Roman" w:hAnsi="Times New Roman"/>
                <w:sz w:val="22"/>
                <w:szCs w:val="22"/>
              </w:rPr>
              <w:t xml:space="preserve">Export technical measures, </w:t>
            </w:r>
            <w:proofErr w:type="spellStart"/>
            <w:r>
              <w:rPr>
                <w:rFonts w:ascii="Times New Roman" w:hAnsi="Times New Roman"/>
                <w:sz w:val="22"/>
                <w:szCs w:val="22"/>
              </w:rPr>
              <w:t>n.e.s</w:t>
            </w:r>
            <w:proofErr w:type="spellEnd"/>
            <w:r>
              <w:rPr>
                <w:rFonts w:ascii="Times New Roman" w:hAnsi="Times New Roman"/>
                <w:sz w:val="22"/>
                <w:szCs w:val="22"/>
              </w:rPr>
              <w:t>. (P690)</w:t>
            </w:r>
          </w:p>
        </w:tc>
        <w:tc>
          <w:tcPr>
            <w:tcW w:w="1819" w:type="dxa"/>
            <w:shd w:val="clear" w:color="auto" w:fill="auto"/>
            <w:tcMar>
              <w:top w:w="0" w:type="dxa"/>
              <w:left w:w="100" w:type="dxa"/>
              <w:bottom w:w="0" w:type="dxa"/>
              <w:right w:w="100" w:type="dxa"/>
            </w:tcMar>
            <w:vAlign w:val="center"/>
          </w:tcPr>
          <w:p w14:paraId="6CC6267B" w14:textId="77777777" w:rsidR="008575FB" w:rsidRDefault="00176BDB">
            <w:pPr>
              <w:jc w:val="right"/>
            </w:pPr>
            <w:r>
              <w:rPr>
                <w:rFonts w:cs="Arial Unicode MS"/>
                <w:color w:val="000000"/>
                <w:sz w:val="22"/>
                <w:szCs w:val="22"/>
                <w14:textOutline w14:w="0" w14:cap="flat" w14:cmpd="sng" w14:algn="ctr">
                  <w14:noFill/>
                  <w14:prstDash w14:val="solid"/>
                  <w14:bevel/>
                </w14:textOutline>
              </w:rPr>
              <w:t>19.02%</w:t>
            </w:r>
          </w:p>
        </w:tc>
        <w:tc>
          <w:tcPr>
            <w:tcW w:w="1882" w:type="dxa"/>
            <w:shd w:val="clear" w:color="auto" w:fill="auto"/>
            <w:tcMar>
              <w:top w:w="0" w:type="dxa"/>
              <w:left w:w="100" w:type="dxa"/>
              <w:bottom w:w="0" w:type="dxa"/>
              <w:right w:w="100" w:type="dxa"/>
            </w:tcMar>
            <w:vAlign w:val="center"/>
          </w:tcPr>
          <w:p w14:paraId="08BF3493" w14:textId="77777777" w:rsidR="008575FB" w:rsidRDefault="00176BDB">
            <w:pPr>
              <w:jc w:val="right"/>
            </w:pPr>
            <w:r>
              <w:rPr>
                <w:rFonts w:cs="Arial Unicode MS"/>
                <w:color w:val="000000"/>
                <w:sz w:val="22"/>
                <w:szCs w:val="22"/>
                <w14:textOutline w14:w="0" w14:cap="flat" w14:cmpd="sng" w14:algn="ctr">
                  <w14:noFill/>
                  <w14:prstDash w14:val="solid"/>
                  <w14:bevel/>
                </w14:textOutline>
              </w:rPr>
              <w:t>15.85%</w:t>
            </w:r>
          </w:p>
        </w:tc>
        <w:tc>
          <w:tcPr>
            <w:tcW w:w="1812" w:type="dxa"/>
            <w:shd w:val="clear" w:color="auto" w:fill="auto"/>
            <w:tcMar>
              <w:top w:w="0" w:type="dxa"/>
              <w:left w:w="100" w:type="dxa"/>
              <w:bottom w:w="0" w:type="dxa"/>
              <w:right w:w="100" w:type="dxa"/>
            </w:tcMar>
            <w:vAlign w:val="center"/>
          </w:tcPr>
          <w:p w14:paraId="2A50907E" w14:textId="77777777" w:rsidR="008575FB" w:rsidRDefault="00176BDB">
            <w:pPr>
              <w:jc w:val="right"/>
            </w:pPr>
            <w:r>
              <w:rPr>
                <w:rFonts w:cs="Arial Unicode MS"/>
                <w:color w:val="000000"/>
                <w:sz w:val="22"/>
                <w:szCs w:val="22"/>
                <w14:textOutline w14:w="0" w14:cap="flat" w14:cmpd="sng" w14:algn="ctr">
                  <w14:noFill/>
                  <w14:prstDash w14:val="solid"/>
                  <w14:bevel/>
                </w14:textOutline>
              </w:rPr>
              <w:t>574</w:t>
            </w:r>
          </w:p>
        </w:tc>
        <w:tc>
          <w:tcPr>
            <w:tcW w:w="1923" w:type="dxa"/>
            <w:shd w:val="clear" w:color="auto" w:fill="auto"/>
            <w:tcMar>
              <w:top w:w="0" w:type="dxa"/>
              <w:left w:w="100" w:type="dxa"/>
              <w:bottom w:w="0" w:type="dxa"/>
              <w:right w:w="100" w:type="dxa"/>
            </w:tcMar>
            <w:vAlign w:val="center"/>
          </w:tcPr>
          <w:p w14:paraId="6FC4083D" w14:textId="77777777" w:rsidR="008575FB" w:rsidRDefault="00176BDB">
            <w:pPr>
              <w:jc w:val="right"/>
            </w:pPr>
            <w:r>
              <w:rPr>
                <w:rFonts w:cs="Arial Unicode MS"/>
                <w:color w:val="000000"/>
                <w:sz w:val="22"/>
                <w:szCs w:val="22"/>
                <w14:textOutline w14:w="0" w14:cap="flat" w14:cmpd="sng" w14:algn="ctr">
                  <w14:noFill/>
                  <w14:prstDash w14:val="solid"/>
                  <w14:bevel/>
                </w14:textOutline>
              </w:rPr>
              <w:t>5,958,552.38</w:t>
            </w:r>
          </w:p>
        </w:tc>
      </w:tr>
      <w:tr w:rsidR="008575FB" w14:paraId="0EC53165" w14:textId="77777777" w:rsidTr="00376F17">
        <w:trPr>
          <w:trHeight w:val="731"/>
          <w:jc w:val="right"/>
        </w:trPr>
        <w:tc>
          <w:tcPr>
            <w:tcW w:w="2180" w:type="dxa"/>
            <w:shd w:val="clear" w:color="auto" w:fill="auto"/>
            <w:tcMar>
              <w:top w:w="0" w:type="dxa"/>
              <w:left w:w="100" w:type="dxa"/>
              <w:bottom w:w="0" w:type="dxa"/>
              <w:right w:w="100" w:type="dxa"/>
            </w:tcMar>
            <w:vAlign w:val="center"/>
          </w:tcPr>
          <w:p w14:paraId="2C16F724" w14:textId="77777777" w:rsidR="008575FB" w:rsidRDefault="00176BDB">
            <w:pPr>
              <w:pStyle w:val="TableStyle2"/>
            </w:pPr>
            <w:r>
              <w:rPr>
                <w:rFonts w:ascii="Times New Roman" w:hAnsi="Times New Roman"/>
                <w:sz w:val="22"/>
                <w:szCs w:val="22"/>
              </w:rPr>
              <w:t>Authorization requirement for TBT reasons (B140)</w:t>
            </w:r>
          </w:p>
        </w:tc>
        <w:tc>
          <w:tcPr>
            <w:tcW w:w="1819" w:type="dxa"/>
            <w:shd w:val="clear" w:color="auto" w:fill="auto"/>
            <w:tcMar>
              <w:top w:w="0" w:type="dxa"/>
              <w:left w:w="100" w:type="dxa"/>
              <w:bottom w:w="0" w:type="dxa"/>
              <w:right w:w="100" w:type="dxa"/>
            </w:tcMar>
            <w:vAlign w:val="center"/>
          </w:tcPr>
          <w:p w14:paraId="0813E46B" w14:textId="77777777" w:rsidR="008575FB" w:rsidRDefault="00176BDB">
            <w:pPr>
              <w:jc w:val="right"/>
            </w:pPr>
            <w:r>
              <w:rPr>
                <w:rFonts w:cs="Arial Unicode MS"/>
                <w:color w:val="000000"/>
                <w:sz w:val="22"/>
                <w:szCs w:val="22"/>
                <w14:textOutline w14:w="0" w14:cap="flat" w14:cmpd="sng" w14:algn="ctr">
                  <w14:noFill/>
                  <w14:prstDash w14:val="solid"/>
                  <w14:bevel/>
                </w14:textOutline>
              </w:rPr>
              <w:t>14.99%</w:t>
            </w:r>
          </w:p>
        </w:tc>
        <w:tc>
          <w:tcPr>
            <w:tcW w:w="1882" w:type="dxa"/>
            <w:shd w:val="clear" w:color="auto" w:fill="auto"/>
            <w:tcMar>
              <w:top w:w="0" w:type="dxa"/>
              <w:left w:w="100" w:type="dxa"/>
              <w:bottom w:w="0" w:type="dxa"/>
              <w:right w:w="100" w:type="dxa"/>
            </w:tcMar>
            <w:vAlign w:val="center"/>
          </w:tcPr>
          <w:p w14:paraId="7E2E8328" w14:textId="77777777" w:rsidR="008575FB" w:rsidRDefault="00176BDB">
            <w:pPr>
              <w:jc w:val="right"/>
            </w:pPr>
            <w:r>
              <w:rPr>
                <w:rFonts w:cs="Arial Unicode MS"/>
                <w:color w:val="000000"/>
                <w:sz w:val="22"/>
                <w:szCs w:val="22"/>
                <w14:textOutline w14:w="0" w14:cap="flat" w14:cmpd="sng" w14:algn="ctr">
                  <w14:noFill/>
                  <w14:prstDash w14:val="solid"/>
                  <w14:bevel/>
                </w14:textOutline>
              </w:rPr>
              <w:t>2.75%</w:t>
            </w:r>
          </w:p>
        </w:tc>
        <w:tc>
          <w:tcPr>
            <w:tcW w:w="1812" w:type="dxa"/>
            <w:shd w:val="clear" w:color="auto" w:fill="auto"/>
            <w:tcMar>
              <w:top w:w="0" w:type="dxa"/>
              <w:left w:w="100" w:type="dxa"/>
              <w:bottom w:w="0" w:type="dxa"/>
              <w:right w:w="100" w:type="dxa"/>
            </w:tcMar>
            <w:vAlign w:val="center"/>
          </w:tcPr>
          <w:p w14:paraId="596A8EC4" w14:textId="77777777" w:rsidR="008575FB" w:rsidRDefault="00176BDB">
            <w:pPr>
              <w:jc w:val="right"/>
            </w:pPr>
            <w:r>
              <w:rPr>
                <w:rFonts w:cs="Arial Unicode MS"/>
                <w:color w:val="000000"/>
                <w:sz w:val="22"/>
                <w:szCs w:val="22"/>
                <w14:textOutline w14:w="0" w14:cap="flat" w14:cmpd="sng" w14:algn="ctr">
                  <w14:noFill/>
                  <w14:prstDash w14:val="solid"/>
                  <w14:bevel/>
                </w14:textOutline>
              </w:rPr>
              <w:t>132</w:t>
            </w:r>
          </w:p>
        </w:tc>
        <w:tc>
          <w:tcPr>
            <w:tcW w:w="1923" w:type="dxa"/>
            <w:shd w:val="clear" w:color="auto" w:fill="auto"/>
            <w:tcMar>
              <w:top w:w="0" w:type="dxa"/>
              <w:left w:w="100" w:type="dxa"/>
              <w:bottom w:w="0" w:type="dxa"/>
              <w:right w:w="100" w:type="dxa"/>
            </w:tcMar>
            <w:vAlign w:val="center"/>
          </w:tcPr>
          <w:p w14:paraId="67F3CB25" w14:textId="77777777" w:rsidR="008575FB" w:rsidRDefault="00176BDB">
            <w:pPr>
              <w:jc w:val="right"/>
            </w:pPr>
            <w:r>
              <w:rPr>
                <w:rFonts w:cs="Arial Unicode MS"/>
                <w:color w:val="000000"/>
                <w:sz w:val="22"/>
                <w:szCs w:val="22"/>
                <w14:textOutline w14:w="0" w14:cap="flat" w14:cmpd="sng" w14:algn="ctr">
                  <w14:noFill/>
                  <w14:prstDash w14:val="solid"/>
                  <w14:bevel/>
                </w14:textOutline>
              </w:rPr>
              <w:t>8,253,825.54</w:t>
            </w:r>
          </w:p>
        </w:tc>
      </w:tr>
      <w:tr w:rsidR="008575FB" w14:paraId="27256E62" w14:textId="77777777" w:rsidTr="00376F17">
        <w:trPr>
          <w:trHeight w:val="491"/>
          <w:jc w:val="right"/>
        </w:trPr>
        <w:tc>
          <w:tcPr>
            <w:tcW w:w="2180" w:type="dxa"/>
            <w:shd w:val="clear" w:color="auto" w:fill="auto"/>
            <w:tcMar>
              <w:top w:w="0" w:type="dxa"/>
              <w:left w:w="100" w:type="dxa"/>
              <w:bottom w:w="0" w:type="dxa"/>
              <w:right w:w="100" w:type="dxa"/>
            </w:tcMar>
            <w:vAlign w:val="center"/>
          </w:tcPr>
          <w:p w14:paraId="3E04B932" w14:textId="77777777" w:rsidR="008575FB" w:rsidRDefault="00176BDB">
            <w:pPr>
              <w:pStyle w:val="TableStyle2"/>
            </w:pPr>
            <w:r>
              <w:rPr>
                <w:rFonts w:ascii="Times New Roman" w:hAnsi="Times New Roman"/>
                <w:sz w:val="22"/>
                <w:szCs w:val="22"/>
              </w:rPr>
              <w:t>Labelling requirements (B310)</w:t>
            </w:r>
          </w:p>
        </w:tc>
        <w:tc>
          <w:tcPr>
            <w:tcW w:w="1819" w:type="dxa"/>
            <w:shd w:val="clear" w:color="auto" w:fill="auto"/>
            <w:tcMar>
              <w:top w:w="0" w:type="dxa"/>
              <w:left w:w="100" w:type="dxa"/>
              <w:bottom w:w="0" w:type="dxa"/>
              <w:right w:w="100" w:type="dxa"/>
            </w:tcMar>
            <w:vAlign w:val="center"/>
          </w:tcPr>
          <w:p w14:paraId="56419445" w14:textId="77777777" w:rsidR="008575FB" w:rsidRDefault="00176BDB">
            <w:pPr>
              <w:jc w:val="right"/>
            </w:pPr>
            <w:r>
              <w:rPr>
                <w:rFonts w:cs="Arial Unicode MS"/>
                <w:color w:val="000000"/>
                <w:sz w:val="22"/>
                <w:szCs w:val="22"/>
                <w14:textOutline w14:w="0" w14:cap="flat" w14:cmpd="sng" w14:algn="ctr">
                  <w14:noFill/>
                  <w14:prstDash w14:val="solid"/>
                  <w14:bevel/>
                </w14:textOutline>
              </w:rPr>
              <w:t>11.82%</w:t>
            </w:r>
          </w:p>
        </w:tc>
        <w:tc>
          <w:tcPr>
            <w:tcW w:w="1882" w:type="dxa"/>
            <w:shd w:val="clear" w:color="auto" w:fill="auto"/>
            <w:tcMar>
              <w:top w:w="0" w:type="dxa"/>
              <w:left w:w="100" w:type="dxa"/>
              <w:bottom w:w="0" w:type="dxa"/>
              <w:right w:w="100" w:type="dxa"/>
            </w:tcMar>
            <w:vAlign w:val="center"/>
          </w:tcPr>
          <w:p w14:paraId="2CE2047E" w14:textId="77777777" w:rsidR="008575FB" w:rsidRDefault="00176BDB">
            <w:pPr>
              <w:jc w:val="right"/>
            </w:pPr>
            <w:r>
              <w:rPr>
                <w:rFonts w:cs="Arial Unicode MS"/>
                <w:color w:val="000000"/>
                <w:sz w:val="22"/>
                <w:szCs w:val="22"/>
                <w14:textOutline w14:w="0" w14:cap="flat" w14:cmpd="sng" w14:algn="ctr">
                  <w14:noFill/>
                  <w14:prstDash w14:val="solid"/>
                  <w14:bevel/>
                </w14:textOutline>
              </w:rPr>
              <w:t>15.46%</w:t>
            </w:r>
          </w:p>
        </w:tc>
        <w:tc>
          <w:tcPr>
            <w:tcW w:w="1812" w:type="dxa"/>
            <w:shd w:val="clear" w:color="auto" w:fill="auto"/>
            <w:tcMar>
              <w:top w:w="0" w:type="dxa"/>
              <w:left w:w="100" w:type="dxa"/>
              <w:bottom w:w="0" w:type="dxa"/>
              <w:right w:w="100" w:type="dxa"/>
            </w:tcMar>
            <w:vAlign w:val="center"/>
          </w:tcPr>
          <w:p w14:paraId="75D31F0D" w14:textId="77777777" w:rsidR="008575FB" w:rsidRDefault="00176BDB">
            <w:pPr>
              <w:jc w:val="right"/>
            </w:pPr>
            <w:r>
              <w:rPr>
                <w:rFonts w:cs="Arial Unicode MS"/>
                <w:color w:val="000000"/>
                <w:sz w:val="22"/>
                <w:szCs w:val="22"/>
                <w14:textOutline w14:w="0" w14:cap="flat" w14:cmpd="sng" w14:algn="ctr">
                  <w14:noFill/>
                  <w14:prstDash w14:val="solid"/>
                  <w14:bevel/>
                </w14:textOutline>
              </w:rPr>
              <w:t>742</w:t>
            </w:r>
          </w:p>
        </w:tc>
        <w:tc>
          <w:tcPr>
            <w:tcW w:w="1923" w:type="dxa"/>
            <w:shd w:val="clear" w:color="auto" w:fill="auto"/>
            <w:tcMar>
              <w:top w:w="0" w:type="dxa"/>
              <w:left w:w="100" w:type="dxa"/>
              <w:bottom w:w="0" w:type="dxa"/>
              <w:right w:w="100" w:type="dxa"/>
            </w:tcMar>
            <w:vAlign w:val="center"/>
          </w:tcPr>
          <w:p w14:paraId="3F5B284A" w14:textId="77777777" w:rsidR="008575FB" w:rsidRDefault="00176BDB">
            <w:pPr>
              <w:jc w:val="right"/>
            </w:pPr>
            <w:r>
              <w:rPr>
                <w:rFonts w:cs="Arial Unicode MS"/>
                <w:color w:val="000000"/>
                <w:sz w:val="22"/>
                <w:szCs w:val="22"/>
                <w14:textOutline w14:w="0" w14:cap="flat" w14:cmpd="sng" w14:algn="ctr">
                  <w14:noFill/>
                  <w14:prstDash w14:val="solid"/>
                  <w14:bevel/>
                </w14:textOutline>
              </w:rPr>
              <w:t>6,510,171.70</w:t>
            </w:r>
          </w:p>
        </w:tc>
      </w:tr>
      <w:tr w:rsidR="008575FB" w14:paraId="180C60C8" w14:textId="77777777" w:rsidTr="00376F17">
        <w:trPr>
          <w:trHeight w:val="491"/>
          <w:jc w:val="right"/>
        </w:trPr>
        <w:tc>
          <w:tcPr>
            <w:tcW w:w="2180" w:type="dxa"/>
            <w:shd w:val="clear" w:color="auto" w:fill="auto"/>
            <w:tcMar>
              <w:top w:w="0" w:type="dxa"/>
              <w:left w:w="100" w:type="dxa"/>
              <w:bottom w:w="0" w:type="dxa"/>
              <w:right w:w="100" w:type="dxa"/>
            </w:tcMar>
            <w:vAlign w:val="center"/>
          </w:tcPr>
          <w:p w14:paraId="620874B9" w14:textId="77777777" w:rsidR="008575FB" w:rsidRDefault="00176BDB">
            <w:pPr>
              <w:pStyle w:val="TableStyle2"/>
            </w:pPr>
            <w:r>
              <w:rPr>
                <w:rFonts w:ascii="Times New Roman" w:hAnsi="Times New Roman"/>
                <w:sz w:val="22"/>
                <w:szCs w:val="22"/>
              </w:rPr>
              <w:t>Packaging requirements (A330)</w:t>
            </w:r>
          </w:p>
        </w:tc>
        <w:tc>
          <w:tcPr>
            <w:tcW w:w="1819" w:type="dxa"/>
            <w:shd w:val="clear" w:color="auto" w:fill="auto"/>
            <w:tcMar>
              <w:top w:w="0" w:type="dxa"/>
              <w:left w:w="100" w:type="dxa"/>
              <w:bottom w:w="0" w:type="dxa"/>
              <w:right w:w="100" w:type="dxa"/>
            </w:tcMar>
            <w:vAlign w:val="center"/>
          </w:tcPr>
          <w:p w14:paraId="7972D637" w14:textId="77777777" w:rsidR="008575FB" w:rsidRDefault="00176BDB">
            <w:pPr>
              <w:jc w:val="right"/>
            </w:pPr>
            <w:r>
              <w:rPr>
                <w:rFonts w:cs="Arial Unicode MS"/>
                <w:color w:val="000000"/>
                <w:sz w:val="22"/>
                <w:szCs w:val="22"/>
                <w14:textOutline w14:w="0" w14:cap="flat" w14:cmpd="sng" w14:algn="ctr">
                  <w14:noFill/>
                  <w14:prstDash w14:val="solid"/>
                  <w14:bevel/>
                </w14:textOutline>
              </w:rPr>
              <w:t>10.55%</w:t>
            </w:r>
          </w:p>
        </w:tc>
        <w:tc>
          <w:tcPr>
            <w:tcW w:w="1882" w:type="dxa"/>
            <w:shd w:val="clear" w:color="auto" w:fill="auto"/>
            <w:tcMar>
              <w:top w:w="0" w:type="dxa"/>
              <w:left w:w="100" w:type="dxa"/>
              <w:bottom w:w="0" w:type="dxa"/>
              <w:right w:w="100" w:type="dxa"/>
            </w:tcMar>
            <w:vAlign w:val="center"/>
          </w:tcPr>
          <w:p w14:paraId="4590E33B" w14:textId="77777777" w:rsidR="008575FB" w:rsidRDefault="00176BDB">
            <w:pPr>
              <w:jc w:val="right"/>
            </w:pPr>
            <w:r>
              <w:rPr>
                <w:rFonts w:cs="Arial Unicode MS"/>
                <w:color w:val="000000"/>
                <w:sz w:val="22"/>
                <w:szCs w:val="22"/>
                <w14:textOutline w14:w="0" w14:cap="flat" w14:cmpd="sng" w14:algn="ctr">
                  <w14:noFill/>
                  <w14:prstDash w14:val="solid"/>
                  <w14:bevel/>
                </w14:textOutline>
              </w:rPr>
              <w:t>13.84%</w:t>
            </w:r>
          </w:p>
        </w:tc>
        <w:tc>
          <w:tcPr>
            <w:tcW w:w="1812" w:type="dxa"/>
            <w:shd w:val="clear" w:color="auto" w:fill="auto"/>
            <w:tcMar>
              <w:top w:w="0" w:type="dxa"/>
              <w:left w:w="100" w:type="dxa"/>
              <w:bottom w:w="0" w:type="dxa"/>
              <w:right w:w="100" w:type="dxa"/>
            </w:tcMar>
            <w:vAlign w:val="center"/>
          </w:tcPr>
          <w:p w14:paraId="626A33F6" w14:textId="77777777" w:rsidR="008575FB" w:rsidRDefault="00176BDB">
            <w:pPr>
              <w:jc w:val="right"/>
            </w:pPr>
            <w:r>
              <w:rPr>
                <w:rFonts w:cs="Arial Unicode MS"/>
                <w:color w:val="000000"/>
                <w:sz w:val="22"/>
                <w:szCs w:val="22"/>
                <w14:textOutline w14:w="0" w14:cap="flat" w14:cmpd="sng" w14:algn="ctr">
                  <w14:noFill/>
                  <w14:prstDash w14:val="solid"/>
                  <w14:bevel/>
                </w14:textOutline>
              </w:rPr>
              <w:t>664</w:t>
            </w:r>
          </w:p>
        </w:tc>
        <w:tc>
          <w:tcPr>
            <w:tcW w:w="1923" w:type="dxa"/>
            <w:shd w:val="clear" w:color="auto" w:fill="auto"/>
            <w:tcMar>
              <w:top w:w="0" w:type="dxa"/>
              <w:left w:w="100" w:type="dxa"/>
              <w:bottom w:w="0" w:type="dxa"/>
              <w:right w:w="100" w:type="dxa"/>
            </w:tcMar>
            <w:vAlign w:val="center"/>
          </w:tcPr>
          <w:p w14:paraId="1F5842EE" w14:textId="77777777" w:rsidR="008575FB" w:rsidRDefault="00176BDB">
            <w:pPr>
              <w:jc w:val="right"/>
            </w:pPr>
            <w:r>
              <w:rPr>
                <w:rFonts w:cs="Arial Unicode MS"/>
                <w:color w:val="000000"/>
                <w:sz w:val="22"/>
                <w:szCs w:val="22"/>
                <w14:textOutline w14:w="0" w14:cap="flat" w14:cmpd="sng" w14:algn="ctr">
                  <w14:noFill/>
                  <w14:prstDash w14:val="solid"/>
                  <w14:bevel/>
                </w14:textOutline>
              </w:rPr>
              <w:t>5,808,300.56</w:t>
            </w:r>
          </w:p>
        </w:tc>
      </w:tr>
    </w:tbl>
    <w:p w14:paraId="2DE9949A" w14:textId="77777777" w:rsidR="008575FB" w:rsidRDefault="008575FB">
      <w:pPr>
        <w:pStyle w:val="Default"/>
        <w:jc w:val="right"/>
        <w:rPr>
          <w:rFonts w:ascii="Calibri" w:eastAsia="Calibri" w:hAnsi="Calibri" w:cs="Calibri"/>
        </w:rPr>
      </w:pPr>
    </w:p>
    <w:p w14:paraId="74F69768" w14:textId="77777777" w:rsidR="008575FB" w:rsidRDefault="008575FB">
      <w:pPr>
        <w:pStyle w:val="Default"/>
        <w:rPr>
          <w:rFonts w:ascii="Times New Roman" w:eastAsia="Times New Roman" w:hAnsi="Times New Roman" w:cs="Times New Roman"/>
          <w:i/>
          <w:iCs/>
          <w:sz w:val="24"/>
          <w:szCs w:val="24"/>
        </w:rPr>
      </w:pPr>
    </w:p>
    <w:p w14:paraId="331B6B37" w14:textId="77777777" w:rsidR="008575FB" w:rsidRDefault="00176BDB">
      <w:pPr>
        <w:pStyle w:val="Default"/>
        <w:spacing w:after="160" w:line="259" w:lineRule="auto"/>
        <w:ind w:right="278"/>
      </w:pPr>
      <w:r>
        <w:rPr>
          <w:rFonts w:ascii="Arial Unicode MS" w:eastAsia="Arial Unicode MS" w:hAnsi="Arial Unicode MS" w:cs="Arial Unicode MS"/>
          <w:sz w:val="24"/>
          <w:szCs w:val="24"/>
        </w:rPr>
        <w:br w:type="page"/>
      </w:r>
    </w:p>
    <w:p w14:paraId="3DECEF54" w14:textId="77777777" w:rsidR="008575FB" w:rsidRDefault="00176BDB">
      <w:pPr>
        <w:pStyle w:val="Default"/>
        <w:spacing w:after="160" w:line="259" w:lineRule="auto"/>
        <w:ind w:right="278"/>
        <w:rPr>
          <w:rFonts w:ascii="Times New Roman" w:eastAsia="Times New Roman" w:hAnsi="Times New Roman" w:cs="Times New Roman"/>
          <w:i/>
          <w:iCs/>
          <w:sz w:val="24"/>
          <w:szCs w:val="24"/>
        </w:rPr>
      </w:pPr>
      <w:r>
        <w:rPr>
          <w:rFonts w:ascii="Times New Roman" w:hAnsi="Times New Roman"/>
          <w:i/>
          <w:iCs/>
          <w:sz w:val="24"/>
          <w:szCs w:val="24"/>
        </w:rPr>
        <w:lastRenderedPageBreak/>
        <w:t xml:space="preserve">History of the Moroccan Current Account Deficit </w:t>
      </w:r>
    </w:p>
    <w:p w14:paraId="45A634E5" w14:textId="77777777" w:rsidR="008575FB" w:rsidRDefault="00EC3131">
      <w:pPr>
        <w:pStyle w:val="Default"/>
        <w:spacing w:after="160" w:line="259" w:lineRule="auto"/>
        <w:ind w:right="278"/>
        <w:jc w:val="both"/>
        <w:rPr>
          <w:rFonts w:ascii="Times New Roman" w:eastAsia="Times New Roman" w:hAnsi="Times New Roman" w:cs="Times New Roman"/>
          <w:sz w:val="24"/>
          <w:szCs w:val="24"/>
        </w:rPr>
      </w:pPr>
      <w:r>
        <w:rPr>
          <w:noProof/>
        </w:rPr>
        <mc:AlternateContent>
          <mc:Choice Requires="wps">
            <w:drawing>
              <wp:anchor distT="0" distB="0" distL="0" distR="0" simplePos="0" relativeHeight="251665408" behindDoc="0" locked="0" layoutInCell="1" allowOverlap="1" wp14:anchorId="27F9E551" wp14:editId="38DF2C64">
                <wp:simplePos x="0" y="0"/>
                <wp:positionH relativeFrom="page">
                  <wp:posOffset>5082886</wp:posOffset>
                </wp:positionH>
                <wp:positionV relativeFrom="page">
                  <wp:posOffset>3546244</wp:posOffset>
                </wp:positionV>
                <wp:extent cx="1934210" cy="319786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934210" cy="3197860"/>
                        </a:xfrm>
                        <a:prstGeom prst="rect">
                          <a:avLst/>
                        </a:prstGeom>
                      </wps:spPr>
                      <wps:txbx>
                        <w:txbxContent>
                          <w:tbl>
                            <w:tblPr>
                              <w:tblW w:w="2659" w:type="dxa"/>
                              <w:tblBorders>
                                <w:top w:val="single" w:sz="2" w:space="0" w:color="000000"/>
                                <w:left w:val="single" w:sz="2" w:space="0" w:color="000000"/>
                                <w:bottom w:val="single" w:sz="2" w:space="0" w:color="000000"/>
                                <w:right w:val="single" w:sz="2" w:space="0" w:color="000000"/>
                                <w:insideH w:val="single" w:sz="2" w:space="0" w:color="5E5E5E"/>
                                <w:insideV w:val="single" w:sz="2" w:space="0" w:color="5E5E5E"/>
                              </w:tblBorders>
                              <w:shd w:val="clear" w:color="auto" w:fill="BDC0BF"/>
                              <w:tblLayout w:type="fixed"/>
                              <w:tblLook w:val="04A0" w:firstRow="1" w:lastRow="0" w:firstColumn="1" w:lastColumn="0" w:noHBand="0" w:noVBand="1"/>
                            </w:tblPr>
                            <w:tblGrid>
                              <w:gridCol w:w="748"/>
                              <w:gridCol w:w="871"/>
                              <w:gridCol w:w="1040"/>
                            </w:tblGrid>
                            <w:tr w:rsidR="008575FB" w14:paraId="3632A838" w14:textId="77777777">
                              <w:trPr>
                                <w:trHeight w:val="340"/>
                              </w:trPr>
                              <w:tc>
                                <w:tcPr>
                                  <w:tcW w:w="748" w:type="dxa"/>
                                  <w:tcBorders>
                                    <w:top w:val="nil"/>
                                    <w:left w:val="nil"/>
                                    <w:bottom w:val="nil"/>
                                    <w:right w:val="nil"/>
                                  </w:tcBorders>
                                  <w:shd w:val="clear" w:color="auto" w:fill="BDC0BF"/>
                                  <w:tcMar>
                                    <w:top w:w="0" w:type="dxa"/>
                                    <w:left w:w="100" w:type="dxa"/>
                                    <w:bottom w:w="0" w:type="dxa"/>
                                    <w:right w:w="100" w:type="dxa"/>
                                  </w:tcMar>
                                  <w:vAlign w:val="center"/>
                                </w:tcPr>
                                <w:p w14:paraId="45A8FA94" w14:textId="77777777" w:rsidR="008575FB" w:rsidRDefault="00176BDB">
                                  <w:pPr>
                                    <w:pStyle w:val="TableStyle1"/>
                                  </w:pPr>
                                  <w:r>
                                    <w:rPr>
                                      <w:sz w:val="18"/>
                                      <w:szCs w:val="18"/>
                                    </w:rPr>
                                    <w:t>Date</w:t>
                                  </w:r>
                                </w:p>
                              </w:tc>
                              <w:tc>
                                <w:tcPr>
                                  <w:tcW w:w="871" w:type="dxa"/>
                                  <w:tcBorders>
                                    <w:top w:val="nil"/>
                                    <w:left w:val="nil"/>
                                    <w:bottom w:val="nil"/>
                                    <w:right w:val="nil"/>
                                  </w:tcBorders>
                                  <w:shd w:val="clear" w:color="auto" w:fill="BDC0BF"/>
                                  <w:tcMar>
                                    <w:top w:w="0" w:type="dxa"/>
                                    <w:left w:w="100" w:type="dxa"/>
                                    <w:bottom w:w="0" w:type="dxa"/>
                                    <w:right w:w="100" w:type="dxa"/>
                                  </w:tcMar>
                                  <w:vAlign w:val="center"/>
                                </w:tcPr>
                                <w:p w14:paraId="7EA1CD9D" w14:textId="77777777" w:rsidR="008575FB" w:rsidRDefault="00176BDB">
                                  <w:pPr>
                                    <w:pStyle w:val="TableStyle1"/>
                                  </w:pPr>
                                  <w:r>
                                    <w:rPr>
                                      <w:sz w:val="18"/>
                                      <w:szCs w:val="18"/>
                                    </w:rPr>
                                    <w:t>Value</w:t>
                                  </w:r>
                                </w:p>
                              </w:tc>
                              <w:tc>
                                <w:tcPr>
                                  <w:tcW w:w="1040" w:type="dxa"/>
                                  <w:tcBorders>
                                    <w:top w:val="nil"/>
                                    <w:left w:val="nil"/>
                                    <w:bottom w:val="nil"/>
                                    <w:right w:val="nil"/>
                                  </w:tcBorders>
                                  <w:shd w:val="clear" w:color="auto" w:fill="BDC0BF"/>
                                  <w:tcMar>
                                    <w:top w:w="0" w:type="dxa"/>
                                    <w:left w:w="100" w:type="dxa"/>
                                    <w:bottom w:w="0" w:type="dxa"/>
                                    <w:right w:w="100" w:type="dxa"/>
                                  </w:tcMar>
                                  <w:vAlign w:val="center"/>
                                </w:tcPr>
                                <w:p w14:paraId="2059F5AD" w14:textId="77777777" w:rsidR="008575FB" w:rsidRDefault="00176BDB">
                                  <w:pPr>
                                    <w:pStyle w:val="TableStyle1"/>
                                  </w:pPr>
                                  <w:r>
                                    <w:rPr>
                                      <w:sz w:val="18"/>
                                      <w:szCs w:val="18"/>
                                    </w:rPr>
                                    <w:t>Change</w:t>
                                  </w:r>
                                </w:p>
                              </w:tc>
                            </w:tr>
                            <w:tr w:rsidR="008575FB" w14:paraId="3C3FCE68"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506C32ED" w14:textId="77777777" w:rsidR="008575FB" w:rsidRDefault="00176BDB">
                                  <w:pPr>
                                    <w:pStyle w:val="TableStyle2"/>
                                  </w:pPr>
                                  <w:r>
                                    <w:rPr>
                                      <w:sz w:val="18"/>
                                      <w:szCs w:val="18"/>
                                    </w:rPr>
                                    <w:t>2006</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61EA8BFB" w14:textId="77777777" w:rsidR="008575FB" w:rsidRDefault="00176BDB">
                                  <w:pPr>
                                    <w:pStyle w:val="TableStyle2"/>
                                  </w:pPr>
                                  <w:r>
                                    <w:rPr>
                                      <w:sz w:val="18"/>
                                      <w:szCs w:val="18"/>
                                    </w:rPr>
                                    <w:t>1,411</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7E090CDF" w14:textId="77777777" w:rsidR="008575FB" w:rsidRDefault="00176BDB">
                                  <w:pPr>
                                    <w:pStyle w:val="TableStyle2"/>
                                  </w:pPr>
                                  <w:r>
                                    <w:rPr>
                                      <w:sz w:val="18"/>
                                      <w:szCs w:val="18"/>
                                    </w:rPr>
                                    <w:t>35.62%</w:t>
                                  </w:r>
                                </w:p>
                              </w:tc>
                            </w:tr>
                            <w:tr w:rsidR="008575FB" w14:paraId="238FE6F8"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76DE4E4F" w14:textId="77777777" w:rsidR="008575FB" w:rsidRDefault="00176BDB">
                                  <w:pPr>
                                    <w:pStyle w:val="TableStyle2"/>
                                  </w:pPr>
                                  <w:r>
                                    <w:rPr>
                                      <w:sz w:val="18"/>
                                      <w:szCs w:val="18"/>
                                    </w:rPr>
                                    <w:t>2007</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496F276E" w14:textId="77777777" w:rsidR="008575FB" w:rsidRDefault="00176BDB">
                                  <w:pPr>
                                    <w:pStyle w:val="TableStyle2"/>
                                  </w:pPr>
                                  <w:r>
                                    <w:rPr>
                                      <w:sz w:val="18"/>
                                      <w:szCs w:val="18"/>
                                    </w:rPr>
                                    <w:t>-122</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4848952E" w14:textId="77777777" w:rsidR="008575FB" w:rsidRDefault="00176BDB">
                                  <w:pPr>
                                    <w:pStyle w:val="TableStyle2"/>
                                  </w:pPr>
                                  <w:r>
                                    <w:rPr>
                                      <w:sz w:val="18"/>
                                      <w:szCs w:val="18"/>
                                    </w:rPr>
                                    <w:t>-108.65%</w:t>
                                  </w:r>
                                </w:p>
                              </w:tc>
                            </w:tr>
                            <w:tr w:rsidR="008575FB" w14:paraId="0C0ED558"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629C8917" w14:textId="77777777" w:rsidR="008575FB" w:rsidRDefault="00176BDB">
                                  <w:pPr>
                                    <w:pStyle w:val="TableStyle2"/>
                                  </w:pPr>
                                  <w:r>
                                    <w:rPr>
                                      <w:sz w:val="18"/>
                                      <w:szCs w:val="18"/>
                                    </w:rPr>
                                    <w:t>2008</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2A441EC2" w14:textId="77777777" w:rsidR="008575FB" w:rsidRDefault="00176BDB">
                                  <w:pPr>
                                    <w:pStyle w:val="TableStyle2"/>
                                  </w:pPr>
                                  <w:r>
                                    <w:rPr>
                                      <w:sz w:val="18"/>
                                      <w:szCs w:val="18"/>
                                    </w:rPr>
                                    <w:t>-4,528</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125CC56E" w14:textId="77777777" w:rsidR="008575FB" w:rsidRDefault="00176BDB">
                                  <w:pPr>
                                    <w:pStyle w:val="TableStyle2"/>
                                  </w:pPr>
                                  <w:r>
                                    <w:rPr>
                                      <w:sz w:val="18"/>
                                      <w:szCs w:val="18"/>
                                    </w:rPr>
                                    <w:t>3610.76%</w:t>
                                  </w:r>
                                </w:p>
                              </w:tc>
                            </w:tr>
                            <w:tr w:rsidR="008575FB" w14:paraId="67173215"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301B5647" w14:textId="77777777" w:rsidR="008575FB" w:rsidRDefault="00176BDB">
                                  <w:pPr>
                                    <w:pStyle w:val="TableStyle2"/>
                                  </w:pPr>
                                  <w:r>
                                    <w:rPr>
                                      <w:sz w:val="18"/>
                                      <w:szCs w:val="18"/>
                                    </w:rPr>
                                    <w:t>2009</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23C9BC4F" w14:textId="77777777" w:rsidR="008575FB" w:rsidRDefault="00176BDB">
                                  <w:pPr>
                                    <w:pStyle w:val="TableStyle2"/>
                                  </w:pPr>
                                  <w:r>
                                    <w:rPr>
                                      <w:sz w:val="18"/>
                                      <w:szCs w:val="18"/>
                                    </w:rPr>
                                    <w:t>-4,971</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0D49E65D" w14:textId="77777777" w:rsidR="008575FB" w:rsidRDefault="00176BDB">
                                  <w:pPr>
                                    <w:pStyle w:val="TableStyle2"/>
                                  </w:pPr>
                                  <w:r>
                                    <w:rPr>
                                      <w:sz w:val="18"/>
                                      <w:szCs w:val="18"/>
                                    </w:rPr>
                                    <w:t>9.78%</w:t>
                                  </w:r>
                                </w:p>
                              </w:tc>
                            </w:tr>
                            <w:tr w:rsidR="008575FB" w14:paraId="79DEBC74"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7FE94796" w14:textId="77777777" w:rsidR="008575FB" w:rsidRDefault="00176BDB">
                                  <w:pPr>
                                    <w:pStyle w:val="TableStyle2"/>
                                  </w:pPr>
                                  <w:r>
                                    <w:rPr>
                                      <w:sz w:val="18"/>
                                      <w:szCs w:val="18"/>
                                    </w:rPr>
                                    <w:t>2010</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336C3E47" w14:textId="77777777" w:rsidR="008575FB" w:rsidRDefault="00176BDB">
                                  <w:pPr>
                                    <w:pStyle w:val="TableStyle2"/>
                                  </w:pPr>
                                  <w:r>
                                    <w:rPr>
                                      <w:sz w:val="18"/>
                                      <w:szCs w:val="18"/>
                                    </w:rPr>
                                    <w:t>-3,925</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5A9DFC23" w14:textId="77777777" w:rsidR="008575FB" w:rsidRDefault="00176BDB">
                                  <w:pPr>
                                    <w:pStyle w:val="TableStyle2"/>
                                  </w:pPr>
                                  <w:r>
                                    <w:rPr>
                                      <w:sz w:val="18"/>
                                      <w:szCs w:val="18"/>
                                    </w:rPr>
                                    <w:t>-21.04%</w:t>
                                  </w:r>
                                </w:p>
                              </w:tc>
                            </w:tr>
                            <w:tr w:rsidR="008575FB" w14:paraId="0CC3711A"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70F0A400" w14:textId="77777777" w:rsidR="008575FB" w:rsidRDefault="00176BDB">
                                  <w:pPr>
                                    <w:pStyle w:val="TableStyle2"/>
                                  </w:pPr>
                                  <w:r>
                                    <w:rPr>
                                      <w:sz w:val="18"/>
                                      <w:szCs w:val="18"/>
                                    </w:rPr>
                                    <w:t>2011</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5AD08990" w14:textId="77777777" w:rsidR="008575FB" w:rsidRDefault="00176BDB">
                                  <w:pPr>
                                    <w:pStyle w:val="TableStyle2"/>
                                  </w:pPr>
                                  <w:r>
                                    <w:rPr>
                                      <w:sz w:val="18"/>
                                      <w:szCs w:val="18"/>
                                    </w:rPr>
                                    <w:t>-8,000</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0D3A3301" w14:textId="77777777" w:rsidR="008575FB" w:rsidRDefault="00176BDB">
                                  <w:pPr>
                                    <w:pStyle w:val="TableStyle2"/>
                                  </w:pPr>
                                  <w:r>
                                    <w:rPr>
                                      <w:sz w:val="18"/>
                                      <w:szCs w:val="18"/>
                                    </w:rPr>
                                    <w:t>103.80%</w:t>
                                  </w:r>
                                </w:p>
                              </w:tc>
                            </w:tr>
                            <w:tr w:rsidR="008575FB" w14:paraId="74836E4B"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40D6ADB7" w14:textId="77777777" w:rsidR="008575FB" w:rsidRDefault="00176BDB">
                                  <w:pPr>
                                    <w:pStyle w:val="TableStyle2"/>
                                  </w:pPr>
                                  <w:r>
                                    <w:rPr>
                                      <w:sz w:val="18"/>
                                      <w:szCs w:val="18"/>
                                    </w:rPr>
                                    <w:t>2012</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06D312F6" w14:textId="77777777" w:rsidR="008575FB" w:rsidRDefault="00176BDB">
                                  <w:pPr>
                                    <w:pStyle w:val="TableStyle2"/>
                                  </w:pPr>
                                  <w:r>
                                    <w:rPr>
                                      <w:sz w:val="18"/>
                                      <w:szCs w:val="18"/>
                                    </w:rPr>
                                    <w:t>-9,571</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6A8B13CC" w14:textId="77777777" w:rsidR="008575FB" w:rsidRDefault="00176BDB">
                                  <w:pPr>
                                    <w:pStyle w:val="TableStyle2"/>
                                  </w:pPr>
                                  <w:r>
                                    <w:rPr>
                                      <w:sz w:val="18"/>
                                      <w:szCs w:val="18"/>
                                    </w:rPr>
                                    <w:t>19.65%</w:t>
                                  </w:r>
                                </w:p>
                              </w:tc>
                            </w:tr>
                            <w:tr w:rsidR="008575FB" w14:paraId="17672788"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712B36BE" w14:textId="77777777" w:rsidR="008575FB" w:rsidRDefault="00176BDB">
                                  <w:pPr>
                                    <w:pStyle w:val="TableStyle2"/>
                                  </w:pPr>
                                  <w:r>
                                    <w:rPr>
                                      <w:sz w:val="18"/>
                                      <w:szCs w:val="18"/>
                                    </w:rPr>
                                    <w:t>2013</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21E00ED6" w14:textId="77777777" w:rsidR="008575FB" w:rsidRDefault="00176BDB">
                                  <w:pPr>
                                    <w:pStyle w:val="TableStyle2"/>
                                  </w:pPr>
                                  <w:r>
                                    <w:rPr>
                                      <w:sz w:val="18"/>
                                      <w:szCs w:val="18"/>
                                    </w:rPr>
                                    <w:t>-7,844</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2BA5EC4E" w14:textId="77777777" w:rsidR="008575FB" w:rsidRDefault="00176BDB">
                                  <w:pPr>
                                    <w:pStyle w:val="TableStyle2"/>
                                  </w:pPr>
                                  <w:r>
                                    <w:rPr>
                                      <w:sz w:val="18"/>
                                      <w:szCs w:val="18"/>
                                    </w:rPr>
                                    <w:t>-18.05%</w:t>
                                  </w:r>
                                </w:p>
                              </w:tc>
                            </w:tr>
                            <w:tr w:rsidR="008575FB" w14:paraId="46089E85"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6B6452E9" w14:textId="77777777" w:rsidR="008575FB" w:rsidRDefault="00176BDB">
                                  <w:pPr>
                                    <w:pStyle w:val="TableStyle2"/>
                                  </w:pPr>
                                  <w:r>
                                    <w:rPr>
                                      <w:sz w:val="18"/>
                                      <w:szCs w:val="18"/>
                                    </w:rPr>
                                    <w:t>2014</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02CDB1EE" w14:textId="77777777" w:rsidR="008575FB" w:rsidRDefault="00176BDB">
                                  <w:pPr>
                                    <w:pStyle w:val="TableStyle2"/>
                                  </w:pPr>
                                  <w:r>
                                    <w:rPr>
                                      <w:sz w:val="18"/>
                                      <w:szCs w:val="18"/>
                                    </w:rPr>
                                    <w:t>-6,597</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282F9F8D" w14:textId="77777777" w:rsidR="008575FB" w:rsidRDefault="00176BDB">
                                  <w:pPr>
                                    <w:pStyle w:val="TableStyle2"/>
                                  </w:pPr>
                                  <w:r>
                                    <w:rPr>
                                      <w:sz w:val="18"/>
                                      <w:szCs w:val="18"/>
                                    </w:rPr>
                                    <w:t>-15.89%</w:t>
                                  </w:r>
                                </w:p>
                              </w:tc>
                            </w:tr>
                            <w:tr w:rsidR="008575FB" w14:paraId="29F1E9AA"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53B62AEF" w14:textId="77777777" w:rsidR="008575FB" w:rsidRDefault="00176BDB">
                                  <w:pPr>
                                    <w:pStyle w:val="TableStyle2"/>
                                  </w:pPr>
                                  <w:r>
                                    <w:rPr>
                                      <w:sz w:val="18"/>
                                      <w:szCs w:val="18"/>
                                    </w:rPr>
                                    <w:t>2015</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0E99EBC4" w14:textId="77777777" w:rsidR="008575FB" w:rsidRDefault="00176BDB">
                                  <w:pPr>
                                    <w:pStyle w:val="TableStyle2"/>
                                  </w:pPr>
                                  <w:r>
                                    <w:rPr>
                                      <w:sz w:val="18"/>
                                      <w:szCs w:val="18"/>
                                    </w:rPr>
                                    <w:t>-2,161</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41F688FB" w14:textId="77777777" w:rsidR="008575FB" w:rsidRDefault="00176BDB">
                                  <w:pPr>
                                    <w:pStyle w:val="TableStyle2"/>
                                  </w:pPr>
                                  <w:r>
                                    <w:rPr>
                                      <w:sz w:val="18"/>
                                      <w:szCs w:val="18"/>
                                    </w:rPr>
                                    <w:t>-67.25%</w:t>
                                  </w:r>
                                </w:p>
                              </w:tc>
                            </w:tr>
                            <w:tr w:rsidR="008575FB" w14:paraId="507E42FE"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409DE87D" w14:textId="77777777" w:rsidR="008575FB" w:rsidRDefault="00176BDB">
                                  <w:pPr>
                                    <w:pStyle w:val="TableStyle2"/>
                                  </w:pPr>
                                  <w:r>
                                    <w:rPr>
                                      <w:sz w:val="18"/>
                                      <w:szCs w:val="18"/>
                                    </w:rPr>
                                    <w:t>2016</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04ECD310" w14:textId="77777777" w:rsidR="008575FB" w:rsidRDefault="00176BDB">
                                  <w:pPr>
                                    <w:pStyle w:val="TableStyle2"/>
                                  </w:pPr>
                                  <w:r>
                                    <w:rPr>
                                      <w:sz w:val="18"/>
                                      <w:szCs w:val="18"/>
                                    </w:rPr>
                                    <w:t>-4,180</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0C69C383" w14:textId="77777777" w:rsidR="008575FB" w:rsidRDefault="00176BDB">
                                  <w:pPr>
                                    <w:pStyle w:val="TableStyle2"/>
                                  </w:pPr>
                                  <w:r>
                                    <w:rPr>
                                      <w:sz w:val="18"/>
                                      <w:szCs w:val="18"/>
                                    </w:rPr>
                                    <w:t>93.44%</w:t>
                                  </w:r>
                                </w:p>
                              </w:tc>
                            </w:tr>
                            <w:tr w:rsidR="008575FB" w14:paraId="29F28E7E"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16DCF247" w14:textId="77777777" w:rsidR="008575FB" w:rsidRDefault="00176BDB">
                                  <w:pPr>
                                    <w:pStyle w:val="TableStyle2"/>
                                  </w:pPr>
                                  <w:r>
                                    <w:rPr>
                                      <w:sz w:val="18"/>
                                      <w:szCs w:val="18"/>
                                    </w:rPr>
                                    <w:t>2017</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354745C4" w14:textId="77777777" w:rsidR="008575FB" w:rsidRDefault="00176BDB">
                                  <w:pPr>
                                    <w:pStyle w:val="TableStyle2"/>
                                  </w:pPr>
                                  <w:r>
                                    <w:rPr>
                                      <w:sz w:val="18"/>
                                      <w:szCs w:val="18"/>
                                    </w:rPr>
                                    <w:t>-3,677</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0A4C3DFB" w14:textId="77777777" w:rsidR="008575FB" w:rsidRDefault="00176BDB">
                                  <w:pPr>
                                    <w:pStyle w:val="TableStyle2"/>
                                  </w:pPr>
                                  <w:r>
                                    <w:rPr>
                                      <w:sz w:val="18"/>
                                      <w:szCs w:val="18"/>
                                    </w:rPr>
                                    <w:t>-12.02%</w:t>
                                  </w:r>
                                </w:p>
                              </w:tc>
                            </w:tr>
                            <w:tr w:rsidR="008575FB" w14:paraId="02868141"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5951361D" w14:textId="77777777" w:rsidR="008575FB" w:rsidRDefault="00176BDB">
                                  <w:pPr>
                                    <w:pStyle w:val="TableStyle2"/>
                                  </w:pPr>
                                  <w:r>
                                    <w:rPr>
                                      <w:sz w:val="18"/>
                                      <w:szCs w:val="18"/>
                                    </w:rPr>
                                    <w:t>2018</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1B95D52C" w14:textId="77777777" w:rsidR="008575FB" w:rsidRDefault="00176BDB">
                                  <w:pPr>
                                    <w:pStyle w:val="TableStyle2"/>
                                  </w:pPr>
                                  <w:r>
                                    <w:rPr>
                                      <w:sz w:val="18"/>
                                      <w:szCs w:val="18"/>
                                    </w:rPr>
                                    <w:t>-6,445</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5E1FBC45" w14:textId="77777777" w:rsidR="008575FB" w:rsidRDefault="00176BDB">
                                  <w:pPr>
                                    <w:pStyle w:val="TableStyle2"/>
                                  </w:pPr>
                                  <w:r>
                                    <w:rPr>
                                      <w:sz w:val="18"/>
                                      <w:szCs w:val="18"/>
                                    </w:rPr>
                                    <w:t>75.26%</w:t>
                                  </w:r>
                                </w:p>
                              </w:tc>
                            </w:tr>
                          </w:tbl>
                          <w:p w14:paraId="7D195A73" w14:textId="77777777" w:rsidR="00000000" w:rsidRDefault="00176BDB"/>
                        </w:txbxContent>
                      </wps:txbx>
                      <wps:bodyPr lIns="0" tIns="0" rIns="0" bIns="0">
                        <a:spAutoFit/>
                      </wps:bodyPr>
                    </wps:wsp>
                  </a:graphicData>
                </a:graphic>
              </wp:anchor>
            </w:drawing>
          </mc:Choice>
          <mc:Fallback>
            <w:pict>
              <v:rect w14:anchorId="27F9E551" id="officeArt object" o:spid="_x0000_s1026" style="position:absolute;left:0;text-align:left;margin-left:400.25pt;margin-top:279.25pt;width:152.3pt;height:251.8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" filled="f" stroked="f">
                <v:textbox style="mso-fit-shape-to-text:t" inset="0,0,0,0">
                  <w:txbxContent>
                    <w:tbl>
                      <w:tblPr>
                        <w:tblW w:w="2659" w:type="dxa"/>
                        <w:tblBorders>
                          <w:top w:val="single" w:sz="2" w:space="0" w:color="000000"/>
                          <w:left w:val="single" w:sz="2" w:space="0" w:color="000000"/>
                          <w:bottom w:val="single" w:sz="2" w:space="0" w:color="000000"/>
                          <w:right w:val="single" w:sz="2" w:space="0" w:color="000000"/>
                          <w:insideH w:val="single" w:sz="2" w:space="0" w:color="5E5E5E"/>
                          <w:insideV w:val="single" w:sz="2" w:space="0" w:color="5E5E5E"/>
                        </w:tblBorders>
                        <w:shd w:val="clear" w:color="auto" w:fill="BDC0BF"/>
                        <w:tblLayout w:type="fixed"/>
                        <w:tblLook w:val="04A0" w:firstRow="1" w:lastRow="0" w:firstColumn="1" w:lastColumn="0" w:noHBand="0" w:noVBand="1"/>
                      </w:tblPr>
                      <w:tblGrid>
                        <w:gridCol w:w="748"/>
                        <w:gridCol w:w="871"/>
                        <w:gridCol w:w="1040"/>
                      </w:tblGrid>
                      <w:tr w:rsidR="008575FB" w14:paraId="3632A838" w14:textId="77777777">
                        <w:trPr>
                          <w:trHeight w:val="340"/>
                        </w:trPr>
                        <w:tc>
                          <w:tcPr>
                            <w:tcW w:w="748" w:type="dxa"/>
                            <w:tcBorders>
                              <w:top w:val="nil"/>
                              <w:left w:val="nil"/>
                              <w:bottom w:val="nil"/>
                              <w:right w:val="nil"/>
                            </w:tcBorders>
                            <w:shd w:val="clear" w:color="auto" w:fill="BDC0BF"/>
                            <w:tcMar>
                              <w:top w:w="0" w:type="dxa"/>
                              <w:left w:w="100" w:type="dxa"/>
                              <w:bottom w:w="0" w:type="dxa"/>
                              <w:right w:w="100" w:type="dxa"/>
                            </w:tcMar>
                            <w:vAlign w:val="center"/>
                          </w:tcPr>
                          <w:p w14:paraId="45A8FA94" w14:textId="77777777" w:rsidR="008575FB" w:rsidRDefault="00176BDB">
                            <w:pPr>
                              <w:pStyle w:val="TableStyle1"/>
                            </w:pPr>
                            <w:r>
                              <w:rPr>
                                <w:sz w:val="18"/>
                                <w:szCs w:val="18"/>
                              </w:rPr>
                              <w:t>Date</w:t>
                            </w:r>
                          </w:p>
                        </w:tc>
                        <w:tc>
                          <w:tcPr>
                            <w:tcW w:w="871" w:type="dxa"/>
                            <w:tcBorders>
                              <w:top w:val="nil"/>
                              <w:left w:val="nil"/>
                              <w:bottom w:val="nil"/>
                              <w:right w:val="nil"/>
                            </w:tcBorders>
                            <w:shd w:val="clear" w:color="auto" w:fill="BDC0BF"/>
                            <w:tcMar>
                              <w:top w:w="0" w:type="dxa"/>
                              <w:left w:w="100" w:type="dxa"/>
                              <w:bottom w:w="0" w:type="dxa"/>
                              <w:right w:w="100" w:type="dxa"/>
                            </w:tcMar>
                            <w:vAlign w:val="center"/>
                          </w:tcPr>
                          <w:p w14:paraId="7EA1CD9D" w14:textId="77777777" w:rsidR="008575FB" w:rsidRDefault="00176BDB">
                            <w:pPr>
                              <w:pStyle w:val="TableStyle1"/>
                            </w:pPr>
                            <w:r>
                              <w:rPr>
                                <w:sz w:val="18"/>
                                <w:szCs w:val="18"/>
                              </w:rPr>
                              <w:t>Value</w:t>
                            </w:r>
                          </w:p>
                        </w:tc>
                        <w:tc>
                          <w:tcPr>
                            <w:tcW w:w="1040" w:type="dxa"/>
                            <w:tcBorders>
                              <w:top w:val="nil"/>
                              <w:left w:val="nil"/>
                              <w:bottom w:val="nil"/>
                              <w:right w:val="nil"/>
                            </w:tcBorders>
                            <w:shd w:val="clear" w:color="auto" w:fill="BDC0BF"/>
                            <w:tcMar>
                              <w:top w:w="0" w:type="dxa"/>
                              <w:left w:w="100" w:type="dxa"/>
                              <w:bottom w:w="0" w:type="dxa"/>
                              <w:right w:w="100" w:type="dxa"/>
                            </w:tcMar>
                            <w:vAlign w:val="center"/>
                          </w:tcPr>
                          <w:p w14:paraId="2059F5AD" w14:textId="77777777" w:rsidR="008575FB" w:rsidRDefault="00176BDB">
                            <w:pPr>
                              <w:pStyle w:val="TableStyle1"/>
                            </w:pPr>
                            <w:r>
                              <w:rPr>
                                <w:sz w:val="18"/>
                                <w:szCs w:val="18"/>
                              </w:rPr>
                              <w:t>Change</w:t>
                            </w:r>
                          </w:p>
                        </w:tc>
                      </w:tr>
                      <w:tr w:rsidR="008575FB" w14:paraId="3C3FCE68"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506C32ED" w14:textId="77777777" w:rsidR="008575FB" w:rsidRDefault="00176BDB">
                            <w:pPr>
                              <w:pStyle w:val="TableStyle2"/>
                            </w:pPr>
                            <w:r>
                              <w:rPr>
                                <w:sz w:val="18"/>
                                <w:szCs w:val="18"/>
                              </w:rPr>
                              <w:t>2006</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61EA8BFB" w14:textId="77777777" w:rsidR="008575FB" w:rsidRDefault="00176BDB">
                            <w:pPr>
                              <w:pStyle w:val="TableStyle2"/>
                            </w:pPr>
                            <w:r>
                              <w:rPr>
                                <w:sz w:val="18"/>
                                <w:szCs w:val="18"/>
                              </w:rPr>
                              <w:t>1,411</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7E090CDF" w14:textId="77777777" w:rsidR="008575FB" w:rsidRDefault="00176BDB">
                            <w:pPr>
                              <w:pStyle w:val="TableStyle2"/>
                            </w:pPr>
                            <w:r>
                              <w:rPr>
                                <w:sz w:val="18"/>
                                <w:szCs w:val="18"/>
                              </w:rPr>
                              <w:t>35.62%</w:t>
                            </w:r>
                          </w:p>
                        </w:tc>
                      </w:tr>
                      <w:tr w:rsidR="008575FB" w14:paraId="238FE6F8"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76DE4E4F" w14:textId="77777777" w:rsidR="008575FB" w:rsidRDefault="00176BDB">
                            <w:pPr>
                              <w:pStyle w:val="TableStyle2"/>
                            </w:pPr>
                            <w:r>
                              <w:rPr>
                                <w:sz w:val="18"/>
                                <w:szCs w:val="18"/>
                              </w:rPr>
                              <w:t>2007</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496F276E" w14:textId="77777777" w:rsidR="008575FB" w:rsidRDefault="00176BDB">
                            <w:pPr>
                              <w:pStyle w:val="TableStyle2"/>
                            </w:pPr>
                            <w:r>
                              <w:rPr>
                                <w:sz w:val="18"/>
                                <w:szCs w:val="18"/>
                              </w:rPr>
                              <w:t>-122</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4848952E" w14:textId="77777777" w:rsidR="008575FB" w:rsidRDefault="00176BDB">
                            <w:pPr>
                              <w:pStyle w:val="TableStyle2"/>
                            </w:pPr>
                            <w:r>
                              <w:rPr>
                                <w:sz w:val="18"/>
                                <w:szCs w:val="18"/>
                              </w:rPr>
                              <w:t>-108.65%</w:t>
                            </w:r>
                          </w:p>
                        </w:tc>
                      </w:tr>
                      <w:tr w:rsidR="008575FB" w14:paraId="0C0ED558"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629C8917" w14:textId="77777777" w:rsidR="008575FB" w:rsidRDefault="00176BDB">
                            <w:pPr>
                              <w:pStyle w:val="TableStyle2"/>
                            </w:pPr>
                            <w:r>
                              <w:rPr>
                                <w:sz w:val="18"/>
                                <w:szCs w:val="18"/>
                              </w:rPr>
                              <w:t>2008</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2A441EC2" w14:textId="77777777" w:rsidR="008575FB" w:rsidRDefault="00176BDB">
                            <w:pPr>
                              <w:pStyle w:val="TableStyle2"/>
                            </w:pPr>
                            <w:r>
                              <w:rPr>
                                <w:sz w:val="18"/>
                                <w:szCs w:val="18"/>
                              </w:rPr>
                              <w:t>-4,528</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125CC56E" w14:textId="77777777" w:rsidR="008575FB" w:rsidRDefault="00176BDB">
                            <w:pPr>
                              <w:pStyle w:val="TableStyle2"/>
                            </w:pPr>
                            <w:r>
                              <w:rPr>
                                <w:sz w:val="18"/>
                                <w:szCs w:val="18"/>
                              </w:rPr>
                              <w:t>3610.76%</w:t>
                            </w:r>
                          </w:p>
                        </w:tc>
                      </w:tr>
                      <w:tr w:rsidR="008575FB" w14:paraId="67173215"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301B5647" w14:textId="77777777" w:rsidR="008575FB" w:rsidRDefault="00176BDB">
                            <w:pPr>
                              <w:pStyle w:val="TableStyle2"/>
                            </w:pPr>
                            <w:r>
                              <w:rPr>
                                <w:sz w:val="18"/>
                                <w:szCs w:val="18"/>
                              </w:rPr>
                              <w:t>2009</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23C9BC4F" w14:textId="77777777" w:rsidR="008575FB" w:rsidRDefault="00176BDB">
                            <w:pPr>
                              <w:pStyle w:val="TableStyle2"/>
                            </w:pPr>
                            <w:r>
                              <w:rPr>
                                <w:sz w:val="18"/>
                                <w:szCs w:val="18"/>
                              </w:rPr>
                              <w:t>-4,971</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0D49E65D" w14:textId="77777777" w:rsidR="008575FB" w:rsidRDefault="00176BDB">
                            <w:pPr>
                              <w:pStyle w:val="TableStyle2"/>
                            </w:pPr>
                            <w:r>
                              <w:rPr>
                                <w:sz w:val="18"/>
                                <w:szCs w:val="18"/>
                              </w:rPr>
                              <w:t>9.78%</w:t>
                            </w:r>
                          </w:p>
                        </w:tc>
                      </w:tr>
                      <w:tr w:rsidR="008575FB" w14:paraId="79DEBC74"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7FE94796" w14:textId="77777777" w:rsidR="008575FB" w:rsidRDefault="00176BDB">
                            <w:pPr>
                              <w:pStyle w:val="TableStyle2"/>
                            </w:pPr>
                            <w:r>
                              <w:rPr>
                                <w:sz w:val="18"/>
                                <w:szCs w:val="18"/>
                              </w:rPr>
                              <w:t>2010</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336C3E47" w14:textId="77777777" w:rsidR="008575FB" w:rsidRDefault="00176BDB">
                            <w:pPr>
                              <w:pStyle w:val="TableStyle2"/>
                            </w:pPr>
                            <w:r>
                              <w:rPr>
                                <w:sz w:val="18"/>
                                <w:szCs w:val="18"/>
                              </w:rPr>
                              <w:t>-3,925</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5A9DFC23" w14:textId="77777777" w:rsidR="008575FB" w:rsidRDefault="00176BDB">
                            <w:pPr>
                              <w:pStyle w:val="TableStyle2"/>
                            </w:pPr>
                            <w:r>
                              <w:rPr>
                                <w:sz w:val="18"/>
                                <w:szCs w:val="18"/>
                              </w:rPr>
                              <w:t>-21.04%</w:t>
                            </w:r>
                          </w:p>
                        </w:tc>
                      </w:tr>
                      <w:tr w:rsidR="008575FB" w14:paraId="0CC3711A"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70F0A400" w14:textId="77777777" w:rsidR="008575FB" w:rsidRDefault="00176BDB">
                            <w:pPr>
                              <w:pStyle w:val="TableStyle2"/>
                            </w:pPr>
                            <w:r>
                              <w:rPr>
                                <w:sz w:val="18"/>
                                <w:szCs w:val="18"/>
                              </w:rPr>
                              <w:t>2011</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5AD08990" w14:textId="77777777" w:rsidR="008575FB" w:rsidRDefault="00176BDB">
                            <w:pPr>
                              <w:pStyle w:val="TableStyle2"/>
                            </w:pPr>
                            <w:r>
                              <w:rPr>
                                <w:sz w:val="18"/>
                                <w:szCs w:val="18"/>
                              </w:rPr>
                              <w:t>-8,000</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0D3A3301" w14:textId="77777777" w:rsidR="008575FB" w:rsidRDefault="00176BDB">
                            <w:pPr>
                              <w:pStyle w:val="TableStyle2"/>
                            </w:pPr>
                            <w:r>
                              <w:rPr>
                                <w:sz w:val="18"/>
                                <w:szCs w:val="18"/>
                              </w:rPr>
                              <w:t>103.80%</w:t>
                            </w:r>
                          </w:p>
                        </w:tc>
                      </w:tr>
                      <w:tr w:rsidR="008575FB" w14:paraId="74836E4B"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40D6ADB7" w14:textId="77777777" w:rsidR="008575FB" w:rsidRDefault="00176BDB">
                            <w:pPr>
                              <w:pStyle w:val="TableStyle2"/>
                            </w:pPr>
                            <w:r>
                              <w:rPr>
                                <w:sz w:val="18"/>
                                <w:szCs w:val="18"/>
                              </w:rPr>
                              <w:t>2012</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06D312F6" w14:textId="77777777" w:rsidR="008575FB" w:rsidRDefault="00176BDB">
                            <w:pPr>
                              <w:pStyle w:val="TableStyle2"/>
                            </w:pPr>
                            <w:r>
                              <w:rPr>
                                <w:sz w:val="18"/>
                                <w:szCs w:val="18"/>
                              </w:rPr>
                              <w:t>-9,571</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6A8B13CC" w14:textId="77777777" w:rsidR="008575FB" w:rsidRDefault="00176BDB">
                            <w:pPr>
                              <w:pStyle w:val="TableStyle2"/>
                            </w:pPr>
                            <w:r>
                              <w:rPr>
                                <w:sz w:val="18"/>
                                <w:szCs w:val="18"/>
                              </w:rPr>
                              <w:t>19.65%</w:t>
                            </w:r>
                          </w:p>
                        </w:tc>
                      </w:tr>
                      <w:tr w:rsidR="008575FB" w14:paraId="17672788"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712B36BE" w14:textId="77777777" w:rsidR="008575FB" w:rsidRDefault="00176BDB">
                            <w:pPr>
                              <w:pStyle w:val="TableStyle2"/>
                            </w:pPr>
                            <w:r>
                              <w:rPr>
                                <w:sz w:val="18"/>
                                <w:szCs w:val="18"/>
                              </w:rPr>
                              <w:t>2013</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21E00ED6" w14:textId="77777777" w:rsidR="008575FB" w:rsidRDefault="00176BDB">
                            <w:pPr>
                              <w:pStyle w:val="TableStyle2"/>
                            </w:pPr>
                            <w:r>
                              <w:rPr>
                                <w:sz w:val="18"/>
                                <w:szCs w:val="18"/>
                              </w:rPr>
                              <w:t>-7,844</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2BA5EC4E" w14:textId="77777777" w:rsidR="008575FB" w:rsidRDefault="00176BDB">
                            <w:pPr>
                              <w:pStyle w:val="TableStyle2"/>
                            </w:pPr>
                            <w:r>
                              <w:rPr>
                                <w:sz w:val="18"/>
                                <w:szCs w:val="18"/>
                              </w:rPr>
                              <w:t>-18.05%</w:t>
                            </w:r>
                          </w:p>
                        </w:tc>
                      </w:tr>
                      <w:tr w:rsidR="008575FB" w14:paraId="46089E85"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6B6452E9" w14:textId="77777777" w:rsidR="008575FB" w:rsidRDefault="00176BDB">
                            <w:pPr>
                              <w:pStyle w:val="TableStyle2"/>
                            </w:pPr>
                            <w:r>
                              <w:rPr>
                                <w:sz w:val="18"/>
                                <w:szCs w:val="18"/>
                              </w:rPr>
                              <w:t>2014</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02CDB1EE" w14:textId="77777777" w:rsidR="008575FB" w:rsidRDefault="00176BDB">
                            <w:pPr>
                              <w:pStyle w:val="TableStyle2"/>
                            </w:pPr>
                            <w:r>
                              <w:rPr>
                                <w:sz w:val="18"/>
                                <w:szCs w:val="18"/>
                              </w:rPr>
                              <w:t>-6,597</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282F9F8D" w14:textId="77777777" w:rsidR="008575FB" w:rsidRDefault="00176BDB">
                            <w:pPr>
                              <w:pStyle w:val="TableStyle2"/>
                            </w:pPr>
                            <w:r>
                              <w:rPr>
                                <w:sz w:val="18"/>
                                <w:szCs w:val="18"/>
                              </w:rPr>
                              <w:t>-15.89%</w:t>
                            </w:r>
                          </w:p>
                        </w:tc>
                      </w:tr>
                      <w:tr w:rsidR="008575FB" w14:paraId="29F1E9AA"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53B62AEF" w14:textId="77777777" w:rsidR="008575FB" w:rsidRDefault="00176BDB">
                            <w:pPr>
                              <w:pStyle w:val="TableStyle2"/>
                            </w:pPr>
                            <w:r>
                              <w:rPr>
                                <w:sz w:val="18"/>
                                <w:szCs w:val="18"/>
                              </w:rPr>
                              <w:t>2015</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0E99EBC4" w14:textId="77777777" w:rsidR="008575FB" w:rsidRDefault="00176BDB">
                            <w:pPr>
                              <w:pStyle w:val="TableStyle2"/>
                            </w:pPr>
                            <w:r>
                              <w:rPr>
                                <w:sz w:val="18"/>
                                <w:szCs w:val="18"/>
                              </w:rPr>
                              <w:t>-2,161</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41F688FB" w14:textId="77777777" w:rsidR="008575FB" w:rsidRDefault="00176BDB">
                            <w:pPr>
                              <w:pStyle w:val="TableStyle2"/>
                            </w:pPr>
                            <w:r>
                              <w:rPr>
                                <w:sz w:val="18"/>
                                <w:szCs w:val="18"/>
                              </w:rPr>
                              <w:t>-67.25%</w:t>
                            </w:r>
                          </w:p>
                        </w:tc>
                      </w:tr>
                      <w:tr w:rsidR="008575FB" w14:paraId="507E42FE"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409DE87D" w14:textId="77777777" w:rsidR="008575FB" w:rsidRDefault="00176BDB">
                            <w:pPr>
                              <w:pStyle w:val="TableStyle2"/>
                            </w:pPr>
                            <w:r>
                              <w:rPr>
                                <w:sz w:val="18"/>
                                <w:szCs w:val="18"/>
                              </w:rPr>
                              <w:t>2016</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04ECD310" w14:textId="77777777" w:rsidR="008575FB" w:rsidRDefault="00176BDB">
                            <w:pPr>
                              <w:pStyle w:val="TableStyle2"/>
                            </w:pPr>
                            <w:r>
                              <w:rPr>
                                <w:sz w:val="18"/>
                                <w:szCs w:val="18"/>
                              </w:rPr>
                              <w:t>-4,180</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0C69C383" w14:textId="77777777" w:rsidR="008575FB" w:rsidRDefault="00176BDB">
                            <w:pPr>
                              <w:pStyle w:val="TableStyle2"/>
                            </w:pPr>
                            <w:r>
                              <w:rPr>
                                <w:sz w:val="18"/>
                                <w:szCs w:val="18"/>
                              </w:rPr>
                              <w:t>93.44%</w:t>
                            </w:r>
                          </w:p>
                        </w:tc>
                      </w:tr>
                      <w:tr w:rsidR="008575FB" w14:paraId="29F28E7E" w14:textId="77777777">
                        <w:tblPrEx>
                          <w:shd w:val="clear" w:color="auto" w:fill="auto"/>
                        </w:tblPrEx>
                        <w:trPr>
                          <w:trHeight w:val="340"/>
                        </w:trPr>
                        <w:tc>
                          <w:tcPr>
                            <w:tcW w:w="748" w:type="dxa"/>
                            <w:tcBorders>
                              <w:top w:val="nil"/>
                              <w:left w:val="nil"/>
                              <w:bottom w:val="nil"/>
                              <w:right w:val="nil"/>
                            </w:tcBorders>
                            <w:shd w:val="clear" w:color="auto" w:fill="EEEEEE"/>
                            <w:tcMar>
                              <w:top w:w="0" w:type="dxa"/>
                              <w:left w:w="100" w:type="dxa"/>
                              <w:bottom w:w="0" w:type="dxa"/>
                              <w:right w:w="100" w:type="dxa"/>
                            </w:tcMar>
                            <w:vAlign w:val="center"/>
                          </w:tcPr>
                          <w:p w14:paraId="16DCF247" w14:textId="77777777" w:rsidR="008575FB" w:rsidRDefault="00176BDB">
                            <w:pPr>
                              <w:pStyle w:val="TableStyle2"/>
                            </w:pPr>
                            <w:r>
                              <w:rPr>
                                <w:sz w:val="18"/>
                                <w:szCs w:val="18"/>
                              </w:rPr>
                              <w:t>2017</w:t>
                            </w:r>
                          </w:p>
                        </w:tc>
                        <w:tc>
                          <w:tcPr>
                            <w:tcW w:w="871" w:type="dxa"/>
                            <w:tcBorders>
                              <w:top w:val="nil"/>
                              <w:left w:val="nil"/>
                              <w:bottom w:val="nil"/>
                              <w:right w:val="nil"/>
                            </w:tcBorders>
                            <w:shd w:val="clear" w:color="auto" w:fill="EEEEEE"/>
                            <w:tcMar>
                              <w:top w:w="0" w:type="dxa"/>
                              <w:left w:w="100" w:type="dxa"/>
                              <w:bottom w:w="0" w:type="dxa"/>
                              <w:right w:w="100" w:type="dxa"/>
                            </w:tcMar>
                            <w:vAlign w:val="center"/>
                          </w:tcPr>
                          <w:p w14:paraId="354745C4" w14:textId="77777777" w:rsidR="008575FB" w:rsidRDefault="00176BDB">
                            <w:pPr>
                              <w:pStyle w:val="TableStyle2"/>
                            </w:pPr>
                            <w:r>
                              <w:rPr>
                                <w:sz w:val="18"/>
                                <w:szCs w:val="18"/>
                              </w:rPr>
                              <w:t>-3,677</w:t>
                            </w:r>
                          </w:p>
                        </w:tc>
                        <w:tc>
                          <w:tcPr>
                            <w:tcW w:w="1040" w:type="dxa"/>
                            <w:tcBorders>
                              <w:top w:val="nil"/>
                              <w:left w:val="nil"/>
                              <w:bottom w:val="nil"/>
                              <w:right w:val="nil"/>
                            </w:tcBorders>
                            <w:shd w:val="clear" w:color="auto" w:fill="EEEEEE"/>
                            <w:tcMar>
                              <w:top w:w="0" w:type="dxa"/>
                              <w:left w:w="100" w:type="dxa"/>
                              <w:bottom w:w="0" w:type="dxa"/>
                              <w:right w:w="100" w:type="dxa"/>
                            </w:tcMar>
                            <w:vAlign w:val="center"/>
                          </w:tcPr>
                          <w:p w14:paraId="0A4C3DFB" w14:textId="77777777" w:rsidR="008575FB" w:rsidRDefault="00176BDB">
                            <w:pPr>
                              <w:pStyle w:val="TableStyle2"/>
                            </w:pPr>
                            <w:r>
                              <w:rPr>
                                <w:sz w:val="18"/>
                                <w:szCs w:val="18"/>
                              </w:rPr>
                              <w:t>-12.02%</w:t>
                            </w:r>
                          </w:p>
                        </w:tc>
                      </w:tr>
                      <w:tr w:rsidR="008575FB" w14:paraId="02868141" w14:textId="77777777">
                        <w:tblPrEx>
                          <w:shd w:val="clear" w:color="auto" w:fill="auto"/>
                        </w:tblPrEx>
                        <w:trPr>
                          <w:trHeight w:val="340"/>
                        </w:trPr>
                        <w:tc>
                          <w:tcPr>
                            <w:tcW w:w="748" w:type="dxa"/>
                            <w:tcBorders>
                              <w:top w:val="nil"/>
                              <w:left w:val="nil"/>
                              <w:bottom w:val="nil"/>
                              <w:right w:val="nil"/>
                            </w:tcBorders>
                            <w:shd w:val="clear" w:color="auto" w:fill="auto"/>
                            <w:tcMar>
                              <w:top w:w="0" w:type="dxa"/>
                              <w:left w:w="100" w:type="dxa"/>
                              <w:bottom w:w="0" w:type="dxa"/>
                              <w:right w:w="100" w:type="dxa"/>
                            </w:tcMar>
                            <w:vAlign w:val="center"/>
                          </w:tcPr>
                          <w:p w14:paraId="5951361D" w14:textId="77777777" w:rsidR="008575FB" w:rsidRDefault="00176BDB">
                            <w:pPr>
                              <w:pStyle w:val="TableStyle2"/>
                            </w:pPr>
                            <w:r>
                              <w:rPr>
                                <w:sz w:val="18"/>
                                <w:szCs w:val="18"/>
                              </w:rPr>
                              <w:t>2018</w:t>
                            </w:r>
                          </w:p>
                        </w:tc>
                        <w:tc>
                          <w:tcPr>
                            <w:tcW w:w="871" w:type="dxa"/>
                            <w:tcBorders>
                              <w:top w:val="nil"/>
                              <w:left w:val="nil"/>
                              <w:bottom w:val="nil"/>
                              <w:right w:val="nil"/>
                            </w:tcBorders>
                            <w:shd w:val="clear" w:color="auto" w:fill="auto"/>
                            <w:tcMar>
                              <w:top w:w="0" w:type="dxa"/>
                              <w:left w:w="100" w:type="dxa"/>
                              <w:bottom w:w="0" w:type="dxa"/>
                              <w:right w:w="100" w:type="dxa"/>
                            </w:tcMar>
                            <w:vAlign w:val="center"/>
                          </w:tcPr>
                          <w:p w14:paraId="1B95D52C" w14:textId="77777777" w:rsidR="008575FB" w:rsidRDefault="00176BDB">
                            <w:pPr>
                              <w:pStyle w:val="TableStyle2"/>
                            </w:pPr>
                            <w:r>
                              <w:rPr>
                                <w:sz w:val="18"/>
                                <w:szCs w:val="18"/>
                              </w:rPr>
                              <w:t>-6,445</w:t>
                            </w:r>
                          </w:p>
                        </w:tc>
                        <w:tc>
                          <w:tcPr>
                            <w:tcW w:w="1040" w:type="dxa"/>
                            <w:tcBorders>
                              <w:top w:val="nil"/>
                              <w:left w:val="nil"/>
                              <w:bottom w:val="nil"/>
                              <w:right w:val="nil"/>
                            </w:tcBorders>
                            <w:shd w:val="clear" w:color="auto" w:fill="auto"/>
                            <w:tcMar>
                              <w:top w:w="0" w:type="dxa"/>
                              <w:left w:w="100" w:type="dxa"/>
                              <w:bottom w:w="0" w:type="dxa"/>
                              <w:right w:w="100" w:type="dxa"/>
                            </w:tcMar>
                            <w:vAlign w:val="center"/>
                          </w:tcPr>
                          <w:p w14:paraId="5E1FBC45" w14:textId="77777777" w:rsidR="008575FB" w:rsidRDefault="00176BDB">
                            <w:pPr>
                              <w:pStyle w:val="TableStyle2"/>
                            </w:pPr>
                            <w:r>
                              <w:rPr>
                                <w:sz w:val="18"/>
                                <w:szCs w:val="18"/>
                              </w:rPr>
                              <w:t>75.26%</w:t>
                            </w:r>
                          </w:p>
                        </w:tc>
                      </w:tr>
                    </w:tbl>
                    <w:p w14:paraId="7D195A73" w14:textId="77777777" w:rsidR="00000000" w:rsidRDefault="00176BDB"/>
                  </w:txbxContent>
                </v:textbox>
                <w10:wrap anchorx="page" anchory="page"/>
              </v:rect>
            </w:pict>
          </mc:Fallback>
        </mc:AlternateContent>
      </w:r>
      <w:r w:rsidR="00176BDB">
        <w:rPr>
          <w:rFonts w:ascii="Times New Roman" w:hAnsi="Times New Roman"/>
          <w:sz w:val="24"/>
          <w:szCs w:val="24"/>
        </w:rPr>
        <w:t xml:space="preserve">Over the course of 25 years since 1980, the Morocco economy managed to turn a current account deficit at 2 billion U.S. dollars into a surplus of the equivalent amount. </w:t>
      </w:r>
      <w:r w:rsidR="00176BDB">
        <w:rPr>
          <w:rFonts w:ascii="Times New Roman" w:hAnsi="Times New Roman"/>
          <w:sz w:val="24"/>
          <w:szCs w:val="24"/>
        </w:rPr>
        <w:t>In 1982, Morocco</w:t>
      </w:r>
      <w:r w:rsidR="00176BDB">
        <w:rPr>
          <w:rFonts w:ascii="Times New Roman" w:hAnsi="Times New Roman"/>
          <w:sz w:val="24"/>
          <w:szCs w:val="24"/>
        </w:rPr>
        <w:t>’</w:t>
      </w:r>
      <w:r>
        <w:rPr>
          <w:rFonts w:ascii="Times New Roman" w:hAnsi="Times New Roman"/>
          <w:sz w:val="24"/>
          <w:szCs w:val="24"/>
        </w:rPr>
        <w:t>s nearly 2-billion-dollar</w:t>
      </w:r>
      <w:r w:rsidR="00176BDB">
        <w:rPr>
          <w:rFonts w:ascii="Times New Roman" w:hAnsi="Times New Roman"/>
          <w:sz w:val="24"/>
          <w:szCs w:val="24"/>
        </w:rPr>
        <w:t xml:space="preserve"> current account deficit represented over 10 percent of GDP, but the economy quickly recovered a current account surplus in 1988. The current account balance then fluctuated at around negative one percent of GDP u</w:t>
      </w:r>
      <w:r w:rsidR="00176BDB">
        <w:rPr>
          <w:rFonts w:ascii="Times New Roman" w:hAnsi="Times New Roman"/>
          <w:sz w:val="24"/>
          <w:szCs w:val="24"/>
        </w:rPr>
        <w:t>ntil it rose sharply to a significant surplus at 4 percent of GDP in 2001, an event whose timing coincided with Morocco</w:t>
      </w:r>
      <w:r w:rsidR="00176BDB">
        <w:rPr>
          <w:rFonts w:ascii="Times New Roman" w:hAnsi="Times New Roman"/>
          <w:sz w:val="24"/>
          <w:szCs w:val="24"/>
        </w:rPr>
        <w:t>’</w:t>
      </w:r>
      <w:r w:rsidR="00176BDB">
        <w:rPr>
          <w:rFonts w:ascii="Times New Roman" w:hAnsi="Times New Roman"/>
          <w:sz w:val="24"/>
          <w:szCs w:val="24"/>
        </w:rPr>
        <w:t>s Free Trade Agreement with the Europea</w:t>
      </w:r>
      <w:r w:rsidR="00176BDB">
        <w:rPr>
          <w:rFonts w:ascii="Times New Roman" w:hAnsi="Times New Roman"/>
          <w:sz w:val="24"/>
          <w:szCs w:val="24"/>
        </w:rPr>
        <w:t xml:space="preserve">n Union. According to the IMF Article IV Consultation for </w:t>
      </w:r>
      <w:r w:rsidR="00176BDB">
        <w:rPr>
          <w:rFonts w:ascii="Times New Roman" w:hAnsi="Times New Roman"/>
          <w:sz w:val="24"/>
          <w:szCs w:val="24"/>
        </w:rPr>
        <w:t>Morocco in 2001, this improvement in the external current account was a direct result of the April 2001 devaluation of the dirham. The current account has since deteriorated partly as a result of a real appreciation of the currency. During the financial cr</w:t>
      </w:r>
      <w:r w:rsidR="00176BDB">
        <w:rPr>
          <w:rFonts w:ascii="Times New Roman" w:hAnsi="Times New Roman"/>
          <w:sz w:val="24"/>
          <w:szCs w:val="24"/>
        </w:rPr>
        <w:t>isis in 2008, Morocco</w:t>
      </w:r>
      <w:r w:rsidR="00176BDB">
        <w:rPr>
          <w:rFonts w:ascii="Times New Roman" w:hAnsi="Times New Roman"/>
          <w:sz w:val="24"/>
          <w:szCs w:val="24"/>
        </w:rPr>
        <w:t>’</w:t>
      </w:r>
      <w:r w:rsidR="00176BDB">
        <w:rPr>
          <w:rFonts w:ascii="Times New Roman" w:hAnsi="Times New Roman"/>
          <w:sz w:val="24"/>
          <w:szCs w:val="24"/>
        </w:rPr>
        <w:t xml:space="preserve">s current account balance witnessed the most significant decline in recent history, representing a drop at the magnitude of 5 percent of </w:t>
      </w:r>
      <w:r w:rsidR="00176BDB">
        <w:rPr>
          <w:rFonts w:ascii="Times New Roman" w:hAnsi="Times New Roman"/>
          <w:sz w:val="24"/>
          <w:szCs w:val="24"/>
        </w:rPr>
        <w:t>GDP. Graphic displays of Morocco</w:t>
      </w:r>
      <w:r w:rsidR="00176BDB">
        <w:rPr>
          <w:rFonts w:ascii="Times New Roman" w:hAnsi="Times New Roman"/>
          <w:sz w:val="24"/>
          <w:szCs w:val="24"/>
        </w:rPr>
        <w:t>’</w:t>
      </w:r>
      <w:r w:rsidR="00176BDB">
        <w:rPr>
          <w:rFonts w:ascii="Times New Roman" w:hAnsi="Times New Roman"/>
          <w:sz w:val="24"/>
          <w:szCs w:val="24"/>
        </w:rPr>
        <w:t>s current account balance history, measured in millions of</w:t>
      </w:r>
      <w:r w:rsidR="00176BDB">
        <w:rPr>
          <w:rFonts w:ascii="Times New Roman" w:hAnsi="Times New Roman"/>
          <w:sz w:val="24"/>
          <w:szCs w:val="24"/>
        </w:rPr>
        <w:t xml:space="preserve"> </w:t>
      </w:r>
      <w:r>
        <w:rPr>
          <w:rFonts w:ascii="Times New Roman" w:eastAsia="Times New Roman" w:hAnsi="Times New Roman" w:cs="Times New Roman"/>
          <w:noProof/>
          <w:sz w:val="24"/>
          <w:szCs w:val="24"/>
        </w:rPr>
        <w:drawing>
          <wp:anchor distT="152400" distB="152400" distL="152400" distR="152400" simplePos="0" relativeHeight="251664384" behindDoc="0" locked="0" layoutInCell="1" allowOverlap="1" wp14:anchorId="7636CF73" wp14:editId="2FC15C2D">
            <wp:simplePos x="0" y="0"/>
            <wp:positionH relativeFrom="margin">
              <wp:posOffset>-97501</wp:posOffset>
            </wp:positionH>
            <wp:positionV relativeFrom="line">
              <wp:posOffset>151476</wp:posOffset>
            </wp:positionV>
            <wp:extent cx="4387045" cy="302749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7">
                      <a:extLst/>
                    </a:blip>
                    <a:srcRect r="8003"/>
                    <a:stretch>
                      <a:fillRect/>
                    </a:stretch>
                  </pic:blipFill>
                  <pic:spPr>
                    <a:xfrm>
                      <a:off x="0" y="0"/>
                      <a:ext cx="4387045" cy="3027490"/>
                    </a:xfrm>
                    <a:prstGeom prst="rect">
                      <a:avLst/>
                    </a:prstGeom>
                    <a:ln w="12700" cap="flat">
                      <a:noFill/>
                      <a:miter lim="400000"/>
                    </a:ln>
                    <a:effectLst/>
                  </pic:spPr>
                </pic:pic>
              </a:graphicData>
            </a:graphic>
          </wp:anchor>
        </w:drawing>
      </w:r>
      <w:r w:rsidR="00176BDB">
        <w:rPr>
          <w:rFonts w:ascii="Times New Roman" w:hAnsi="Times New Roman"/>
          <w:sz w:val="24"/>
          <w:szCs w:val="24"/>
        </w:rPr>
        <w:t>dollars and as a percentage of GDP, are shown below.</w:t>
      </w:r>
    </w:p>
    <w:p w14:paraId="144804B1" w14:textId="77777777" w:rsidR="008575FB" w:rsidRDefault="008575FB">
      <w:pPr>
        <w:pStyle w:val="Body"/>
        <w:jc w:val="both"/>
        <w:rPr>
          <w:rFonts w:ascii="Times New Roman" w:eastAsia="Times New Roman" w:hAnsi="Times New Roman" w:cs="Times New Roman"/>
          <w:sz w:val="24"/>
          <w:szCs w:val="24"/>
        </w:rPr>
      </w:pPr>
    </w:p>
    <w:p w14:paraId="29E8C96D" w14:textId="77777777" w:rsidR="008575FB" w:rsidRDefault="008575FB">
      <w:pPr>
        <w:pStyle w:val="Body"/>
        <w:jc w:val="both"/>
        <w:rPr>
          <w:rFonts w:ascii="Times New Roman" w:eastAsia="Times New Roman" w:hAnsi="Times New Roman" w:cs="Times New Roman"/>
          <w:sz w:val="24"/>
          <w:szCs w:val="24"/>
        </w:rPr>
      </w:pPr>
    </w:p>
    <w:p w14:paraId="62842D3E" w14:textId="77777777" w:rsidR="008575FB" w:rsidRDefault="008575FB">
      <w:pPr>
        <w:pStyle w:val="Body"/>
        <w:jc w:val="both"/>
        <w:rPr>
          <w:rFonts w:ascii="Times New Roman" w:eastAsia="Times New Roman" w:hAnsi="Times New Roman" w:cs="Times New Roman"/>
          <w:sz w:val="24"/>
          <w:szCs w:val="24"/>
        </w:rPr>
      </w:pPr>
    </w:p>
    <w:p w14:paraId="03C88AC7" w14:textId="77777777" w:rsidR="008575FB" w:rsidRDefault="008575FB">
      <w:pPr>
        <w:pStyle w:val="Body"/>
        <w:jc w:val="both"/>
        <w:rPr>
          <w:rFonts w:ascii="Times New Roman" w:eastAsia="Times New Roman" w:hAnsi="Times New Roman" w:cs="Times New Roman"/>
          <w:sz w:val="24"/>
          <w:szCs w:val="24"/>
        </w:rPr>
      </w:pPr>
    </w:p>
    <w:p w14:paraId="3F80B34F" w14:textId="77777777" w:rsidR="008575FB" w:rsidRDefault="008575FB">
      <w:pPr>
        <w:pStyle w:val="Body"/>
        <w:jc w:val="both"/>
        <w:rPr>
          <w:rFonts w:ascii="Times New Roman" w:eastAsia="Times New Roman" w:hAnsi="Times New Roman" w:cs="Times New Roman"/>
          <w:sz w:val="24"/>
          <w:szCs w:val="24"/>
        </w:rPr>
      </w:pPr>
    </w:p>
    <w:p w14:paraId="476BAE52" w14:textId="77777777" w:rsidR="008575FB" w:rsidRDefault="008575FB">
      <w:pPr>
        <w:pStyle w:val="Body"/>
        <w:jc w:val="both"/>
        <w:rPr>
          <w:rFonts w:ascii="Times New Roman" w:eastAsia="Times New Roman" w:hAnsi="Times New Roman" w:cs="Times New Roman"/>
          <w:sz w:val="24"/>
          <w:szCs w:val="24"/>
        </w:rPr>
      </w:pPr>
    </w:p>
    <w:p w14:paraId="090B6AB7" w14:textId="77777777" w:rsidR="008575FB" w:rsidRDefault="008575FB">
      <w:pPr>
        <w:pStyle w:val="Body"/>
        <w:jc w:val="both"/>
        <w:rPr>
          <w:rFonts w:ascii="Times New Roman" w:eastAsia="Times New Roman" w:hAnsi="Times New Roman" w:cs="Times New Roman"/>
          <w:sz w:val="24"/>
          <w:szCs w:val="24"/>
        </w:rPr>
      </w:pPr>
    </w:p>
    <w:p w14:paraId="1609A9AD" w14:textId="77777777" w:rsidR="008575FB" w:rsidRDefault="008575FB">
      <w:pPr>
        <w:pStyle w:val="Body"/>
        <w:jc w:val="both"/>
        <w:rPr>
          <w:rFonts w:ascii="Times New Roman" w:eastAsia="Times New Roman" w:hAnsi="Times New Roman" w:cs="Times New Roman"/>
          <w:sz w:val="24"/>
          <w:szCs w:val="24"/>
        </w:rPr>
      </w:pPr>
    </w:p>
    <w:p w14:paraId="0BBF185C" w14:textId="77777777" w:rsidR="008575FB" w:rsidRDefault="008575FB">
      <w:pPr>
        <w:pStyle w:val="Body"/>
        <w:jc w:val="both"/>
        <w:rPr>
          <w:rFonts w:ascii="Times New Roman" w:eastAsia="Times New Roman" w:hAnsi="Times New Roman" w:cs="Times New Roman"/>
          <w:sz w:val="24"/>
          <w:szCs w:val="24"/>
        </w:rPr>
      </w:pPr>
    </w:p>
    <w:p w14:paraId="3D1631FA" w14:textId="77777777" w:rsidR="008575FB" w:rsidRDefault="008575FB">
      <w:pPr>
        <w:pStyle w:val="Body"/>
        <w:jc w:val="both"/>
        <w:rPr>
          <w:rFonts w:ascii="Times New Roman" w:eastAsia="Times New Roman" w:hAnsi="Times New Roman" w:cs="Times New Roman"/>
          <w:sz w:val="24"/>
          <w:szCs w:val="24"/>
        </w:rPr>
      </w:pPr>
    </w:p>
    <w:p w14:paraId="17881246" w14:textId="77777777" w:rsidR="008575FB" w:rsidRDefault="008575FB">
      <w:pPr>
        <w:pStyle w:val="Body"/>
        <w:jc w:val="both"/>
        <w:rPr>
          <w:rFonts w:ascii="Times New Roman" w:eastAsia="Times New Roman" w:hAnsi="Times New Roman" w:cs="Times New Roman"/>
          <w:sz w:val="24"/>
          <w:szCs w:val="24"/>
        </w:rPr>
      </w:pPr>
    </w:p>
    <w:p w14:paraId="5A31C1B9" w14:textId="77777777" w:rsidR="008575FB" w:rsidRDefault="008575FB">
      <w:pPr>
        <w:pStyle w:val="Body"/>
        <w:jc w:val="both"/>
        <w:rPr>
          <w:rFonts w:ascii="Times New Roman" w:eastAsia="Times New Roman" w:hAnsi="Times New Roman" w:cs="Times New Roman"/>
          <w:sz w:val="24"/>
          <w:szCs w:val="24"/>
        </w:rPr>
      </w:pPr>
    </w:p>
    <w:p w14:paraId="41E1BC2F" w14:textId="77777777" w:rsidR="008575FB" w:rsidRDefault="008575FB">
      <w:pPr>
        <w:pStyle w:val="Body"/>
        <w:jc w:val="both"/>
        <w:rPr>
          <w:rFonts w:ascii="Times New Roman" w:eastAsia="Times New Roman" w:hAnsi="Times New Roman" w:cs="Times New Roman"/>
          <w:sz w:val="24"/>
          <w:szCs w:val="24"/>
        </w:rPr>
      </w:pPr>
    </w:p>
    <w:p w14:paraId="0BFD3915" w14:textId="77777777" w:rsidR="008575FB" w:rsidRDefault="00EC3131">
      <w:pPr>
        <w:pStyle w:val="Body"/>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66432" behindDoc="0" locked="0" layoutInCell="1" allowOverlap="1" wp14:anchorId="2DCB3D7C" wp14:editId="69028AB2">
            <wp:simplePos x="0" y="0"/>
            <wp:positionH relativeFrom="margin">
              <wp:posOffset>-97848</wp:posOffset>
            </wp:positionH>
            <wp:positionV relativeFrom="line">
              <wp:posOffset>622704</wp:posOffset>
            </wp:positionV>
            <wp:extent cx="4424358" cy="3497656"/>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8">
                      <a:extLst/>
                    </a:blip>
                    <a:srcRect r="7221"/>
                    <a:stretch>
                      <a:fillRect/>
                    </a:stretch>
                  </pic:blipFill>
                  <pic:spPr>
                    <a:xfrm>
                      <a:off x="0" y="0"/>
                      <a:ext cx="4424358" cy="3497656"/>
                    </a:xfrm>
                    <a:prstGeom prst="rect">
                      <a:avLst/>
                    </a:prstGeom>
                    <a:ln w="12700" cap="flat">
                      <a:noFill/>
                      <a:miter lim="400000"/>
                    </a:ln>
                    <a:effectLst/>
                  </pic:spPr>
                </pic:pic>
              </a:graphicData>
            </a:graphic>
          </wp:anchor>
        </w:drawing>
      </w:r>
    </w:p>
    <w:p w14:paraId="0C83A496" w14:textId="77777777" w:rsidR="008575FB" w:rsidRDefault="00176BDB">
      <w:pPr>
        <w:pStyle w:val="Default"/>
        <w:spacing w:line="280" w:lineRule="atLeast"/>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Although Morocco has consistently maintained a surplus in services trade, the goods trade balance deteriorated significantly after 2002 due to greater demands for merchandise imports </w:t>
      </w:r>
      <w:r>
        <w:rPr>
          <w:rFonts w:ascii="Times New Roman" w:hAnsi="Times New Roman"/>
          <w:sz w:val="24"/>
          <w:szCs w:val="24"/>
        </w:rPr>
        <w:t>originating from Morocco</w:t>
      </w:r>
      <w:r>
        <w:rPr>
          <w:rFonts w:ascii="Times New Roman" w:hAnsi="Times New Roman"/>
          <w:sz w:val="24"/>
          <w:szCs w:val="24"/>
          <w:rtl/>
        </w:rPr>
        <w:t>’</w:t>
      </w:r>
      <w:r>
        <w:rPr>
          <w:rFonts w:ascii="Times New Roman" w:hAnsi="Times New Roman"/>
          <w:sz w:val="24"/>
          <w:szCs w:val="24"/>
        </w:rPr>
        <w:t>s growing economy. The figure below shows Morocco</w:t>
      </w:r>
      <w:r>
        <w:rPr>
          <w:rFonts w:ascii="Times New Roman" w:hAnsi="Times New Roman"/>
          <w:sz w:val="24"/>
          <w:szCs w:val="24"/>
        </w:rPr>
        <w:t>’</w:t>
      </w:r>
      <w:r>
        <w:rPr>
          <w:rFonts w:ascii="Times New Roman" w:hAnsi="Times New Roman"/>
          <w:sz w:val="24"/>
          <w:szCs w:val="24"/>
        </w:rPr>
        <w:t>s goods trade balance, non-factor services trade balance, and remittances from Moroccans working abroad since 1980. Non-factor services comprise shipment, passenger, other transport</w:t>
      </w:r>
      <w:r>
        <w:rPr>
          <w:rFonts w:ascii="Times New Roman" w:hAnsi="Times New Roman"/>
          <w:sz w:val="24"/>
          <w:szCs w:val="24"/>
        </w:rPr>
        <w:t xml:space="preserve"> services, travel, and </w:t>
      </w:r>
      <w:proofErr w:type="spellStart"/>
      <w:r>
        <w:rPr>
          <w:rFonts w:ascii="Times New Roman" w:hAnsi="Times New Roman"/>
          <w:sz w:val="24"/>
          <w:szCs w:val="24"/>
          <w:lang w:val="it-IT"/>
        </w:rPr>
        <w:t>miscellaneous</w:t>
      </w:r>
      <w:proofErr w:type="spellEnd"/>
      <w:r w:rsidR="00EC3131">
        <w:rPr>
          <w:rFonts w:ascii="Times New Roman" w:hAnsi="Times New Roman"/>
          <w:sz w:val="24"/>
          <w:szCs w:val="24"/>
        </w:rPr>
        <w:t xml:space="preserve"> </w:t>
      </w:r>
      <w:r>
        <w:rPr>
          <w:rFonts w:ascii="Times New Roman" w:hAnsi="Times New Roman"/>
          <w:sz w:val="24"/>
          <w:szCs w:val="24"/>
        </w:rPr>
        <w:t xml:space="preserve">transactions that are not attributable to the conventional factors of production (i.e. labor and capital).  </w:t>
      </w:r>
      <w:r>
        <w:rPr>
          <w:rFonts w:ascii="Times New Roman" w:hAnsi="Times New Roman"/>
          <w:sz w:val="24"/>
          <w:szCs w:val="24"/>
        </w:rPr>
        <w:t>Evidently, remittances and services trade surplus were inadequate to fill the gap created by Morocco</w:t>
      </w:r>
      <w:r>
        <w:rPr>
          <w:rFonts w:ascii="Times New Roman" w:hAnsi="Times New Roman"/>
          <w:sz w:val="24"/>
          <w:szCs w:val="24"/>
        </w:rPr>
        <w:t>’</w:t>
      </w:r>
      <w:r>
        <w:rPr>
          <w:rFonts w:ascii="Times New Roman" w:hAnsi="Times New Roman"/>
          <w:sz w:val="24"/>
          <w:szCs w:val="24"/>
        </w:rPr>
        <w:t xml:space="preserve">s </w:t>
      </w:r>
      <w:r w:rsidR="00EC3131">
        <w:rPr>
          <w:rFonts w:ascii="Times New Roman" w:eastAsia="Times New Roman" w:hAnsi="Times New Roman" w:cs="Times New Roman"/>
          <w:noProof/>
          <w:sz w:val="24"/>
          <w:szCs w:val="24"/>
        </w:rPr>
        <w:drawing>
          <wp:anchor distT="152400" distB="152400" distL="152400" distR="152400" simplePos="0" relativeHeight="251667456" behindDoc="0" locked="0" layoutInCell="1" allowOverlap="1" wp14:anchorId="4E466DDC" wp14:editId="7EF167FC">
            <wp:simplePos x="0" y="0"/>
            <wp:positionH relativeFrom="margin">
              <wp:posOffset>588010</wp:posOffset>
            </wp:positionH>
            <wp:positionV relativeFrom="line">
              <wp:posOffset>433705</wp:posOffset>
            </wp:positionV>
            <wp:extent cx="4727575" cy="302006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9">
                      <a:extLst/>
                    </a:blip>
                    <a:srcRect b="3395"/>
                    <a:stretch>
                      <a:fillRect/>
                    </a:stretch>
                  </pic:blipFill>
                  <pic:spPr>
                    <a:xfrm>
                      <a:off x="0" y="0"/>
                      <a:ext cx="4727575" cy="3020060"/>
                    </a:xfrm>
                    <a:prstGeom prst="rect">
                      <a:avLst/>
                    </a:prstGeom>
                    <a:ln w="12700" cap="flat">
                      <a:noFill/>
                      <a:miter lim="400000"/>
                    </a:ln>
                    <a:effectLst/>
                  </pic:spPr>
                </pic:pic>
              </a:graphicData>
            </a:graphic>
          </wp:anchor>
        </w:drawing>
      </w:r>
      <w:r>
        <w:rPr>
          <w:rFonts w:ascii="Times New Roman" w:hAnsi="Times New Roman"/>
          <w:sz w:val="24"/>
          <w:szCs w:val="24"/>
        </w:rPr>
        <w:t>large go</w:t>
      </w:r>
      <w:r>
        <w:rPr>
          <w:rFonts w:ascii="Times New Roman" w:hAnsi="Times New Roman"/>
          <w:sz w:val="24"/>
          <w:szCs w:val="24"/>
        </w:rPr>
        <w:t>ods trade deficit, resulting in overall current account deficits since 2007.</w:t>
      </w:r>
    </w:p>
    <w:p w14:paraId="314DCCAF" w14:textId="77777777" w:rsidR="008575FB" w:rsidRDefault="00176BDB">
      <w:pPr>
        <w:pStyle w:val="Default"/>
        <w:spacing w:line="280" w:lineRule="atLeast"/>
        <w:jc w:val="both"/>
      </w:pPr>
      <w:r>
        <w:rPr>
          <w:rFonts w:ascii="Times New Roman" w:hAnsi="Times New Roman"/>
          <w:sz w:val="24"/>
          <w:szCs w:val="24"/>
        </w:rPr>
        <w:t>Morocco</w:t>
      </w:r>
      <w:r>
        <w:rPr>
          <w:rFonts w:ascii="Times New Roman" w:hAnsi="Times New Roman"/>
          <w:sz w:val="24"/>
          <w:szCs w:val="24"/>
        </w:rPr>
        <w:t>’</w:t>
      </w:r>
      <w:r>
        <w:rPr>
          <w:rFonts w:ascii="Times New Roman" w:hAnsi="Times New Roman"/>
          <w:sz w:val="24"/>
          <w:szCs w:val="24"/>
        </w:rPr>
        <w:t>s reserve assets, mostly in the forms of convertible foreign currencies, have stayed at around 22 billion U.S. dollars since 2002. In years when Morocco experienced signi</w:t>
      </w:r>
      <w:r>
        <w:rPr>
          <w:rFonts w:ascii="Times New Roman" w:hAnsi="Times New Roman"/>
          <w:sz w:val="24"/>
          <w:szCs w:val="24"/>
        </w:rPr>
        <w:t xml:space="preserve">ficant drops in current </w:t>
      </w:r>
      <w:r>
        <w:rPr>
          <w:rFonts w:ascii="Times New Roman" w:hAnsi="Times New Roman"/>
          <w:sz w:val="24"/>
          <w:szCs w:val="24"/>
        </w:rPr>
        <w:t xml:space="preserve">account balance, its foreign currency reserves also declined accordingly. A side-by-side comparison </w:t>
      </w:r>
      <w:r>
        <w:rPr>
          <w:rFonts w:ascii="Times New Roman" w:hAnsi="Times New Roman"/>
          <w:sz w:val="24"/>
          <w:szCs w:val="24"/>
        </w:rPr>
        <w:t>of Morocco</w:t>
      </w:r>
      <w:r>
        <w:rPr>
          <w:rFonts w:ascii="Times New Roman" w:hAnsi="Times New Roman"/>
          <w:sz w:val="24"/>
          <w:szCs w:val="24"/>
        </w:rPr>
        <w:t>’</w:t>
      </w:r>
      <w:r>
        <w:rPr>
          <w:rFonts w:ascii="Times New Roman" w:hAnsi="Times New Roman"/>
          <w:sz w:val="24"/>
          <w:szCs w:val="24"/>
        </w:rPr>
        <w:t xml:space="preserve">s annual reserve asset movements and current account balance since 1980 is presented </w:t>
      </w:r>
      <w:r w:rsidR="00EC3131">
        <w:rPr>
          <w:rFonts w:ascii="Times New Roman" w:eastAsia="Times New Roman" w:hAnsi="Times New Roman" w:cs="Times New Roman"/>
          <w:noProof/>
          <w:sz w:val="24"/>
          <w:szCs w:val="24"/>
        </w:rPr>
        <w:drawing>
          <wp:anchor distT="152400" distB="152400" distL="152400" distR="152400" simplePos="0" relativeHeight="251668480" behindDoc="0" locked="0" layoutInCell="1" allowOverlap="1" wp14:anchorId="4F526127" wp14:editId="2665FAB3">
            <wp:simplePos x="0" y="0"/>
            <wp:positionH relativeFrom="margin">
              <wp:posOffset>588645</wp:posOffset>
            </wp:positionH>
            <wp:positionV relativeFrom="line">
              <wp:posOffset>231140</wp:posOffset>
            </wp:positionV>
            <wp:extent cx="4972685" cy="3136265"/>
            <wp:effectExtent l="0" t="0" r="5715" b="0"/>
            <wp:wrapThrough wrapText="bothSides" distL="152400" distR="152400">
              <wp:wrapPolygon edited="1">
                <wp:start x="0" y="0"/>
                <wp:lineTo x="0" y="21600"/>
                <wp:lineTo x="21599" y="21600"/>
                <wp:lineTo x="21599"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10">
                      <a:extLst/>
                    </a:blip>
                    <a:srcRect t="4403"/>
                    <a:stretch>
                      <a:fillRect/>
                    </a:stretch>
                  </pic:blipFill>
                  <pic:spPr>
                    <a:xfrm>
                      <a:off x="0" y="0"/>
                      <a:ext cx="4972685" cy="313626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below.</w:t>
      </w:r>
      <w:r>
        <w:rPr>
          <w:rFonts w:ascii="Arial Unicode MS" w:eastAsia="Arial Unicode MS" w:hAnsi="Arial Unicode MS" w:cs="Arial Unicode MS"/>
          <w:sz w:val="24"/>
          <w:szCs w:val="24"/>
        </w:rPr>
        <w:br w:type="page"/>
      </w:r>
    </w:p>
    <w:p w14:paraId="10B22646" w14:textId="77777777" w:rsidR="008575FB" w:rsidRDefault="00176BDB">
      <w:pPr>
        <w:pStyle w:val="Default"/>
        <w:spacing w:line="280" w:lineRule="atLeast"/>
        <w:jc w:val="both"/>
        <w:rPr>
          <w:rFonts w:ascii="Times" w:eastAsia="Times" w:hAnsi="Times" w:cs="Times"/>
          <w:sz w:val="24"/>
          <w:szCs w:val="24"/>
        </w:rPr>
      </w:pPr>
      <w:r>
        <w:rPr>
          <w:rFonts w:ascii="Times" w:hAnsi="Times"/>
          <w:i/>
          <w:iCs/>
          <w:sz w:val="24"/>
          <w:szCs w:val="24"/>
        </w:rPr>
        <w:lastRenderedPageBreak/>
        <w:t>Literature Review</w:t>
      </w:r>
      <w:r>
        <w:rPr>
          <w:rFonts w:ascii="Times" w:hAnsi="Times"/>
          <w:sz w:val="24"/>
          <w:szCs w:val="24"/>
        </w:rPr>
        <w:t xml:space="preserve"> </w:t>
      </w:r>
    </w:p>
    <w:p w14:paraId="1D7316F6" w14:textId="77777777" w:rsidR="008575FB" w:rsidRDefault="008575FB">
      <w:pPr>
        <w:pStyle w:val="Default"/>
        <w:spacing w:line="280" w:lineRule="atLeast"/>
        <w:jc w:val="both"/>
        <w:rPr>
          <w:rFonts w:ascii="Times" w:eastAsia="Times" w:hAnsi="Times" w:cs="Times"/>
          <w:sz w:val="24"/>
          <w:szCs w:val="24"/>
        </w:rPr>
      </w:pPr>
    </w:p>
    <w:p w14:paraId="63449270" w14:textId="77777777" w:rsidR="008575FB" w:rsidRDefault="00176BDB">
      <w:pPr>
        <w:pStyle w:val="Default"/>
        <w:spacing w:line="280" w:lineRule="atLeast"/>
        <w:jc w:val="both"/>
        <w:rPr>
          <w:rFonts w:ascii="Times" w:eastAsia="Times" w:hAnsi="Times" w:cs="Times"/>
          <w:sz w:val="24"/>
          <w:szCs w:val="24"/>
        </w:rPr>
      </w:pPr>
      <w:r>
        <w:rPr>
          <w:rFonts w:ascii="Times" w:hAnsi="Times"/>
          <w:sz w:val="24"/>
          <w:szCs w:val="24"/>
        </w:rPr>
        <w:t>A major</w:t>
      </w:r>
      <w:r>
        <w:rPr>
          <w:rFonts w:ascii="Times" w:hAnsi="Times"/>
          <w:sz w:val="24"/>
          <w:szCs w:val="24"/>
        </w:rPr>
        <w:t>ity of empirical literature identifies a negative relationship between trade liberalization and the trade balance. Studying 22 developing countries that had adopted trade liberalization policies since the 1970s (including Morocco), Santos-</w:t>
      </w:r>
      <w:proofErr w:type="spellStart"/>
      <w:r>
        <w:rPr>
          <w:rFonts w:ascii="Times" w:hAnsi="Times"/>
          <w:sz w:val="24"/>
          <w:szCs w:val="24"/>
        </w:rPr>
        <w:t>Paulino</w:t>
      </w:r>
      <w:proofErr w:type="spellEnd"/>
      <w:r>
        <w:rPr>
          <w:rFonts w:ascii="Times" w:hAnsi="Times"/>
          <w:sz w:val="24"/>
          <w:szCs w:val="24"/>
        </w:rPr>
        <w:t xml:space="preserve"> and </w:t>
      </w:r>
      <w:proofErr w:type="spellStart"/>
      <w:r>
        <w:rPr>
          <w:rFonts w:ascii="Times" w:hAnsi="Times"/>
          <w:sz w:val="24"/>
          <w:szCs w:val="24"/>
        </w:rPr>
        <w:t>Thirl</w:t>
      </w:r>
      <w:r>
        <w:rPr>
          <w:rFonts w:ascii="Times" w:hAnsi="Times"/>
          <w:sz w:val="24"/>
          <w:szCs w:val="24"/>
        </w:rPr>
        <w:t>wall</w:t>
      </w:r>
      <w:proofErr w:type="spellEnd"/>
      <w:r>
        <w:rPr>
          <w:rFonts w:ascii="Times" w:hAnsi="Times"/>
          <w:sz w:val="24"/>
          <w:szCs w:val="24"/>
        </w:rPr>
        <w:t xml:space="preserve"> (2004) identified empirical evidence that trade liberalization </w:t>
      </w:r>
      <w:r w:rsidR="00EC3131">
        <w:rPr>
          <w:rFonts w:ascii="Times" w:hAnsi="Times"/>
          <w:sz w:val="24"/>
          <w:szCs w:val="24"/>
        </w:rPr>
        <w:t>promotes</w:t>
      </w:r>
      <w:r>
        <w:rPr>
          <w:rFonts w:ascii="Times" w:hAnsi="Times"/>
          <w:sz w:val="24"/>
          <w:szCs w:val="24"/>
        </w:rPr>
        <w:t xml:space="preserve"> import growth more than export growth, resulting in a deterioration of trade balance. Specifically, for a one percentage point reduction in duties, exports were found to grow under</w:t>
      </w:r>
      <w:r>
        <w:rPr>
          <w:rFonts w:ascii="Times" w:hAnsi="Times"/>
          <w:sz w:val="24"/>
          <w:szCs w:val="24"/>
        </w:rPr>
        <w:t xml:space="preserve"> 0.2% while imports grow by between 0.2 and 0.4%. The natural explanation is that it is easier for importers to import than for exporters to reallocate resources to capture export markets. Using a panel data comprised of 42 countries, Parikh (2006) found t</w:t>
      </w:r>
      <w:r>
        <w:rPr>
          <w:rFonts w:ascii="Times" w:hAnsi="Times"/>
          <w:sz w:val="24"/>
          <w:szCs w:val="24"/>
        </w:rPr>
        <w:t xml:space="preserve">hat trade liberalization promotes growth in most cases, but the growth itself has a negative impact on the trade balance: countries following trade liberalization could have high real exchange rates, a worsening savings-investment balance and consequently </w:t>
      </w:r>
      <w:r>
        <w:rPr>
          <w:rFonts w:ascii="Times" w:hAnsi="Times"/>
          <w:sz w:val="24"/>
          <w:szCs w:val="24"/>
        </w:rPr>
        <w:t xml:space="preserve">a worsening current account balance. </w:t>
      </w:r>
      <w:r>
        <w:rPr>
          <w:rFonts w:ascii="Times" w:hAnsi="Times"/>
          <w:sz w:val="24"/>
          <w:szCs w:val="24"/>
          <w:lang w:val="pt-PT"/>
        </w:rPr>
        <w:t>Santos</w:t>
      </w:r>
      <w:r>
        <w:rPr>
          <w:rFonts w:ascii="Arial Unicode MS" w:eastAsia="Arial Unicode MS" w:hAnsi="Arial Unicode MS" w:cs="Arial Unicode MS"/>
          <w:sz w:val="24"/>
          <w:szCs w:val="24"/>
        </w:rPr>
        <w:t>‐</w:t>
      </w:r>
      <w:proofErr w:type="spellStart"/>
      <w:r>
        <w:rPr>
          <w:rFonts w:ascii="Times" w:hAnsi="Times"/>
          <w:sz w:val="24"/>
          <w:szCs w:val="24"/>
          <w:lang w:val="it-IT"/>
        </w:rPr>
        <w:t>Paulino</w:t>
      </w:r>
      <w:proofErr w:type="spellEnd"/>
      <w:r>
        <w:rPr>
          <w:rFonts w:ascii="Times" w:hAnsi="Times"/>
          <w:sz w:val="24"/>
          <w:szCs w:val="24"/>
        </w:rPr>
        <w:t xml:space="preserve"> (2004) estimated that the adverse effect on the trade balance to be around 2 percent of GDP, while the negative impact on current account balance is around 0.5 percent. Moreover, the impact of liberalization and other variables varies according to the reg</w:t>
      </w:r>
      <w:r>
        <w:rPr>
          <w:rFonts w:ascii="Times" w:hAnsi="Times"/>
          <w:sz w:val="24"/>
          <w:szCs w:val="24"/>
        </w:rPr>
        <w:t>ion and type of trade policy regime existing, with Africa appears to have been more affected by the process of liberalization. El-</w:t>
      </w:r>
      <w:proofErr w:type="spellStart"/>
      <w:r>
        <w:rPr>
          <w:rFonts w:ascii="Times" w:hAnsi="Times"/>
          <w:sz w:val="24"/>
          <w:szCs w:val="24"/>
        </w:rPr>
        <w:t>Wassel</w:t>
      </w:r>
      <w:proofErr w:type="spellEnd"/>
      <w:r>
        <w:rPr>
          <w:rFonts w:ascii="Times" w:hAnsi="Times"/>
          <w:sz w:val="24"/>
          <w:szCs w:val="24"/>
        </w:rPr>
        <w:t xml:space="preserve"> (2012) examined data from 20 Arab countries over the period 1995-2010 and found that trade liberalization was detriment</w:t>
      </w:r>
      <w:r>
        <w:rPr>
          <w:rFonts w:ascii="Times" w:hAnsi="Times"/>
          <w:sz w:val="24"/>
          <w:szCs w:val="24"/>
        </w:rPr>
        <w:t>al to the trade balance when fuel exports were excluded from the equation.</w:t>
      </w:r>
      <w:r>
        <w:rPr>
          <w:rFonts w:ascii="Times" w:hAnsi="Times"/>
          <w:sz w:val="24"/>
          <w:szCs w:val="24"/>
          <w:lang w:val="de-DE"/>
        </w:rPr>
        <w:t xml:space="preserve"> Khan </w:t>
      </w:r>
      <w:proofErr w:type="spellStart"/>
      <w:r>
        <w:rPr>
          <w:rFonts w:ascii="Times" w:hAnsi="Times"/>
          <w:sz w:val="24"/>
          <w:szCs w:val="24"/>
          <w:lang w:val="de-DE"/>
        </w:rPr>
        <w:t>and</w:t>
      </w:r>
      <w:proofErr w:type="spellEnd"/>
      <w:r>
        <w:rPr>
          <w:rFonts w:ascii="Times" w:hAnsi="Times"/>
          <w:sz w:val="24"/>
          <w:szCs w:val="24"/>
          <w:lang w:val="de-DE"/>
        </w:rPr>
        <w:t xml:space="preserve"> Zahler (1985) </w:t>
      </w:r>
      <w:proofErr w:type="spellStart"/>
      <w:r>
        <w:rPr>
          <w:rFonts w:ascii="Times" w:hAnsi="Times"/>
          <w:sz w:val="24"/>
          <w:szCs w:val="24"/>
          <w:lang w:val="de-DE"/>
        </w:rPr>
        <w:t>examine</w:t>
      </w:r>
      <w:proofErr w:type="spellEnd"/>
      <w:r>
        <w:rPr>
          <w:rFonts w:ascii="Times" w:hAnsi="Times"/>
          <w:sz w:val="24"/>
          <w:szCs w:val="24"/>
        </w:rPr>
        <w:t>d the effect of trade liberalization on the economies of Argentina, Chile and Uruguay and found that the volume of trade increased but the current acco</w:t>
      </w:r>
      <w:r>
        <w:rPr>
          <w:rFonts w:ascii="Times" w:hAnsi="Times"/>
          <w:sz w:val="24"/>
          <w:szCs w:val="24"/>
        </w:rPr>
        <w:t xml:space="preserve">unt of the balance of payments went into severe deficit. The authors also found that capital flows generated by interest rate differentials were not sufficient to finance the deficits without adjustment. </w:t>
      </w:r>
      <w:proofErr w:type="spellStart"/>
      <w:r>
        <w:rPr>
          <w:rFonts w:ascii="Times" w:hAnsi="Times"/>
          <w:sz w:val="24"/>
          <w:szCs w:val="24"/>
        </w:rPr>
        <w:t>Ju</w:t>
      </w:r>
      <w:proofErr w:type="spellEnd"/>
      <w:r>
        <w:rPr>
          <w:rFonts w:ascii="Times" w:hAnsi="Times"/>
          <w:sz w:val="24"/>
          <w:szCs w:val="24"/>
        </w:rPr>
        <w:t xml:space="preserve"> et al. (2009) examined the relationship on a larg</w:t>
      </w:r>
      <w:r>
        <w:rPr>
          <w:rFonts w:ascii="Times" w:hAnsi="Times"/>
          <w:sz w:val="24"/>
          <w:szCs w:val="24"/>
        </w:rPr>
        <w:t>e sample of developing countries and found mixed evidence for such a negative impact.</w:t>
      </w:r>
    </w:p>
    <w:p w14:paraId="58B2BFEF" w14:textId="77777777" w:rsidR="008575FB" w:rsidRDefault="008575FB">
      <w:pPr>
        <w:pStyle w:val="Default"/>
        <w:spacing w:line="280" w:lineRule="atLeast"/>
        <w:jc w:val="both"/>
        <w:rPr>
          <w:rFonts w:ascii="Times" w:eastAsia="Times" w:hAnsi="Times" w:cs="Times"/>
          <w:sz w:val="24"/>
          <w:szCs w:val="24"/>
        </w:rPr>
      </w:pPr>
    </w:p>
    <w:p w14:paraId="5C7A0738" w14:textId="77777777" w:rsidR="008575FB" w:rsidRDefault="00176BDB">
      <w:pPr>
        <w:pStyle w:val="Default"/>
        <w:spacing w:line="280" w:lineRule="atLeast"/>
        <w:jc w:val="both"/>
        <w:rPr>
          <w:rFonts w:ascii="Times" w:eastAsia="Times" w:hAnsi="Times" w:cs="Times"/>
          <w:sz w:val="24"/>
          <w:szCs w:val="24"/>
        </w:rPr>
      </w:pPr>
      <w:proofErr w:type="spellStart"/>
      <w:r>
        <w:rPr>
          <w:rFonts w:ascii="Times" w:hAnsi="Times"/>
          <w:sz w:val="24"/>
          <w:szCs w:val="24"/>
        </w:rPr>
        <w:t>Thirlwall</w:t>
      </w:r>
      <w:proofErr w:type="spellEnd"/>
      <w:r>
        <w:rPr>
          <w:rFonts w:ascii="Times" w:hAnsi="Times"/>
          <w:sz w:val="24"/>
          <w:szCs w:val="24"/>
        </w:rPr>
        <w:t xml:space="preserve"> and Gibson (1992) argued that the effect of trade liberalization on the trade balance is ambiguous from a theoretical perspective. In the partial equilibrium f</w:t>
      </w:r>
      <w:r>
        <w:rPr>
          <w:rFonts w:ascii="Times" w:hAnsi="Times"/>
          <w:sz w:val="24"/>
          <w:szCs w:val="24"/>
        </w:rPr>
        <w:t>ramework of the elasticity approach, the effect will depend on the extent to which import and export duties change and on the price elasticities of imports and exports. In the general equilibrium framework of the absorption approach to the balance of payme</w:t>
      </w:r>
      <w:r>
        <w:rPr>
          <w:rFonts w:ascii="Times" w:hAnsi="Times"/>
          <w:sz w:val="24"/>
          <w:szCs w:val="24"/>
        </w:rPr>
        <w:t>nts, the effect of liberalization will depend on how real income is affected relative to real absorption. In the monetary approach to the balance of payments, the outcome of liberalization depends on how the real demand for money changes relative to the re</w:t>
      </w:r>
      <w:r>
        <w:rPr>
          <w:rFonts w:ascii="Times" w:hAnsi="Times"/>
          <w:sz w:val="24"/>
          <w:szCs w:val="24"/>
        </w:rPr>
        <w:t xml:space="preserve">al supply. </w:t>
      </w:r>
      <w:proofErr w:type="spellStart"/>
      <w:r>
        <w:rPr>
          <w:rFonts w:ascii="Times" w:hAnsi="Times"/>
          <w:sz w:val="24"/>
          <w:szCs w:val="24"/>
        </w:rPr>
        <w:t>Ostry</w:t>
      </w:r>
      <w:proofErr w:type="spellEnd"/>
      <w:r>
        <w:rPr>
          <w:rFonts w:ascii="Times" w:hAnsi="Times"/>
          <w:sz w:val="24"/>
          <w:szCs w:val="24"/>
        </w:rPr>
        <w:t xml:space="preserve"> and Rose (1992) similarly argued that there is no clear linkage between tariff liberalization and the trade balance.</w:t>
      </w:r>
    </w:p>
    <w:p w14:paraId="5073CF8D" w14:textId="77777777" w:rsidR="008575FB" w:rsidRDefault="008575FB">
      <w:pPr>
        <w:pStyle w:val="Default"/>
        <w:spacing w:line="280" w:lineRule="atLeast"/>
        <w:jc w:val="both"/>
        <w:rPr>
          <w:rFonts w:ascii="Times" w:eastAsia="Times" w:hAnsi="Times" w:cs="Times"/>
          <w:sz w:val="24"/>
          <w:szCs w:val="24"/>
        </w:rPr>
      </w:pPr>
    </w:p>
    <w:p w14:paraId="05EE36C2" w14:textId="77777777" w:rsidR="008575FB" w:rsidRDefault="00176BDB">
      <w:pPr>
        <w:pStyle w:val="Default"/>
        <w:spacing w:line="280" w:lineRule="atLeast"/>
        <w:jc w:val="both"/>
        <w:rPr>
          <w:rFonts w:ascii="Times" w:eastAsia="Times" w:hAnsi="Times" w:cs="Times"/>
          <w:sz w:val="24"/>
          <w:szCs w:val="24"/>
        </w:rPr>
      </w:pPr>
      <w:r>
        <w:rPr>
          <w:rFonts w:ascii="Times" w:hAnsi="Times"/>
          <w:sz w:val="24"/>
          <w:szCs w:val="24"/>
        </w:rPr>
        <w:t>On the other hand, factors other than trade liberalization may have contributed to Morocco</w:t>
      </w:r>
      <w:r>
        <w:rPr>
          <w:rFonts w:ascii="Times" w:hAnsi="Times"/>
          <w:sz w:val="24"/>
          <w:szCs w:val="24"/>
        </w:rPr>
        <w:t>’</w:t>
      </w:r>
      <w:r>
        <w:rPr>
          <w:rFonts w:ascii="Times" w:hAnsi="Times"/>
          <w:sz w:val="24"/>
          <w:szCs w:val="24"/>
        </w:rPr>
        <w:t xml:space="preserve">s current account trajectory. </w:t>
      </w:r>
      <w:r>
        <w:rPr>
          <w:rFonts w:ascii="Times" w:hAnsi="Times"/>
          <w:sz w:val="24"/>
          <w:szCs w:val="24"/>
        </w:rPr>
        <w:t>For instance, Krueger (1978) identified real exchange rate as a more important element than trade liberalization for promoting exports, which seemed to justify Morocco</w:t>
      </w:r>
      <w:r>
        <w:rPr>
          <w:rFonts w:ascii="Times" w:hAnsi="Times"/>
          <w:sz w:val="24"/>
          <w:szCs w:val="24"/>
        </w:rPr>
        <w:t>’</w:t>
      </w:r>
      <w:r>
        <w:rPr>
          <w:rFonts w:ascii="Times" w:hAnsi="Times"/>
          <w:sz w:val="24"/>
          <w:szCs w:val="24"/>
        </w:rPr>
        <w:t>s current account surplus after dirham</w:t>
      </w:r>
      <w:r>
        <w:rPr>
          <w:rFonts w:ascii="Times" w:hAnsi="Times"/>
          <w:sz w:val="24"/>
          <w:szCs w:val="24"/>
        </w:rPr>
        <w:t>’</w:t>
      </w:r>
      <w:r>
        <w:rPr>
          <w:rFonts w:ascii="Times" w:hAnsi="Times"/>
          <w:sz w:val="24"/>
          <w:szCs w:val="24"/>
        </w:rPr>
        <w:t xml:space="preserve">s depreciation in 2001. </w:t>
      </w:r>
    </w:p>
    <w:p w14:paraId="1EB75E7C" w14:textId="77777777" w:rsidR="008575FB" w:rsidRDefault="008575FB">
      <w:pPr>
        <w:pStyle w:val="Default"/>
        <w:spacing w:line="280" w:lineRule="atLeast"/>
        <w:jc w:val="both"/>
        <w:rPr>
          <w:rFonts w:ascii="Times" w:eastAsia="Times" w:hAnsi="Times" w:cs="Times"/>
          <w:sz w:val="24"/>
          <w:szCs w:val="24"/>
        </w:rPr>
      </w:pPr>
    </w:p>
    <w:p w14:paraId="7BB082C0" w14:textId="77777777" w:rsidR="008575FB" w:rsidRDefault="008575FB">
      <w:pPr>
        <w:pStyle w:val="Default"/>
        <w:spacing w:line="280" w:lineRule="atLeast"/>
        <w:jc w:val="both"/>
        <w:rPr>
          <w:rFonts w:ascii="Times" w:eastAsia="Times" w:hAnsi="Times" w:cs="Times"/>
          <w:sz w:val="24"/>
          <w:szCs w:val="24"/>
        </w:rPr>
      </w:pPr>
    </w:p>
    <w:p w14:paraId="3D94F96F" w14:textId="77777777" w:rsidR="008575FB" w:rsidRDefault="008575FB">
      <w:pPr>
        <w:pStyle w:val="Default"/>
        <w:spacing w:line="280" w:lineRule="atLeast"/>
        <w:jc w:val="both"/>
        <w:rPr>
          <w:rFonts w:ascii="Times" w:eastAsia="Times" w:hAnsi="Times" w:cs="Times"/>
          <w:sz w:val="24"/>
          <w:szCs w:val="24"/>
        </w:rPr>
      </w:pPr>
    </w:p>
    <w:p w14:paraId="1731F091" w14:textId="77777777" w:rsidR="008575FB" w:rsidRDefault="008575FB">
      <w:pPr>
        <w:pStyle w:val="Default"/>
        <w:spacing w:line="280" w:lineRule="atLeast"/>
        <w:jc w:val="both"/>
        <w:rPr>
          <w:rFonts w:ascii="Times" w:eastAsia="Times" w:hAnsi="Times" w:cs="Times"/>
          <w:sz w:val="24"/>
          <w:szCs w:val="24"/>
        </w:rPr>
      </w:pPr>
    </w:p>
    <w:p w14:paraId="71E6AAF6" w14:textId="77777777" w:rsidR="008575FB" w:rsidRDefault="008575FB">
      <w:pPr>
        <w:pStyle w:val="Default"/>
        <w:spacing w:line="280" w:lineRule="atLeast"/>
        <w:jc w:val="both"/>
        <w:rPr>
          <w:rFonts w:ascii="Times" w:eastAsia="Times" w:hAnsi="Times" w:cs="Times"/>
          <w:sz w:val="24"/>
          <w:szCs w:val="24"/>
        </w:rPr>
      </w:pPr>
    </w:p>
    <w:p w14:paraId="393999BA" w14:textId="77777777" w:rsidR="008575FB" w:rsidRDefault="008575FB">
      <w:pPr>
        <w:pStyle w:val="Default"/>
        <w:spacing w:after="240" w:line="300" w:lineRule="atLeast"/>
        <w:rPr>
          <w:rFonts w:ascii="Times" w:eastAsia="Times" w:hAnsi="Times" w:cs="Times"/>
          <w:sz w:val="24"/>
          <w:szCs w:val="24"/>
        </w:rPr>
      </w:pPr>
    </w:p>
    <w:p w14:paraId="71CB3FDF" w14:textId="77777777" w:rsidR="008575FB" w:rsidRDefault="008575FB">
      <w:pPr>
        <w:pStyle w:val="Default"/>
        <w:spacing w:after="240" w:line="300" w:lineRule="atLeast"/>
        <w:rPr>
          <w:rFonts w:ascii="Times" w:eastAsia="Times" w:hAnsi="Times" w:cs="Times"/>
          <w:sz w:val="27"/>
          <w:szCs w:val="27"/>
        </w:rPr>
      </w:pPr>
    </w:p>
    <w:p w14:paraId="1D5E3CE8" w14:textId="77777777" w:rsidR="008575FB" w:rsidRDefault="008575FB">
      <w:pPr>
        <w:pStyle w:val="Default"/>
        <w:spacing w:line="280" w:lineRule="atLeast"/>
        <w:jc w:val="both"/>
        <w:rPr>
          <w:rFonts w:ascii="Times" w:eastAsia="Times" w:hAnsi="Times" w:cs="Times"/>
          <w:sz w:val="24"/>
          <w:szCs w:val="24"/>
        </w:rPr>
      </w:pPr>
    </w:p>
    <w:p w14:paraId="43536387" w14:textId="77777777" w:rsidR="008575FB" w:rsidRDefault="00176BDB">
      <w:pPr>
        <w:pStyle w:val="Default"/>
        <w:spacing w:after="240" w:line="260" w:lineRule="atLeast"/>
      </w:pPr>
      <w:r>
        <w:rPr>
          <w:rFonts w:ascii="Arial Unicode MS" w:eastAsia="Arial Unicode MS" w:hAnsi="Arial Unicode MS" w:cs="Arial Unicode MS"/>
          <w:sz w:val="21"/>
          <w:szCs w:val="21"/>
        </w:rPr>
        <w:br w:type="page"/>
      </w:r>
    </w:p>
    <w:p w14:paraId="711E0450" w14:textId="77777777" w:rsidR="008575FB" w:rsidRDefault="00176BDB">
      <w:pPr>
        <w:pStyle w:val="Body"/>
        <w:jc w:val="both"/>
        <w:rPr>
          <w:rFonts w:ascii="Times New Roman" w:eastAsia="Times New Roman" w:hAnsi="Times New Roman" w:cs="Times New Roman"/>
          <w:i/>
          <w:iCs/>
          <w:sz w:val="24"/>
          <w:szCs w:val="24"/>
        </w:rPr>
      </w:pPr>
      <w:r>
        <w:rPr>
          <w:rFonts w:ascii="Times New Roman" w:hAnsi="Times New Roman"/>
          <w:i/>
          <w:iCs/>
          <w:sz w:val="24"/>
          <w:szCs w:val="24"/>
        </w:rPr>
        <w:lastRenderedPageBreak/>
        <w:t>Conclusion</w:t>
      </w:r>
    </w:p>
    <w:p w14:paraId="27985BD6" w14:textId="77777777" w:rsidR="008575FB" w:rsidRDefault="008575FB">
      <w:pPr>
        <w:pStyle w:val="Body"/>
        <w:jc w:val="both"/>
        <w:rPr>
          <w:rFonts w:ascii="Times New Roman" w:eastAsia="Times New Roman" w:hAnsi="Times New Roman" w:cs="Times New Roman"/>
          <w:sz w:val="24"/>
          <w:szCs w:val="24"/>
        </w:rPr>
      </w:pPr>
    </w:p>
    <w:p w14:paraId="1B07F471" w14:textId="77777777" w:rsidR="008575FB" w:rsidRDefault="00176BDB">
      <w:pPr>
        <w:pStyle w:val="Body"/>
        <w:jc w:val="both"/>
        <w:rPr>
          <w:rFonts w:ascii="Times New Roman" w:eastAsia="Times New Roman" w:hAnsi="Times New Roman" w:cs="Times New Roman"/>
          <w:sz w:val="24"/>
          <w:szCs w:val="24"/>
        </w:rPr>
      </w:pPr>
      <w:r>
        <w:rPr>
          <w:rFonts w:ascii="Times New Roman" w:hAnsi="Times New Roman"/>
          <w:sz w:val="24"/>
          <w:szCs w:val="24"/>
        </w:rPr>
        <w:t>Mo</w:t>
      </w:r>
      <w:r>
        <w:rPr>
          <w:rFonts w:ascii="Times New Roman" w:hAnsi="Times New Roman"/>
          <w:sz w:val="24"/>
          <w:szCs w:val="24"/>
        </w:rPr>
        <w:t>rocco made huge progress in trade liberalization; however, there are many areas where liberalization is less than what meets the eye. As a consequence of Morocco</w:t>
      </w:r>
      <w:r>
        <w:rPr>
          <w:rFonts w:ascii="Times New Roman" w:hAnsi="Times New Roman"/>
          <w:sz w:val="24"/>
          <w:szCs w:val="24"/>
        </w:rPr>
        <w:t>’</w:t>
      </w:r>
      <w:r>
        <w:rPr>
          <w:rFonts w:ascii="Times New Roman" w:hAnsi="Times New Roman"/>
          <w:sz w:val="24"/>
          <w:szCs w:val="24"/>
        </w:rPr>
        <w:t>s economic adjustment since the 1980s, Morocco</w:t>
      </w:r>
      <w:r>
        <w:rPr>
          <w:rFonts w:ascii="Times New Roman" w:hAnsi="Times New Roman"/>
          <w:sz w:val="24"/>
          <w:szCs w:val="24"/>
        </w:rPr>
        <w:t>’</w:t>
      </w:r>
      <w:r>
        <w:rPr>
          <w:rFonts w:ascii="Times New Roman" w:hAnsi="Times New Roman"/>
          <w:sz w:val="24"/>
          <w:szCs w:val="24"/>
        </w:rPr>
        <w:t xml:space="preserve">s import profile shifted from reliance on food </w:t>
      </w:r>
      <w:r>
        <w:rPr>
          <w:rFonts w:ascii="Times New Roman" w:hAnsi="Times New Roman"/>
          <w:sz w:val="24"/>
          <w:szCs w:val="24"/>
        </w:rPr>
        <w:t>and energy to raw materials, machinery, and other capital goods. Morocco joined the WTO as an original member in 1995 and quickly adopted measures to bind tariff lines and regulate services trade. In 2000, Morocco</w:t>
      </w:r>
      <w:r>
        <w:rPr>
          <w:rFonts w:ascii="Times New Roman" w:hAnsi="Times New Roman"/>
          <w:sz w:val="24"/>
          <w:szCs w:val="24"/>
        </w:rPr>
        <w:t>’</w:t>
      </w:r>
      <w:r>
        <w:rPr>
          <w:rFonts w:ascii="Times New Roman" w:hAnsi="Times New Roman"/>
          <w:sz w:val="24"/>
          <w:szCs w:val="24"/>
        </w:rPr>
        <w:t>s Free Trade Agreement with the European U</w:t>
      </w:r>
      <w:r>
        <w:rPr>
          <w:rFonts w:ascii="Times New Roman" w:hAnsi="Times New Roman"/>
          <w:sz w:val="24"/>
          <w:szCs w:val="24"/>
        </w:rPr>
        <w:t>nion, its largest trading partner, entered into force, improving Morocco</w:t>
      </w:r>
      <w:r>
        <w:rPr>
          <w:rFonts w:ascii="Times New Roman" w:hAnsi="Times New Roman"/>
          <w:sz w:val="24"/>
          <w:szCs w:val="24"/>
        </w:rPr>
        <w:t>’</w:t>
      </w:r>
      <w:r>
        <w:rPr>
          <w:rFonts w:ascii="Times New Roman" w:hAnsi="Times New Roman"/>
          <w:sz w:val="24"/>
          <w:szCs w:val="24"/>
        </w:rPr>
        <w:t>s access to EU markets. By many estimates, the FTA had the potential to boost Morocco</w:t>
      </w:r>
      <w:r>
        <w:rPr>
          <w:rFonts w:ascii="Times New Roman" w:hAnsi="Times New Roman"/>
          <w:sz w:val="24"/>
          <w:szCs w:val="24"/>
        </w:rPr>
        <w:t>’</w:t>
      </w:r>
      <w:r>
        <w:rPr>
          <w:rFonts w:ascii="Times New Roman" w:hAnsi="Times New Roman"/>
          <w:sz w:val="24"/>
          <w:szCs w:val="24"/>
        </w:rPr>
        <w:t>s GDP by about 1.5 percent. Since then, Morocco has entered into an extensive list of bilateral o</w:t>
      </w:r>
      <w:r>
        <w:rPr>
          <w:rFonts w:ascii="Times New Roman" w:hAnsi="Times New Roman"/>
          <w:sz w:val="24"/>
          <w:szCs w:val="24"/>
        </w:rPr>
        <w:t>r multilateral free trade agreements.</w:t>
      </w:r>
    </w:p>
    <w:p w14:paraId="1B394268" w14:textId="77777777" w:rsidR="008575FB" w:rsidRDefault="008575FB">
      <w:pPr>
        <w:pStyle w:val="Body"/>
        <w:jc w:val="both"/>
        <w:rPr>
          <w:rFonts w:ascii="Times New Roman" w:eastAsia="Times New Roman" w:hAnsi="Times New Roman" w:cs="Times New Roman"/>
          <w:sz w:val="24"/>
          <w:szCs w:val="24"/>
        </w:rPr>
      </w:pPr>
    </w:p>
    <w:p w14:paraId="7EB561D3" w14:textId="77777777" w:rsidR="008575FB" w:rsidRDefault="00176BD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eastAsia="Times New Roman" w:hAnsi="Times New Roman" w:cs="Times New Roman"/>
          <w:sz w:val="24"/>
          <w:szCs w:val="24"/>
        </w:rPr>
      </w:pPr>
      <w:r>
        <w:rPr>
          <w:rFonts w:ascii="Times New Roman" w:hAnsi="Times New Roman"/>
          <w:sz w:val="24"/>
          <w:szCs w:val="24"/>
        </w:rPr>
        <w:t xml:space="preserve">Morocco has continued to adopt trade facilitation procedures, including the computerization of the customs process. A 2009 framework agreement between Customs and the tax authority also reduced the complexity of </w:t>
      </w:r>
      <w:r>
        <w:rPr>
          <w:rFonts w:ascii="Times New Roman" w:hAnsi="Times New Roman"/>
          <w:sz w:val="24"/>
          <w:szCs w:val="24"/>
        </w:rPr>
        <w:t>Morocco</w:t>
      </w:r>
      <w:r>
        <w:rPr>
          <w:rFonts w:ascii="Times New Roman" w:hAnsi="Times New Roman"/>
          <w:sz w:val="24"/>
          <w:szCs w:val="24"/>
          <w:rtl/>
        </w:rPr>
        <w:t>’</w:t>
      </w:r>
      <w:r>
        <w:rPr>
          <w:rFonts w:ascii="Times New Roman" w:hAnsi="Times New Roman"/>
          <w:sz w:val="24"/>
          <w:szCs w:val="24"/>
        </w:rPr>
        <w:t xml:space="preserve">s tax system for imports. The period before the 2008 financial crisis saw rapid economic growth in </w:t>
      </w:r>
      <w:r w:rsidR="00EC3131">
        <w:rPr>
          <w:rFonts w:ascii="Times New Roman" w:hAnsi="Times New Roman"/>
          <w:sz w:val="24"/>
          <w:szCs w:val="24"/>
        </w:rPr>
        <w:t>Morocco</w:t>
      </w:r>
      <w:r>
        <w:rPr>
          <w:rFonts w:ascii="Times New Roman" w:hAnsi="Times New Roman"/>
          <w:sz w:val="24"/>
          <w:szCs w:val="24"/>
        </w:rPr>
        <w:t>, with the services sector being the largest driver of economic growth. The tourism sector, in particular, overtook remittances as the main s</w:t>
      </w:r>
      <w:r>
        <w:rPr>
          <w:rFonts w:ascii="Times New Roman" w:hAnsi="Times New Roman"/>
          <w:sz w:val="24"/>
          <w:szCs w:val="24"/>
        </w:rPr>
        <w:t xml:space="preserve">ource of foreign exchange for Morocco. </w:t>
      </w:r>
    </w:p>
    <w:p w14:paraId="0F76D7E3" w14:textId="77777777" w:rsidR="008575FB" w:rsidRDefault="008575F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eastAsia="Times New Roman" w:hAnsi="Times New Roman" w:cs="Times New Roman"/>
          <w:sz w:val="24"/>
          <w:szCs w:val="24"/>
        </w:rPr>
      </w:pPr>
    </w:p>
    <w:p w14:paraId="5D44D93C" w14:textId="77777777" w:rsidR="008575FB" w:rsidRDefault="00176BD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eastAsia="Times New Roman" w:hAnsi="Times New Roman" w:cs="Times New Roman"/>
          <w:sz w:val="24"/>
          <w:szCs w:val="24"/>
        </w:rPr>
      </w:pPr>
      <w:r>
        <w:rPr>
          <w:rFonts w:ascii="Times New Roman" w:hAnsi="Times New Roman"/>
          <w:sz w:val="24"/>
          <w:szCs w:val="24"/>
        </w:rPr>
        <w:t>Although agriculture</w:t>
      </w:r>
      <w:r>
        <w:rPr>
          <w:rFonts w:ascii="Times New Roman" w:hAnsi="Times New Roman"/>
          <w:sz w:val="24"/>
          <w:szCs w:val="24"/>
        </w:rPr>
        <w:t>’</w:t>
      </w:r>
      <w:r>
        <w:rPr>
          <w:rFonts w:ascii="Times New Roman" w:hAnsi="Times New Roman"/>
          <w:sz w:val="24"/>
          <w:szCs w:val="24"/>
        </w:rPr>
        <w:t>s share of GDP has declined significantly over the last few decades (from 20 percent in the mid-80s to 12 percent in 2018), agriculture, accounting for nearly 40 percent of Moroccan labor force,</w:t>
      </w:r>
      <w:r>
        <w:rPr>
          <w:rFonts w:ascii="Times New Roman" w:hAnsi="Times New Roman"/>
          <w:sz w:val="24"/>
          <w:szCs w:val="24"/>
        </w:rPr>
        <w:t xml:space="preserve"> remains Morocco</w:t>
      </w:r>
      <w:r>
        <w:rPr>
          <w:rFonts w:ascii="Times New Roman" w:hAnsi="Times New Roman"/>
          <w:sz w:val="24"/>
          <w:szCs w:val="24"/>
        </w:rPr>
        <w:t>’</w:t>
      </w:r>
      <w:r>
        <w:rPr>
          <w:rFonts w:ascii="Times New Roman" w:hAnsi="Times New Roman"/>
          <w:sz w:val="24"/>
          <w:szCs w:val="24"/>
        </w:rPr>
        <w:t>s most protected sector in terms of trade. The Government of Morocco imposes tariffs averaging 45.5 percent on agricultural imports until 2009, a figure that has since dropped to 16 percent by 2017. In addition, various value-added taxes a</w:t>
      </w:r>
      <w:r>
        <w:rPr>
          <w:rFonts w:ascii="Times New Roman" w:hAnsi="Times New Roman"/>
          <w:sz w:val="24"/>
          <w:szCs w:val="24"/>
        </w:rPr>
        <w:t>re placed on 40 agricultural imports.</w:t>
      </w:r>
    </w:p>
    <w:p w14:paraId="354EAE5C" w14:textId="77777777" w:rsidR="008575FB" w:rsidRDefault="008575F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eastAsia="Times New Roman" w:hAnsi="Times New Roman" w:cs="Times New Roman"/>
          <w:sz w:val="24"/>
          <w:szCs w:val="24"/>
        </w:rPr>
      </w:pPr>
    </w:p>
    <w:p w14:paraId="2683D7EA" w14:textId="77777777" w:rsidR="008575FB" w:rsidRDefault="00176BD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eastAsia="Times New Roman" w:hAnsi="Times New Roman" w:cs="Times New Roman"/>
          <w:sz w:val="24"/>
          <w:szCs w:val="24"/>
        </w:rPr>
      </w:pPr>
      <w:r>
        <w:rPr>
          <w:rFonts w:ascii="Times New Roman" w:hAnsi="Times New Roman"/>
          <w:sz w:val="24"/>
          <w:szCs w:val="24"/>
        </w:rPr>
        <w:t>From 1993 to 2017, Morocco</w:t>
      </w:r>
      <w:r>
        <w:rPr>
          <w:rFonts w:ascii="Times New Roman" w:hAnsi="Times New Roman"/>
          <w:sz w:val="24"/>
          <w:szCs w:val="24"/>
        </w:rPr>
        <w:t>’</w:t>
      </w:r>
      <w:r>
        <w:rPr>
          <w:rFonts w:ascii="Times New Roman" w:hAnsi="Times New Roman"/>
          <w:sz w:val="24"/>
          <w:szCs w:val="24"/>
        </w:rPr>
        <w:t>s average MFN tariff fell from 45.44 percent to 10.5 percent. In 2017, Morocco</w:t>
      </w:r>
      <w:r>
        <w:rPr>
          <w:rFonts w:ascii="Times New Roman" w:hAnsi="Times New Roman"/>
          <w:sz w:val="24"/>
          <w:szCs w:val="24"/>
        </w:rPr>
        <w:t>’</w:t>
      </w:r>
      <w:r>
        <w:rPr>
          <w:rFonts w:ascii="Times New Roman" w:hAnsi="Times New Roman"/>
          <w:sz w:val="24"/>
          <w:szCs w:val="24"/>
        </w:rPr>
        <w:t>s effectively applied tariff averaged 3.8 percent with the rest of the world; average AHS tariff is below 1.5 p</w:t>
      </w:r>
      <w:r>
        <w:rPr>
          <w:rFonts w:ascii="Times New Roman" w:hAnsi="Times New Roman"/>
          <w:sz w:val="24"/>
          <w:szCs w:val="24"/>
        </w:rPr>
        <w:t>ercent for Morocco</w:t>
      </w:r>
      <w:r>
        <w:rPr>
          <w:rFonts w:ascii="Times New Roman" w:hAnsi="Times New Roman"/>
          <w:sz w:val="24"/>
          <w:szCs w:val="24"/>
        </w:rPr>
        <w:t>’</w:t>
      </w:r>
      <w:r>
        <w:rPr>
          <w:rFonts w:ascii="Times New Roman" w:hAnsi="Times New Roman"/>
          <w:sz w:val="24"/>
          <w:szCs w:val="24"/>
        </w:rPr>
        <w:t>s largest trading partners with the exception of China. In contrast, in 2017 the EU imposes a tariff averaging 5.1 percent for agricultural products from Morocco, and zero percent for non-agricultural products.</w:t>
      </w:r>
    </w:p>
    <w:p w14:paraId="2AFEF357" w14:textId="77777777" w:rsidR="008575FB" w:rsidRDefault="008575F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eastAsia="Times New Roman" w:hAnsi="Times New Roman" w:cs="Times New Roman"/>
          <w:sz w:val="24"/>
          <w:szCs w:val="24"/>
        </w:rPr>
      </w:pPr>
    </w:p>
    <w:p w14:paraId="11CA2773" w14:textId="77777777" w:rsidR="008575FB" w:rsidRDefault="00176BD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eastAsia="Times New Roman" w:hAnsi="Times New Roman" w:cs="Times New Roman"/>
          <w:sz w:val="24"/>
          <w:szCs w:val="24"/>
        </w:rPr>
      </w:pPr>
      <w:r>
        <w:rPr>
          <w:rFonts w:ascii="Times New Roman" w:hAnsi="Times New Roman"/>
          <w:sz w:val="24"/>
          <w:szCs w:val="24"/>
        </w:rPr>
        <w:t>As a testament of Morocco</w:t>
      </w:r>
      <w:r>
        <w:rPr>
          <w:rFonts w:ascii="Times New Roman" w:hAnsi="Times New Roman"/>
          <w:sz w:val="24"/>
          <w:szCs w:val="24"/>
        </w:rPr>
        <w:t>’</w:t>
      </w:r>
      <w:r>
        <w:rPr>
          <w:rFonts w:ascii="Times New Roman" w:hAnsi="Times New Roman"/>
          <w:sz w:val="24"/>
          <w:szCs w:val="24"/>
        </w:rPr>
        <w:t>s potential for further trade liberalization, it is important to note that a large number of tariff line items (792 in 2016) still face applied customs duty higher than the bound duty, a direct violation of Morocco</w:t>
      </w:r>
      <w:r>
        <w:rPr>
          <w:rFonts w:ascii="Times New Roman" w:hAnsi="Times New Roman"/>
          <w:sz w:val="24"/>
          <w:szCs w:val="24"/>
        </w:rPr>
        <w:t>’</w:t>
      </w:r>
      <w:r>
        <w:rPr>
          <w:rFonts w:ascii="Times New Roman" w:hAnsi="Times New Roman"/>
          <w:sz w:val="24"/>
          <w:szCs w:val="24"/>
        </w:rPr>
        <w:t>s commitments under WTO rules. In additi</w:t>
      </w:r>
      <w:r>
        <w:rPr>
          <w:rFonts w:ascii="Times New Roman" w:hAnsi="Times New Roman"/>
          <w:sz w:val="24"/>
          <w:szCs w:val="24"/>
        </w:rPr>
        <w:t xml:space="preserve">on to import duties, imports also face a </w:t>
      </w:r>
      <w:proofErr w:type="spellStart"/>
      <w:r>
        <w:rPr>
          <w:rFonts w:ascii="Times New Roman" w:hAnsi="Times New Roman"/>
          <w:sz w:val="24"/>
          <w:szCs w:val="24"/>
        </w:rPr>
        <w:t>parafiscal</w:t>
      </w:r>
      <w:proofErr w:type="spellEnd"/>
      <w:r>
        <w:rPr>
          <w:rFonts w:ascii="Times New Roman" w:hAnsi="Times New Roman"/>
          <w:sz w:val="24"/>
          <w:szCs w:val="24"/>
        </w:rPr>
        <w:t xml:space="preserve"> tax (0.25% of goods value) and domestic consumption taxes.  </w:t>
      </w:r>
    </w:p>
    <w:p w14:paraId="13582E43" w14:textId="77777777" w:rsidR="008575FB" w:rsidRDefault="008575F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eastAsia="Times New Roman" w:hAnsi="Times New Roman" w:cs="Times New Roman"/>
          <w:sz w:val="24"/>
          <w:szCs w:val="24"/>
        </w:rPr>
      </w:pPr>
    </w:p>
    <w:p w14:paraId="38F37EC2" w14:textId="77777777" w:rsidR="00EC3131" w:rsidRDefault="00176BDB" w:rsidP="00EC313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hAnsi="Times New Roman"/>
          <w:sz w:val="24"/>
          <w:szCs w:val="24"/>
        </w:rPr>
      </w:pPr>
      <w:r>
        <w:rPr>
          <w:rFonts w:ascii="Times New Roman" w:hAnsi="Times New Roman"/>
          <w:sz w:val="24"/>
          <w:szCs w:val="24"/>
        </w:rPr>
        <w:t>Non-tariff barriers to trade in Morocco are also prevalent. Morocco</w:t>
      </w:r>
      <w:r>
        <w:rPr>
          <w:rFonts w:ascii="Times New Roman" w:hAnsi="Times New Roman"/>
          <w:sz w:val="24"/>
          <w:szCs w:val="24"/>
        </w:rPr>
        <w:t>’</w:t>
      </w:r>
      <w:r>
        <w:rPr>
          <w:rFonts w:ascii="Times New Roman" w:hAnsi="Times New Roman"/>
          <w:sz w:val="24"/>
          <w:szCs w:val="24"/>
        </w:rPr>
        <w:t xml:space="preserve">s imports have a 57.25 percent coverage ratio and 44.55 percent frequency </w:t>
      </w:r>
      <w:r>
        <w:rPr>
          <w:rFonts w:ascii="Times New Roman" w:hAnsi="Times New Roman"/>
          <w:sz w:val="24"/>
          <w:szCs w:val="24"/>
        </w:rPr>
        <w:t xml:space="preserve">ratio for non-tariff measures. All agricultural imports to Morocco face some sort of non-tariff barriers, mostly in the forms of threshold or minimum entry prices, seasonal restrictions, or other forms of quotas. For all imports, the most commonly imposed </w:t>
      </w:r>
      <w:r>
        <w:rPr>
          <w:rFonts w:ascii="Times New Roman" w:hAnsi="Times New Roman"/>
          <w:sz w:val="24"/>
          <w:szCs w:val="24"/>
        </w:rPr>
        <w:t>non-tariff measures are technical barriers to trade, pre-shipment inspection and other formalities.</w:t>
      </w:r>
    </w:p>
    <w:p w14:paraId="705297B7" w14:textId="77777777" w:rsidR="00EC3131" w:rsidRPr="00EC3131" w:rsidRDefault="00EC3131" w:rsidP="00EC313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hAnsi="Times New Roman" w:cs="Times New Roman"/>
          <w:sz w:val="24"/>
          <w:szCs w:val="24"/>
        </w:rPr>
      </w:pPr>
    </w:p>
    <w:p w14:paraId="2B932D03" w14:textId="77777777" w:rsidR="008575FB" w:rsidRDefault="00EC313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hAnsi="Times New Roman" w:cs="Times New Roman"/>
          <w:sz w:val="24"/>
          <w:szCs w:val="24"/>
        </w:rPr>
      </w:pPr>
      <w:r w:rsidRPr="00EC3131">
        <w:rPr>
          <w:rFonts w:ascii="Times New Roman" w:hAnsi="Times New Roman" w:cs="Times New Roman"/>
          <w:sz w:val="24"/>
          <w:szCs w:val="24"/>
        </w:rPr>
        <w:t>In 1982, Morocco’s current account deficit stood just below 2 billion dollars, over 10 percent of its GDP. Over the course of 25 years, the Moroccan economy turned the current account deficit into a surplus, highlighted by a 4 percent current account surplus in 2001 that was largely the result of a devaluation of the currency. Although Morocco had consistently maintained a surplus in services trade, the goods trade balance deteriorated significantly after 2002 due to growing domestic demand. Morocco’s earning from remittances, exports of goods and services were not sufficient to cover the structure trade deficit. The 2008 financial crisis sent Morocco’s current account balance into a significant deficit from which the external trade balance never recovered. Meanwhile, Morocco’s official reserve assets moved hand-in-hand with its current account balance.</w:t>
      </w:r>
    </w:p>
    <w:p w14:paraId="4832845C" w14:textId="77777777" w:rsidR="00EC3131" w:rsidRPr="00EC3131" w:rsidRDefault="00EC313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Times New Roman" w:eastAsia="Times New Roman" w:hAnsi="Times New Roman" w:cs="Times New Roman"/>
          <w:sz w:val="24"/>
          <w:szCs w:val="24"/>
        </w:rPr>
      </w:pPr>
    </w:p>
    <w:p w14:paraId="550CA712" w14:textId="41E09DA3" w:rsidR="008575FB" w:rsidRDefault="00176BD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pPr>
      <w:r>
        <w:rPr>
          <w:rFonts w:ascii="Times New Roman" w:hAnsi="Times New Roman"/>
          <w:sz w:val="24"/>
          <w:szCs w:val="24"/>
        </w:rPr>
        <w:t>In spite of progressive trade liberalization, Morocco</w:t>
      </w:r>
      <w:r>
        <w:rPr>
          <w:rFonts w:ascii="Times New Roman" w:hAnsi="Times New Roman"/>
          <w:sz w:val="24"/>
          <w:szCs w:val="24"/>
        </w:rPr>
        <w:t>’</w:t>
      </w:r>
      <w:r>
        <w:rPr>
          <w:rFonts w:ascii="Times New Roman" w:hAnsi="Times New Roman"/>
          <w:sz w:val="24"/>
          <w:szCs w:val="24"/>
        </w:rPr>
        <w:t xml:space="preserve">s </w:t>
      </w:r>
      <w:r>
        <w:rPr>
          <w:rFonts w:ascii="Times New Roman" w:hAnsi="Times New Roman"/>
          <w:sz w:val="24"/>
          <w:szCs w:val="24"/>
        </w:rPr>
        <w:t>current account deficit has persisted and threatened future growth of the economy. Morocco</w:t>
      </w:r>
      <w:r>
        <w:rPr>
          <w:rFonts w:ascii="Times New Roman" w:hAnsi="Times New Roman"/>
          <w:sz w:val="24"/>
          <w:szCs w:val="24"/>
        </w:rPr>
        <w:t>’</w:t>
      </w:r>
      <w:r>
        <w:rPr>
          <w:rFonts w:ascii="Times New Roman" w:hAnsi="Times New Roman"/>
          <w:sz w:val="24"/>
          <w:szCs w:val="24"/>
        </w:rPr>
        <w:t>s experience in this regard seems to echo the majority of findings in empirical literature, that imports tend to grow faster as a result of trade liberalization than</w:t>
      </w:r>
      <w:r>
        <w:rPr>
          <w:rFonts w:ascii="Times New Roman" w:hAnsi="Times New Roman"/>
          <w:sz w:val="24"/>
          <w:szCs w:val="24"/>
        </w:rPr>
        <w:t xml:space="preserve"> exports. Despite theoretical ambiguity, existing literature and international experience affirms that trade liberalization policies have a direct </w:t>
      </w:r>
      <w:r w:rsidR="008239EF">
        <w:rPr>
          <w:rFonts w:ascii="Times New Roman" w:hAnsi="Times New Roman"/>
          <w:sz w:val="24"/>
          <w:szCs w:val="24"/>
        </w:rPr>
        <w:t>causal</w:t>
      </w:r>
      <w:r>
        <w:rPr>
          <w:rFonts w:ascii="Times New Roman" w:hAnsi="Times New Roman"/>
          <w:sz w:val="24"/>
          <w:szCs w:val="24"/>
        </w:rPr>
        <w:t xml:space="preserve"> relationship with deteriorations in current account balances.  </w:t>
      </w:r>
      <w:r>
        <w:rPr>
          <w:rFonts w:ascii="Arial Unicode MS" w:eastAsia="Arial Unicode MS" w:hAnsi="Arial Unicode MS" w:cs="Arial Unicode MS"/>
          <w:sz w:val="24"/>
          <w:szCs w:val="24"/>
        </w:rPr>
        <w:br w:type="page"/>
      </w:r>
    </w:p>
    <w:p w14:paraId="61723BB9" w14:textId="77777777" w:rsidR="008575FB" w:rsidRDefault="00176BDB" w:rsidP="007508AF">
      <w:pPr>
        <w:pStyle w:val="Default"/>
        <w:spacing w:line="280" w:lineRule="atLeast"/>
        <w:jc w:val="center"/>
        <w:rPr>
          <w:rFonts w:ascii="Times New Roman" w:eastAsia="Times New Roman" w:hAnsi="Times New Roman" w:cs="Times New Roman"/>
          <w:sz w:val="24"/>
          <w:szCs w:val="24"/>
        </w:rPr>
      </w:pPr>
      <w:r>
        <w:rPr>
          <w:rFonts w:ascii="Times New Roman" w:hAnsi="Times New Roman"/>
          <w:sz w:val="24"/>
          <w:szCs w:val="24"/>
        </w:rPr>
        <w:lastRenderedPageBreak/>
        <w:t>References</w:t>
      </w:r>
    </w:p>
    <w:p w14:paraId="766A0E68" w14:textId="77777777" w:rsidR="008575FB" w:rsidRDefault="008575FB">
      <w:pPr>
        <w:pStyle w:val="Default"/>
        <w:spacing w:line="280" w:lineRule="atLeast"/>
        <w:rPr>
          <w:rFonts w:ascii="Times New Roman" w:eastAsia="Times New Roman" w:hAnsi="Times New Roman" w:cs="Times New Roman"/>
          <w:sz w:val="24"/>
          <w:szCs w:val="24"/>
        </w:rPr>
      </w:pPr>
    </w:p>
    <w:p w14:paraId="5DB7A2B1" w14:textId="77777777" w:rsidR="008575FB" w:rsidRDefault="00176BDB">
      <w:pPr>
        <w:pStyle w:val="Default"/>
        <w:spacing w:after="120"/>
        <w:ind w:left="567" w:hanging="567"/>
        <w:jc w:val="both"/>
        <w:rPr>
          <w:rFonts w:ascii="Times New Roman" w:eastAsia="Times New Roman" w:hAnsi="Times New Roman" w:cs="Times New Roman"/>
          <w:sz w:val="24"/>
          <w:szCs w:val="24"/>
        </w:rPr>
      </w:pPr>
      <w:r>
        <w:rPr>
          <w:rFonts w:ascii="Times New Roman" w:hAnsi="Times New Roman"/>
          <w:sz w:val="24"/>
          <w:szCs w:val="24"/>
        </w:rPr>
        <w:t>El-</w:t>
      </w:r>
      <w:proofErr w:type="spellStart"/>
      <w:r>
        <w:rPr>
          <w:rFonts w:ascii="Times New Roman" w:hAnsi="Times New Roman"/>
          <w:sz w:val="24"/>
          <w:szCs w:val="24"/>
        </w:rPr>
        <w:t>Wassal</w:t>
      </w:r>
      <w:proofErr w:type="spellEnd"/>
      <w:r>
        <w:rPr>
          <w:rFonts w:ascii="Times New Roman" w:hAnsi="Times New Roman"/>
          <w:sz w:val="24"/>
          <w:szCs w:val="24"/>
        </w:rPr>
        <w:t xml:space="preserve">, Kamal A. "The </w:t>
      </w:r>
      <w:r>
        <w:rPr>
          <w:rFonts w:ascii="Times New Roman" w:hAnsi="Times New Roman"/>
          <w:sz w:val="24"/>
          <w:szCs w:val="24"/>
        </w:rPr>
        <w:t xml:space="preserve">Impact of Trade Liberalization on Trade Balance in Arab Countries." </w:t>
      </w:r>
      <w:r>
        <w:rPr>
          <w:rFonts w:ascii="Times New Roman" w:hAnsi="Times New Roman"/>
          <w:i/>
          <w:iCs/>
          <w:sz w:val="24"/>
          <w:szCs w:val="24"/>
        </w:rPr>
        <w:t>Journal of Economic &amp; Social Research</w:t>
      </w:r>
      <w:r>
        <w:rPr>
          <w:rFonts w:ascii="Times New Roman" w:hAnsi="Times New Roman"/>
          <w:sz w:val="24"/>
          <w:szCs w:val="24"/>
        </w:rPr>
        <w:t xml:space="preserve"> 14, no. 2 (2012).</w:t>
      </w:r>
    </w:p>
    <w:p w14:paraId="68E94454" w14:textId="77777777" w:rsidR="008575FB" w:rsidRDefault="00176BDB">
      <w:pPr>
        <w:pStyle w:val="Default"/>
        <w:spacing w:after="120"/>
        <w:ind w:left="567" w:hanging="567"/>
        <w:jc w:val="both"/>
        <w:rPr>
          <w:rFonts w:ascii="Times New Roman" w:eastAsia="Times New Roman" w:hAnsi="Times New Roman" w:cs="Times New Roman"/>
          <w:sz w:val="24"/>
          <w:szCs w:val="24"/>
        </w:rPr>
      </w:pPr>
      <w:r>
        <w:rPr>
          <w:rFonts w:ascii="Times New Roman" w:hAnsi="Times New Roman"/>
          <w:sz w:val="24"/>
          <w:szCs w:val="24"/>
        </w:rPr>
        <w:t xml:space="preserve">Krueger, Anne O. "Foreign Trade Regimes and Economic Development: Liberalization Attempts and Consequences Cambridge." </w:t>
      </w:r>
      <w:r>
        <w:rPr>
          <w:rFonts w:ascii="Times New Roman" w:hAnsi="Times New Roman"/>
          <w:i/>
          <w:iCs/>
          <w:sz w:val="24"/>
          <w:szCs w:val="24"/>
        </w:rPr>
        <w:t>MA: Ballinger</w:t>
      </w:r>
      <w:r>
        <w:rPr>
          <w:rFonts w:ascii="Times New Roman" w:hAnsi="Times New Roman"/>
          <w:i/>
          <w:iCs/>
          <w:sz w:val="24"/>
          <w:szCs w:val="24"/>
        </w:rPr>
        <w:t xml:space="preserve"> for NBER</w:t>
      </w:r>
      <w:r>
        <w:rPr>
          <w:rFonts w:ascii="Times New Roman" w:hAnsi="Times New Roman"/>
          <w:sz w:val="24"/>
          <w:szCs w:val="24"/>
        </w:rPr>
        <w:t xml:space="preserve"> (1978).</w:t>
      </w:r>
    </w:p>
    <w:p w14:paraId="57EF3729" w14:textId="77777777" w:rsidR="008575FB" w:rsidRDefault="00176BDB">
      <w:pPr>
        <w:pStyle w:val="Default"/>
        <w:spacing w:after="120"/>
        <w:ind w:left="567" w:hanging="567"/>
        <w:jc w:val="both"/>
        <w:rPr>
          <w:rFonts w:ascii="Times New Roman" w:eastAsia="Times New Roman" w:hAnsi="Times New Roman" w:cs="Times New Roman"/>
          <w:sz w:val="24"/>
          <w:szCs w:val="24"/>
        </w:rPr>
      </w:pPr>
      <w:proofErr w:type="spellStart"/>
      <w:r>
        <w:rPr>
          <w:rFonts w:ascii="Times New Roman" w:hAnsi="Times New Roman"/>
          <w:sz w:val="24"/>
          <w:szCs w:val="24"/>
        </w:rPr>
        <w:t>Ju</w:t>
      </w:r>
      <w:proofErr w:type="spellEnd"/>
      <w:r>
        <w:rPr>
          <w:rFonts w:ascii="Times New Roman" w:hAnsi="Times New Roman"/>
          <w:sz w:val="24"/>
          <w:szCs w:val="24"/>
        </w:rPr>
        <w:t xml:space="preserve">, </w:t>
      </w:r>
      <w:proofErr w:type="spellStart"/>
      <w:r>
        <w:rPr>
          <w:rFonts w:ascii="Times New Roman" w:hAnsi="Times New Roman"/>
          <w:sz w:val="24"/>
          <w:szCs w:val="24"/>
        </w:rPr>
        <w:t>Jiandong</w:t>
      </w:r>
      <w:proofErr w:type="spellEnd"/>
      <w:r>
        <w:rPr>
          <w:rFonts w:ascii="Times New Roman" w:hAnsi="Times New Roman"/>
          <w:sz w:val="24"/>
          <w:szCs w:val="24"/>
        </w:rPr>
        <w:t xml:space="preserve">, Yi Wu, and Li Zeng. "The impact of trade liberalization on the trade balance in developing countries." </w:t>
      </w:r>
      <w:r>
        <w:rPr>
          <w:rFonts w:ascii="Times New Roman" w:hAnsi="Times New Roman"/>
          <w:i/>
          <w:iCs/>
          <w:sz w:val="24"/>
          <w:szCs w:val="24"/>
        </w:rPr>
        <w:t>IMF Staff Papers</w:t>
      </w:r>
      <w:r>
        <w:rPr>
          <w:rFonts w:ascii="Times New Roman" w:hAnsi="Times New Roman"/>
          <w:sz w:val="24"/>
          <w:szCs w:val="24"/>
        </w:rPr>
        <w:t xml:space="preserve"> 57, no. 2 (2010): 427-449.</w:t>
      </w:r>
    </w:p>
    <w:p w14:paraId="0F240846" w14:textId="77777777" w:rsidR="008575FB" w:rsidRDefault="00176BDB">
      <w:pPr>
        <w:pStyle w:val="Default"/>
        <w:spacing w:after="120"/>
        <w:ind w:left="567" w:hanging="567"/>
        <w:jc w:val="both"/>
        <w:rPr>
          <w:rFonts w:ascii="Times New Roman" w:eastAsia="Times New Roman" w:hAnsi="Times New Roman" w:cs="Times New Roman"/>
          <w:sz w:val="24"/>
          <w:szCs w:val="24"/>
        </w:rPr>
      </w:pPr>
      <w:proofErr w:type="spellStart"/>
      <w:r>
        <w:rPr>
          <w:rFonts w:ascii="Times New Roman" w:hAnsi="Times New Roman"/>
          <w:sz w:val="24"/>
          <w:szCs w:val="24"/>
        </w:rPr>
        <w:t>Ostry</w:t>
      </w:r>
      <w:proofErr w:type="spellEnd"/>
      <w:r>
        <w:rPr>
          <w:rFonts w:ascii="Times New Roman" w:hAnsi="Times New Roman"/>
          <w:sz w:val="24"/>
          <w:szCs w:val="24"/>
        </w:rPr>
        <w:t>, Jonathan D., and Andrew K. Rose. "An empirical evaluation of the macro</w:t>
      </w:r>
      <w:r>
        <w:rPr>
          <w:rFonts w:ascii="Times New Roman" w:hAnsi="Times New Roman"/>
          <w:sz w:val="24"/>
          <w:szCs w:val="24"/>
        </w:rPr>
        <w:t xml:space="preserve">economic effects of </w:t>
      </w:r>
      <w:proofErr w:type="spellStart"/>
      <w:r>
        <w:rPr>
          <w:rFonts w:ascii="Times New Roman" w:hAnsi="Times New Roman"/>
          <w:sz w:val="24"/>
          <w:szCs w:val="24"/>
        </w:rPr>
        <w:t>tarrifs</w:t>
      </w:r>
      <w:proofErr w:type="spellEnd"/>
      <w:r>
        <w:rPr>
          <w:rFonts w:ascii="Times New Roman" w:hAnsi="Times New Roman"/>
          <w:sz w:val="24"/>
          <w:szCs w:val="24"/>
        </w:rPr>
        <w:t xml:space="preserve">." </w:t>
      </w:r>
      <w:r>
        <w:rPr>
          <w:rFonts w:ascii="Times New Roman" w:hAnsi="Times New Roman"/>
          <w:i/>
          <w:iCs/>
          <w:sz w:val="24"/>
          <w:szCs w:val="24"/>
        </w:rPr>
        <w:t>Journal of international Money and Finance</w:t>
      </w:r>
      <w:r>
        <w:rPr>
          <w:rFonts w:ascii="Times New Roman" w:hAnsi="Times New Roman"/>
          <w:sz w:val="24"/>
          <w:szCs w:val="24"/>
        </w:rPr>
        <w:t xml:space="preserve"> 11, no. 1 (1992): 63-79.</w:t>
      </w:r>
    </w:p>
    <w:p w14:paraId="745E19E0" w14:textId="77777777" w:rsidR="008575FB" w:rsidRDefault="00176BDB">
      <w:pPr>
        <w:pStyle w:val="Default"/>
        <w:spacing w:after="120"/>
        <w:ind w:left="567" w:hanging="567"/>
        <w:jc w:val="both"/>
        <w:rPr>
          <w:rFonts w:ascii="Times New Roman" w:eastAsia="Times New Roman" w:hAnsi="Times New Roman" w:cs="Times New Roman"/>
          <w:sz w:val="24"/>
          <w:szCs w:val="24"/>
        </w:rPr>
      </w:pPr>
      <w:r>
        <w:rPr>
          <w:rFonts w:ascii="Times New Roman" w:hAnsi="Times New Roman"/>
          <w:sz w:val="24"/>
          <w:szCs w:val="24"/>
        </w:rPr>
        <w:t xml:space="preserve">Parikh, Ashok. "Relationship between trade liberalization, growth, and balance of payments in developing countries: An econometric study." </w:t>
      </w:r>
      <w:r>
        <w:rPr>
          <w:rFonts w:ascii="Times New Roman" w:hAnsi="Times New Roman"/>
          <w:i/>
          <w:iCs/>
          <w:sz w:val="24"/>
          <w:szCs w:val="24"/>
        </w:rPr>
        <w:t>The International T</w:t>
      </w:r>
      <w:r>
        <w:rPr>
          <w:rFonts w:ascii="Times New Roman" w:hAnsi="Times New Roman"/>
          <w:i/>
          <w:iCs/>
          <w:sz w:val="24"/>
          <w:szCs w:val="24"/>
        </w:rPr>
        <w:t>rade Journal</w:t>
      </w:r>
      <w:r>
        <w:rPr>
          <w:rFonts w:ascii="Times New Roman" w:hAnsi="Times New Roman"/>
          <w:sz w:val="24"/>
          <w:szCs w:val="24"/>
        </w:rPr>
        <w:t xml:space="preserve"> 20, no. 4 (2006): 429-467.</w:t>
      </w:r>
    </w:p>
    <w:p w14:paraId="5913AC45" w14:textId="77777777" w:rsidR="008575FB" w:rsidRDefault="00176BDB">
      <w:pPr>
        <w:pStyle w:val="Default"/>
        <w:spacing w:after="120"/>
        <w:ind w:left="567" w:hanging="567"/>
        <w:jc w:val="both"/>
        <w:rPr>
          <w:rFonts w:ascii="Times New Roman" w:eastAsia="Times New Roman" w:hAnsi="Times New Roman" w:cs="Times New Roman"/>
          <w:sz w:val="24"/>
          <w:szCs w:val="24"/>
        </w:rPr>
      </w:pPr>
      <w:r>
        <w:rPr>
          <w:rFonts w:ascii="Times New Roman" w:hAnsi="Times New Roman"/>
          <w:sz w:val="24"/>
          <w:szCs w:val="24"/>
        </w:rPr>
        <w:t>Santos</w:t>
      </w:r>
      <w:r>
        <w:rPr>
          <w:rFonts w:ascii="Arial Unicode MS" w:eastAsia="Arial Unicode MS" w:hAnsi="Arial Unicode MS" w:cs="Arial Unicode MS"/>
          <w:sz w:val="24"/>
          <w:szCs w:val="24"/>
        </w:rPr>
        <w:t>‐</w:t>
      </w:r>
      <w:proofErr w:type="spellStart"/>
      <w:r>
        <w:rPr>
          <w:rFonts w:ascii="Times New Roman" w:hAnsi="Times New Roman"/>
          <w:sz w:val="24"/>
          <w:szCs w:val="24"/>
        </w:rPr>
        <w:t>Paulino</w:t>
      </w:r>
      <w:proofErr w:type="spellEnd"/>
      <w:r>
        <w:rPr>
          <w:rFonts w:ascii="Times New Roman" w:hAnsi="Times New Roman"/>
          <w:sz w:val="24"/>
          <w:szCs w:val="24"/>
        </w:rPr>
        <w:t xml:space="preserve">, Amelia U. "Trade liberalization and the balance of payments in selected developing countries." </w:t>
      </w:r>
      <w:r>
        <w:rPr>
          <w:rFonts w:ascii="Times New Roman" w:hAnsi="Times New Roman"/>
          <w:i/>
          <w:iCs/>
          <w:sz w:val="24"/>
          <w:szCs w:val="24"/>
        </w:rPr>
        <w:t>The Manchester School</w:t>
      </w:r>
      <w:r>
        <w:rPr>
          <w:rFonts w:ascii="Times New Roman" w:hAnsi="Times New Roman"/>
          <w:sz w:val="24"/>
          <w:szCs w:val="24"/>
        </w:rPr>
        <w:t xml:space="preserve"> 72, no. 1 (2004): 100-118.</w:t>
      </w:r>
    </w:p>
    <w:p w14:paraId="62C4C3AF" w14:textId="77777777" w:rsidR="008575FB" w:rsidRDefault="00176BDB">
      <w:pPr>
        <w:pStyle w:val="Default"/>
        <w:spacing w:after="120"/>
        <w:ind w:left="567" w:hanging="567"/>
        <w:jc w:val="both"/>
        <w:rPr>
          <w:rFonts w:ascii="Times New Roman" w:eastAsia="Times New Roman" w:hAnsi="Times New Roman" w:cs="Times New Roman"/>
          <w:sz w:val="24"/>
          <w:szCs w:val="24"/>
        </w:rPr>
      </w:pPr>
      <w:r>
        <w:rPr>
          <w:rFonts w:ascii="Times New Roman" w:hAnsi="Times New Roman"/>
          <w:sz w:val="24"/>
          <w:szCs w:val="24"/>
        </w:rPr>
        <w:t>Santos</w:t>
      </w:r>
      <w:r>
        <w:rPr>
          <w:rFonts w:ascii="Arial Unicode MS" w:eastAsia="Arial Unicode MS" w:hAnsi="Arial Unicode MS" w:cs="Arial Unicode MS"/>
          <w:sz w:val="24"/>
          <w:szCs w:val="24"/>
        </w:rPr>
        <w:t>‐</w:t>
      </w:r>
      <w:proofErr w:type="spellStart"/>
      <w:r>
        <w:rPr>
          <w:rFonts w:ascii="Times New Roman" w:hAnsi="Times New Roman"/>
          <w:sz w:val="24"/>
          <w:szCs w:val="24"/>
        </w:rPr>
        <w:t>Paulino</w:t>
      </w:r>
      <w:proofErr w:type="spellEnd"/>
      <w:r>
        <w:rPr>
          <w:rFonts w:ascii="Times New Roman" w:hAnsi="Times New Roman"/>
          <w:sz w:val="24"/>
          <w:szCs w:val="24"/>
        </w:rPr>
        <w:t xml:space="preserve">, Amelia, and Anthony P. </w:t>
      </w:r>
      <w:proofErr w:type="spellStart"/>
      <w:r>
        <w:rPr>
          <w:rFonts w:ascii="Times New Roman" w:hAnsi="Times New Roman"/>
          <w:sz w:val="24"/>
          <w:szCs w:val="24"/>
        </w:rPr>
        <w:t>Thirlwall</w:t>
      </w:r>
      <w:proofErr w:type="spellEnd"/>
      <w:r>
        <w:rPr>
          <w:rFonts w:ascii="Times New Roman" w:hAnsi="Times New Roman"/>
          <w:sz w:val="24"/>
          <w:szCs w:val="24"/>
        </w:rPr>
        <w:t>. "The i</w:t>
      </w:r>
      <w:r>
        <w:rPr>
          <w:rFonts w:ascii="Times New Roman" w:hAnsi="Times New Roman"/>
          <w:sz w:val="24"/>
          <w:szCs w:val="24"/>
        </w:rPr>
        <w:t xml:space="preserve">mpact of trade liberalization on exports, imports and the balance of payments of developing countries." </w:t>
      </w:r>
      <w:r>
        <w:rPr>
          <w:rFonts w:ascii="Times New Roman" w:hAnsi="Times New Roman"/>
          <w:i/>
          <w:iCs/>
          <w:sz w:val="24"/>
          <w:szCs w:val="24"/>
        </w:rPr>
        <w:t>The Economic Journal</w:t>
      </w:r>
      <w:r>
        <w:rPr>
          <w:rFonts w:ascii="Times New Roman" w:hAnsi="Times New Roman"/>
          <w:sz w:val="24"/>
          <w:szCs w:val="24"/>
        </w:rPr>
        <w:t xml:space="preserve"> 114, no. 493 (2004): F50-F72.</w:t>
      </w:r>
    </w:p>
    <w:p w14:paraId="3193EAA4" w14:textId="71E33C56" w:rsidR="008575FB" w:rsidRDefault="00176BDB">
      <w:pPr>
        <w:pStyle w:val="Default"/>
        <w:spacing w:after="120"/>
        <w:ind w:left="567" w:hanging="567"/>
        <w:jc w:val="both"/>
        <w:rPr>
          <w:rFonts w:ascii="Times New Roman" w:eastAsia="Times New Roman" w:hAnsi="Times New Roman" w:cs="Times New Roman"/>
          <w:sz w:val="24"/>
          <w:szCs w:val="24"/>
        </w:rPr>
      </w:pPr>
      <w:proofErr w:type="spellStart"/>
      <w:r>
        <w:rPr>
          <w:rFonts w:ascii="Times New Roman" w:hAnsi="Times New Roman"/>
          <w:sz w:val="24"/>
          <w:szCs w:val="24"/>
        </w:rPr>
        <w:t>Subasat</w:t>
      </w:r>
      <w:proofErr w:type="spellEnd"/>
      <w:r>
        <w:rPr>
          <w:rFonts w:ascii="Times New Roman" w:hAnsi="Times New Roman"/>
          <w:sz w:val="24"/>
          <w:szCs w:val="24"/>
        </w:rPr>
        <w:t xml:space="preserve">, </w:t>
      </w:r>
      <w:proofErr w:type="spellStart"/>
      <w:r>
        <w:rPr>
          <w:rFonts w:ascii="Times New Roman" w:hAnsi="Times New Roman"/>
          <w:sz w:val="24"/>
          <w:szCs w:val="24"/>
        </w:rPr>
        <w:t>Turan</w:t>
      </w:r>
      <w:proofErr w:type="spellEnd"/>
      <w:r>
        <w:rPr>
          <w:rFonts w:ascii="Times New Roman" w:hAnsi="Times New Roman"/>
          <w:sz w:val="24"/>
          <w:szCs w:val="24"/>
        </w:rPr>
        <w:t>. "Do liberal trade p</w:t>
      </w:r>
      <w:r w:rsidR="007508AF">
        <w:rPr>
          <w:rFonts w:ascii="Times New Roman" w:hAnsi="Times New Roman"/>
          <w:sz w:val="24"/>
          <w:szCs w:val="24"/>
        </w:rPr>
        <w:t>olicies promote trade openness?</w:t>
      </w:r>
      <w:r>
        <w:rPr>
          <w:rFonts w:ascii="Times New Roman" w:hAnsi="Times New Roman"/>
          <w:sz w:val="24"/>
          <w:szCs w:val="24"/>
        </w:rPr>
        <w:t xml:space="preserve">" </w:t>
      </w:r>
      <w:r>
        <w:rPr>
          <w:rFonts w:ascii="Times New Roman" w:hAnsi="Times New Roman"/>
          <w:i/>
          <w:iCs/>
          <w:sz w:val="24"/>
          <w:szCs w:val="24"/>
        </w:rPr>
        <w:t xml:space="preserve">International Review of Applied </w:t>
      </w:r>
      <w:r>
        <w:rPr>
          <w:rFonts w:ascii="Times New Roman" w:hAnsi="Times New Roman"/>
          <w:i/>
          <w:iCs/>
          <w:sz w:val="24"/>
          <w:szCs w:val="24"/>
        </w:rPr>
        <w:t>Economics</w:t>
      </w:r>
      <w:r>
        <w:rPr>
          <w:rFonts w:ascii="Times New Roman" w:hAnsi="Times New Roman"/>
          <w:sz w:val="24"/>
          <w:szCs w:val="24"/>
        </w:rPr>
        <w:t xml:space="preserve"> 22, no. 1 (2008): 45-61.</w:t>
      </w:r>
    </w:p>
    <w:p w14:paraId="53432929" w14:textId="77777777" w:rsidR="007508AF" w:rsidRDefault="00176BDB">
      <w:pPr>
        <w:pStyle w:val="Default"/>
        <w:spacing w:after="120"/>
        <w:ind w:left="567" w:hanging="567"/>
        <w:jc w:val="both"/>
        <w:rPr>
          <w:rFonts w:ascii="Times New Roman" w:hAnsi="Times New Roman"/>
          <w:sz w:val="24"/>
          <w:szCs w:val="24"/>
        </w:rPr>
      </w:pPr>
      <w:proofErr w:type="spellStart"/>
      <w:r>
        <w:rPr>
          <w:rFonts w:ascii="Times New Roman" w:hAnsi="Times New Roman"/>
          <w:sz w:val="24"/>
          <w:szCs w:val="24"/>
        </w:rPr>
        <w:t>Thirlwall</w:t>
      </w:r>
      <w:proofErr w:type="spellEnd"/>
      <w:r>
        <w:rPr>
          <w:rFonts w:ascii="Times New Roman" w:hAnsi="Times New Roman"/>
          <w:sz w:val="24"/>
          <w:szCs w:val="24"/>
        </w:rPr>
        <w:t xml:space="preserve">, A.P. and Gibson, G. </w:t>
      </w:r>
      <w:r>
        <w:rPr>
          <w:rFonts w:ascii="Times New Roman" w:hAnsi="Times New Roman"/>
          <w:i/>
          <w:iCs/>
          <w:sz w:val="24"/>
          <w:szCs w:val="24"/>
        </w:rPr>
        <w:t>Balance of Payments Theory and the United Kingdom Experience</w:t>
      </w:r>
      <w:r>
        <w:rPr>
          <w:rFonts w:ascii="Times New Roman" w:hAnsi="Times New Roman"/>
          <w:sz w:val="24"/>
          <w:szCs w:val="24"/>
        </w:rPr>
        <w:t xml:space="preserve">, London: Macmillan </w:t>
      </w:r>
      <w:r>
        <w:rPr>
          <w:rFonts w:ascii="Times New Roman" w:hAnsi="Times New Roman"/>
          <w:sz w:val="24"/>
          <w:szCs w:val="24"/>
        </w:rPr>
        <w:t>(1992)</w:t>
      </w:r>
      <w:r>
        <w:rPr>
          <w:rFonts w:ascii="Times New Roman" w:hAnsi="Times New Roman"/>
          <w:sz w:val="24"/>
          <w:szCs w:val="24"/>
        </w:rPr>
        <w:t>.</w:t>
      </w:r>
    </w:p>
    <w:p w14:paraId="129D55CB" w14:textId="528EFE8F" w:rsidR="008575FB" w:rsidRDefault="00176BDB">
      <w:pPr>
        <w:pStyle w:val="Default"/>
        <w:spacing w:after="120"/>
        <w:ind w:left="567" w:hanging="567"/>
        <w:jc w:val="both"/>
        <w:sectPr w:rsidR="008575FB">
          <w:headerReference w:type="default" r:id="rId11"/>
          <w:footerReference w:type="default" r:id="rId12"/>
          <w:pgSz w:w="11906" w:h="16838"/>
          <w:pgMar w:top="1134" w:right="1134" w:bottom="1134" w:left="1134" w:header="709" w:footer="850" w:gutter="0"/>
          <w:cols w:space="720"/>
        </w:sectPr>
      </w:pPr>
      <w:r>
        <w:rPr>
          <w:rFonts w:ascii="Times" w:eastAsia="Times" w:hAnsi="Times" w:cs="Times"/>
          <w:sz w:val="21"/>
          <w:szCs w:val="21"/>
        </w:rPr>
        <w:br/>
      </w:r>
    </w:p>
    <w:p w14:paraId="38F119C6" w14:textId="207BA47B" w:rsidR="008575FB" w:rsidRDefault="007508AF">
      <w:pPr>
        <w:pStyle w:val="Body"/>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152400" distB="152400" distL="152400" distR="152400" simplePos="0" relativeHeight="251660288" behindDoc="0" locked="0" layoutInCell="1" allowOverlap="1" wp14:anchorId="7B02682A" wp14:editId="7B6B3A77">
            <wp:simplePos x="0" y="0"/>
            <wp:positionH relativeFrom="margin">
              <wp:posOffset>19685</wp:posOffset>
            </wp:positionH>
            <wp:positionV relativeFrom="line">
              <wp:posOffset>424815</wp:posOffset>
            </wp:positionV>
            <wp:extent cx="6119495" cy="4280535"/>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3">
                      <a:extLst/>
                    </a:blip>
                    <a:stretch>
                      <a:fillRect/>
                    </a:stretch>
                  </pic:blipFill>
                  <pic:spPr>
                    <a:xfrm>
                      <a:off x="0" y="0"/>
                      <a:ext cx="6119495" cy="4280535"/>
                    </a:xfrm>
                    <a:prstGeom prst="rect">
                      <a:avLst/>
                    </a:prstGeom>
                    <a:ln w="12700" cap="flat">
                      <a:noFill/>
                      <a:miter lim="400000"/>
                    </a:ln>
                    <a:effectLst/>
                  </pic:spPr>
                </pic:pic>
              </a:graphicData>
            </a:graphic>
          </wp:anchor>
        </w:drawing>
      </w:r>
      <w:r w:rsidR="00176BDB">
        <w:rPr>
          <w:rFonts w:ascii="Times New Roman" w:hAnsi="Times New Roman"/>
          <w:sz w:val="24"/>
          <w:szCs w:val="24"/>
        </w:rPr>
        <w:t>Appendix 1</w:t>
      </w:r>
      <w:r w:rsidR="00176BDB">
        <w:rPr>
          <w:rFonts w:ascii="Times New Roman" w:eastAsia="Times New Roman" w:hAnsi="Times New Roman" w:cs="Times New Roman"/>
          <w:noProof/>
          <w:sz w:val="24"/>
          <w:szCs w:val="24"/>
        </w:rPr>
        <w:drawing>
          <wp:anchor distT="152400" distB="152400" distL="152400" distR="152400" simplePos="0" relativeHeight="251661312" behindDoc="0" locked="0" layoutInCell="1" allowOverlap="1" wp14:anchorId="3EF1CA04" wp14:editId="5CDFCB7A">
            <wp:simplePos x="0" y="0"/>
            <wp:positionH relativeFrom="margin">
              <wp:posOffset>-6350</wp:posOffset>
            </wp:positionH>
            <wp:positionV relativeFrom="line">
              <wp:posOffset>4797099</wp:posOffset>
            </wp:positionV>
            <wp:extent cx="6120057" cy="4064663"/>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China.png"/>
                    <pic:cNvPicPr>
                      <a:picLocks noChangeAspect="1"/>
                    </pic:cNvPicPr>
                  </pic:nvPicPr>
                  <pic:blipFill>
                    <a:blip r:embed="rId14">
                      <a:extLst/>
                    </a:blip>
                    <a:stretch>
                      <a:fillRect/>
                    </a:stretch>
                  </pic:blipFill>
                  <pic:spPr>
                    <a:xfrm>
                      <a:off x="0" y="0"/>
                      <a:ext cx="6120057" cy="4064663"/>
                    </a:xfrm>
                    <a:prstGeom prst="rect">
                      <a:avLst/>
                    </a:prstGeom>
                    <a:ln w="12700" cap="flat">
                      <a:noFill/>
                      <a:miter lim="400000"/>
                    </a:ln>
                    <a:effectLst/>
                  </pic:spPr>
                </pic:pic>
              </a:graphicData>
            </a:graphic>
          </wp:anchor>
        </w:drawing>
      </w:r>
    </w:p>
    <w:p w14:paraId="14769048" w14:textId="66107594" w:rsidR="008575FB" w:rsidRDefault="008575FB">
      <w:pPr>
        <w:pStyle w:val="Body"/>
        <w:jc w:val="both"/>
        <w:rPr>
          <w:rFonts w:ascii="Times New Roman" w:eastAsia="Times New Roman" w:hAnsi="Times New Roman" w:cs="Times New Roman"/>
          <w:sz w:val="24"/>
          <w:szCs w:val="24"/>
        </w:rPr>
      </w:pPr>
    </w:p>
    <w:p w14:paraId="2389DB59" w14:textId="7E5B40C8" w:rsidR="008575FB" w:rsidRDefault="007508AF">
      <w:pPr>
        <w:pStyle w:val="Body"/>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D21B899" wp14:editId="7DDE467D">
            <wp:extent cx="6119495" cy="4064635"/>
            <wp:effectExtent l="0" t="0" r="1905"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Turkey.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9495" cy="4064635"/>
                    </a:xfrm>
                    <a:prstGeom prst="rect">
                      <a:avLst/>
                    </a:prstGeom>
                    <a:ln w="12700" cap="flat">
                      <a:noFill/>
                      <a:miter lim="400000"/>
                    </a:ln>
                    <a:effectLst/>
                  </pic:spPr>
                </pic:pic>
              </a:graphicData>
            </a:graphic>
          </wp:inline>
        </w:drawing>
      </w:r>
      <w:r>
        <w:rPr>
          <w:rFonts w:ascii="Times New Roman" w:eastAsia="Times New Roman" w:hAnsi="Times New Roman" w:cs="Times New Roman"/>
          <w:noProof/>
          <w:sz w:val="24"/>
          <w:szCs w:val="24"/>
        </w:rPr>
        <w:drawing>
          <wp:anchor distT="152400" distB="152400" distL="152400" distR="152400" simplePos="0" relativeHeight="251662336" behindDoc="0" locked="0" layoutInCell="1" allowOverlap="1" wp14:anchorId="108DE0DD" wp14:editId="34ED5195">
            <wp:simplePos x="0" y="0"/>
            <wp:positionH relativeFrom="margin">
              <wp:posOffset>19050</wp:posOffset>
            </wp:positionH>
            <wp:positionV relativeFrom="page">
              <wp:posOffset>800100</wp:posOffset>
            </wp:positionV>
            <wp:extent cx="6119495" cy="4061460"/>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US.png"/>
                    <pic:cNvPicPr>
                      <a:picLocks noChangeAspect="1"/>
                    </pic:cNvPicPr>
                  </pic:nvPicPr>
                  <pic:blipFill>
                    <a:blip r:embed="rId16">
                      <a:extLst/>
                    </a:blip>
                    <a:stretch>
                      <a:fillRect/>
                    </a:stretch>
                  </pic:blipFill>
                  <pic:spPr>
                    <a:xfrm>
                      <a:off x="0" y="0"/>
                      <a:ext cx="6119495" cy="4061460"/>
                    </a:xfrm>
                    <a:prstGeom prst="rect">
                      <a:avLst/>
                    </a:prstGeom>
                    <a:ln w="12700" cap="flat">
                      <a:noFill/>
                      <a:miter lim="400000"/>
                    </a:ln>
                    <a:effectLst/>
                  </pic:spPr>
                </pic:pic>
              </a:graphicData>
            </a:graphic>
          </wp:anchor>
        </w:drawing>
      </w:r>
    </w:p>
    <w:p w14:paraId="7AB099DA" w14:textId="0D7C8DDE" w:rsidR="008575FB" w:rsidRDefault="008575FB">
      <w:pPr>
        <w:pStyle w:val="Body"/>
        <w:jc w:val="both"/>
        <w:rPr>
          <w:rFonts w:ascii="Times New Roman" w:eastAsia="Times New Roman" w:hAnsi="Times New Roman" w:cs="Times New Roman"/>
          <w:sz w:val="24"/>
          <w:szCs w:val="24"/>
        </w:rPr>
      </w:pPr>
    </w:p>
    <w:p w14:paraId="640B4D0F" w14:textId="2403C2A8" w:rsidR="008575FB" w:rsidRDefault="008575FB">
      <w:pPr>
        <w:pStyle w:val="Body"/>
        <w:jc w:val="both"/>
        <w:rPr>
          <w:rFonts w:ascii="Times New Roman" w:eastAsia="Times New Roman" w:hAnsi="Times New Roman" w:cs="Times New Roman"/>
          <w:sz w:val="24"/>
          <w:szCs w:val="24"/>
        </w:rPr>
      </w:pPr>
    </w:p>
    <w:p w14:paraId="28D552D4" w14:textId="19739C43" w:rsidR="008575FB" w:rsidRPr="007508AF" w:rsidRDefault="008575FB">
      <w:pPr>
        <w:pStyle w:val="Body"/>
        <w:jc w:val="both"/>
        <w:rPr>
          <w:rFonts w:ascii="Times New Roman" w:eastAsia="Times New Roman" w:hAnsi="Times New Roman" w:cs="Times New Roman"/>
          <w:sz w:val="24"/>
          <w:szCs w:val="24"/>
        </w:rPr>
      </w:pPr>
    </w:p>
    <w:sectPr w:rsidR="008575FB" w:rsidRPr="007508AF">
      <w:head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CD714" w14:textId="77777777" w:rsidR="00176BDB" w:rsidRDefault="00176BDB">
      <w:r>
        <w:separator/>
      </w:r>
    </w:p>
  </w:endnote>
  <w:endnote w:type="continuationSeparator" w:id="0">
    <w:p w14:paraId="688B50CC" w14:textId="77777777" w:rsidR="00176BDB" w:rsidRDefault="0017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C9550" w14:textId="77777777" w:rsidR="008575FB" w:rsidRDefault="008575F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76C6E" w14:textId="77777777" w:rsidR="00176BDB" w:rsidRDefault="00176BDB">
      <w:r>
        <w:separator/>
      </w:r>
    </w:p>
  </w:footnote>
  <w:footnote w:type="continuationSeparator" w:id="0">
    <w:p w14:paraId="51E964DB" w14:textId="77777777" w:rsidR="00176BDB" w:rsidRDefault="00176BDB">
      <w:r>
        <w:continuationSeparator/>
      </w:r>
    </w:p>
  </w:footnote>
  <w:footnote w:type="continuationNotice" w:id="1">
    <w:p w14:paraId="7CB00328" w14:textId="77777777" w:rsidR="00176BDB" w:rsidRDefault="00176BDB"/>
  </w:footnote>
  <w:footnote w:id="2">
    <w:p w14:paraId="46E006C5" w14:textId="77777777" w:rsidR="008575FB" w:rsidRDefault="00176BDB">
      <w:pPr>
        <w:pStyle w:val="Footnote"/>
      </w:pPr>
      <w:r>
        <w:rPr>
          <w:rFonts w:ascii="Times New Roman" w:eastAsia="Times New Roman" w:hAnsi="Times New Roman" w:cs="Times New Roman"/>
          <w:vertAlign w:val="superscript"/>
        </w:rPr>
        <w:footnoteRef/>
      </w:r>
      <w:r>
        <w:rPr>
          <w:rFonts w:ascii="Times New Roman" w:hAnsi="Times New Roman"/>
        </w:rPr>
        <w:t xml:space="preserve"> </w:t>
      </w:r>
      <w:r>
        <w:rPr>
          <w:rFonts w:ascii="Times New Roman" w:hAnsi="Times New Roman"/>
        </w:rPr>
        <w:t>In contrast, the European Union have a coverage ratio of 94.31% and a frequency ratio of 93.88% for non-tariff measures.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30D62" w14:textId="77777777" w:rsidR="008575FB" w:rsidRDefault="008575F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0B02B" w14:textId="77777777" w:rsidR="008575FB" w:rsidRDefault="008575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spelling="clean" w:grammar="clean"/>
  <w:revisionView w:formatting="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FB"/>
    <w:rsid w:val="00176BDB"/>
    <w:rsid w:val="00376F17"/>
    <w:rsid w:val="007508AF"/>
    <w:rsid w:val="008239EF"/>
    <w:rsid w:val="008575FB"/>
    <w:rsid w:val="00EC313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CFCE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leTitle1">
    <w:name w:val="Table Title 1"/>
    <w:pPr>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p1">
    <w:name w:val="p1"/>
    <w:basedOn w:val="Normal"/>
    <w:rsid w:val="00EC3131"/>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Helvetica Neue" w:hAnsi="Helvetica Neue"/>
      <w:sz w:val="18"/>
      <w:szCs w:val="18"/>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270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4467</Words>
  <Characters>25468</Characters>
  <Application>Microsoft Macintosh Word</Application>
  <DocSecurity>0</DocSecurity>
  <Lines>212</Lines>
  <Paragraphs>59</Paragraphs>
  <ScaleCrop>false</ScaleCrop>
  <LinksUpToDate>false</LinksUpToDate>
  <CharactersWithSpaces>29876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Tianlang Gao</cp:lastModifiedBy>
  <cp:revision>5</cp:revision>
  <dcterms:created xsi:type="dcterms:W3CDTF">2020-03-14T05:13:00Z</dcterms:created>
  <dcterms:modified xsi:type="dcterms:W3CDTF">2020-03-14T05:21:00Z</dcterms:modified>
</cp:coreProperties>
</file>