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02E" w:rsidRPr="00FD702E" w:rsidRDefault="00FD702E">
      <w:pPr>
        <w:rPr>
          <w:b/>
        </w:rPr>
      </w:pPr>
      <w:r>
        <w:rPr>
          <w:b/>
        </w:rPr>
        <w:t>Paper</w:t>
      </w:r>
    </w:p>
    <w:p w:rsidR="008F6FF5" w:rsidRDefault="00FD702E">
      <w:proofErr w:type="spellStart"/>
      <w:r>
        <w:t>Kt</w:t>
      </w:r>
      <w:proofErr w:type="spellEnd"/>
      <w:r>
        <w:t xml:space="preserve"> = </w:t>
      </w:r>
      <w:proofErr w:type="gramStart"/>
      <w:r>
        <w:t>0.033 ;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= 0.075 ; </w:t>
      </w:r>
      <w:proofErr w:type="spellStart"/>
      <w:r>
        <w:t>ke</w:t>
      </w:r>
      <w:proofErr w:type="spellEnd"/>
      <w:r>
        <w:t>/</w:t>
      </w:r>
      <w:proofErr w:type="spellStart"/>
      <w:r>
        <w:t>kt</w:t>
      </w:r>
      <w:proofErr w:type="spellEnd"/>
      <w:r>
        <w:t xml:space="preserve"> =</w:t>
      </w:r>
      <w:proofErr w:type="spellStart"/>
      <w:r>
        <w:t>aprox</w:t>
      </w:r>
      <w:proofErr w:type="spellEnd"/>
      <w:r>
        <w:t xml:space="preserve">  2</w:t>
      </w:r>
    </w:p>
    <w:p w:rsidR="00FD702E" w:rsidRDefault="00FD702E">
      <w:r>
        <w:t>Less prominent remo</w:t>
      </w:r>
      <w:bookmarkStart w:id="0" w:name="_GoBack"/>
      <w:r>
        <w:t>val</w:t>
      </w:r>
      <w:bookmarkEnd w:id="0"/>
      <w:r>
        <w:t xml:space="preserve"> of ligand-induced </w:t>
      </w:r>
      <w:proofErr w:type="spellStart"/>
      <w:r>
        <w:t>EpoR</w:t>
      </w:r>
      <w:proofErr w:type="spellEnd"/>
      <w:r>
        <w:t xml:space="preserve"> removal (</w:t>
      </w:r>
      <w:proofErr w:type="spellStart"/>
      <w:r>
        <w:t>ke</w:t>
      </w:r>
      <w:proofErr w:type="spellEnd"/>
      <w:r>
        <w:t xml:space="preserve">) (vs ligand independent </w:t>
      </w:r>
      <w:proofErr w:type="spellStart"/>
      <w:r>
        <w:t>EpoR</w:t>
      </w:r>
      <w:proofErr w:type="spellEnd"/>
      <w:r>
        <w:t xml:space="preserve"> removal (</w:t>
      </w:r>
      <w:proofErr w:type="spellStart"/>
      <w:r>
        <w:t>kt</w:t>
      </w:r>
      <w:proofErr w:type="spellEnd"/>
      <w:proofErr w:type="gramStart"/>
      <w:r>
        <w:t>) )</w:t>
      </w:r>
      <w:proofErr w:type="gramEnd"/>
      <w:r>
        <w:t xml:space="preserve"> from the plasma membrane</w:t>
      </w:r>
    </w:p>
    <w:p w:rsidR="00FD702E" w:rsidRPr="00FD702E" w:rsidRDefault="00FD702E">
      <w:pPr>
        <w:rPr>
          <w:b/>
        </w:rPr>
      </w:pPr>
      <w:r>
        <w:rPr>
          <w:b/>
        </w:rPr>
        <w:t>Me</w:t>
      </w:r>
    </w:p>
    <w:p w:rsidR="00FD702E" w:rsidRDefault="00FD702E">
      <w:proofErr w:type="spellStart"/>
      <w:r>
        <w:t>Kt</w:t>
      </w:r>
      <w:proofErr w:type="spellEnd"/>
      <w:r>
        <w:t xml:space="preserve"> = </w:t>
      </w:r>
      <w:proofErr w:type="gramStart"/>
      <w:r>
        <w:t>197.801936 ;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= 230.709304 ; </w:t>
      </w:r>
      <w:proofErr w:type="spellStart"/>
      <w:r>
        <w:t>ke</w:t>
      </w:r>
      <w:proofErr w:type="spellEnd"/>
      <w:r>
        <w:t>/</w:t>
      </w:r>
      <w:proofErr w:type="spellStart"/>
      <w:r>
        <w:t>kt</w:t>
      </w:r>
      <w:proofErr w:type="spellEnd"/>
      <w:r>
        <w:t xml:space="preserve"> =approx. 1</w:t>
      </w:r>
    </w:p>
    <w:p w:rsidR="00FD702E" w:rsidRDefault="00FD702E"/>
    <w:p w:rsidR="00FD702E" w:rsidRDefault="00FD702E"/>
    <w:p w:rsidR="00FD702E" w:rsidRDefault="00DA45CA" w:rsidP="00DA45CA">
      <w:pPr>
        <w:pStyle w:val="Heading1"/>
      </w:pPr>
      <w:r>
        <w:t>Second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proofErr w:type="spellStart"/>
      <w:r>
        <w:rPr>
          <w:rFonts w:ascii="AdvTT3713a231" w:hAnsi="AdvTT3713a231" w:cs="AdvTT3713a231"/>
          <w:sz w:val="18"/>
          <w:szCs w:val="18"/>
        </w:rPr>
        <w:t>Epo</w:t>
      </w:r>
      <w:proofErr w:type="spellEnd"/>
      <w:r>
        <w:rPr>
          <w:rFonts w:ascii="AdvTT3713a231" w:hAnsi="AdvTT3713a231" w:cs="AdvTT3713a231"/>
          <w:sz w:val="18"/>
          <w:szCs w:val="18"/>
        </w:rPr>
        <w:t xml:space="preserve"> is rapidly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>depleted from the medium by endocytosis</w:t>
      </w:r>
      <w:r>
        <w:rPr>
          <w:rFonts w:ascii="AdvTT3713a231" w:hAnsi="AdvTT3713a231" w:cs="AdvTT3713a231"/>
          <w:sz w:val="18"/>
          <w:szCs w:val="18"/>
        </w:rPr>
        <w:t>-</w:t>
      </w:r>
      <w:r>
        <w:rPr>
          <w:rFonts w:ascii="AdvTT3713a231" w:hAnsi="AdvTT3713a231" w:cs="AdvTT3713a231"/>
          <w:sz w:val="18"/>
          <w:szCs w:val="18"/>
        </w:rPr>
        <w:t>mediated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 xml:space="preserve">uptake and subsequent degradation </w:t>
      </w:r>
    </w:p>
    <w:p w:rsidR="00DA45CA" w:rsidRDefault="00DA45CA" w:rsidP="00DA45CA">
      <w:pPr>
        <w:rPr>
          <w:rFonts w:ascii="AdvTT3713a231" w:hAnsi="AdvTT3713a231" w:cs="AdvTT3713a231"/>
          <w:sz w:val="18"/>
          <w:szCs w:val="18"/>
        </w:rPr>
      </w:pPr>
      <w:r>
        <w:rPr>
          <w:noProof/>
        </w:rPr>
        <w:drawing>
          <wp:inline distT="0" distB="0" distL="0" distR="0" wp14:anchorId="159BB178" wp14:editId="7E056E95">
            <wp:extent cx="3019425" cy="20690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26" cy="21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7E73D" wp14:editId="3649E042">
            <wp:extent cx="2695575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CA" w:rsidRDefault="00DA45CA" w:rsidP="00DA45CA">
      <w:pPr>
        <w:pStyle w:val="Heading1"/>
      </w:pPr>
      <w:r>
        <w:t>Third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>To assess dynamic properties that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>determine conversion of ligand binding into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>receptor activation, we derived from the model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>(</w:t>
      </w:r>
      <w:r>
        <w:rPr>
          <w:rFonts w:ascii="AdvTT50a2f13e.I" w:hAnsi="AdvTT50a2f13e.I" w:cs="AdvTT50a2f13e.I"/>
          <w:sz w:val="18"/>
          <w:szCs w:val="18"/>
        </w:rPr>
        <w:t>13</w:t>
      </w:r>
      <w:r>
        <w:rPr>
          <w:rFonts w:ascii="AdvTT3713a231" w:hAnsi="AdvTT3713a231" w:cs="AdvTT3713a231"/>
          <w:sz w:val="18"/>
          <w:szCs w:val="18"/>
        </w:rPr>
        <w:t>) the time-dependent half-life of species in a</w:t>
      </w:r>
    </w:p>
    <w:p w:rsid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 xml:space="preserve">specific </w:t>
      </w:r>
      <w:proofErr w:type="spellStart"/>
      <w:r>
        <w:rPr>
          <w:rFonts w:ascii="AdvTT3713a231" w:hAnsi="AdvTT3713a231" w:cs="AdvTT3713a231"/>
          <w:sz w:val="18"/>
          <w:szCs w:val="18"/>
        </w:rPr>
        <w:t>subcompartment</w:t>
      </w:r>
      <w:proofErr w:type="spellEnd"/>
      <w:r>
        <w:rPr>
          <w:rFonts w:ascii="AdvTT3713a231" w:hAnsi="AdvTT3713a231" w:cs="AdvTT3713a231"/>
          <w:sz w:val="18"/>
          <w:szCs w:val="18"/>
        </w:rPr>
        <w:t xml:space="preserve"> (fig. S7 and SOM text).</w:t>
      </w:r>
    </w:p>
    <w:p w:rsidR="00DA45CA" w:rsidRP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b/>
          <w:sz w:val="18"/>
          <w:szCs w:val="18"/>
        </w:rPr>
      </w:pPr>
      <w:r>
        <w:rPr>
          <w:rFonts w:ascii="AdvTT3713a231" w:hAnsi="AdvTT3713a231" w:cs="AdvTT3713a231"/>
          <w:sz w:val="18"/>
          <w:szCs w:val="18"/>
        </w:rPr>
        <w:t xml:space="preserve">This analysis suggested that </w:t>
      </w:r>
      <w:r w:rsidRPr="00DA45CA">
        <w:rPr>
          <w:rFonts w:ascii="AdvTT3713a231" w:hAnsi="AdvTT3713a231" w:cs="AdvTT3713a231"/>
          <w:b/>
          <w:sz w:val="18"/>
          <w:szCs w:val="18"/>
        </w:rPr>
        <w:t>ligand-induced endocytosis</w:t>
      </w:r>
    </w:p>
    <w:p w:rsidR="00DA45CA" w:rsidRPr="00DA45CA" w:rsidRDefault="00DA45CA" w:rsidP="00DA45CA">
      <w:pPr>
        <w:autoSpaceDE w:val="0"/>
        <w:autoSpaceDN w:val="0"/>
        <w:adjustRightInd w:val="0"/>
        <w:spacing w:after="0" w:line="240" w:lineRule="auto"/>
        <w:rPr>
          <w:rFonts w:ascii="AdvTT3713a231" w:hAnsi="AdvTT3713a231" w:cs="AdvTT3713a231"/>
          <w:b/>
          <w:sz w:val="18"/>
          <w:szCs w:val="18"/>
        </w:rPr>
      </w:pPr>
      <w:r w:rsidRPr="00DA45CA">
        <w:rPr>
          <w:rFonts w:ascii="AdvTT3713a231" w:hAnsi="AdvTT3713a231" w:cs="AdvTT3713a231"/>
          <w:b/>
          <w:sz w:val="18"/>
          <w:szCs w:val="18"/>
        </w:rPr>
        <w:t xml:space="preserve">has an important role in shaping the </w:t>
      </w:r>
      <w:proofErr w:type="spellStart"/>
      <w:proofErr w:type="gramStart"/>
      <w:r w:rsidRPr="00DA45CA">
        <w:rPr>
          <w:rFonts w:ascii="AdvTT3713a231" w:hAnsi="AdvTT3713a231" w:cs="AdvTT3713a231"/>
          <w:b/>
          <w:sz w:val="18"/>
          <w:szCs w:val="18"/>
        </w:rPr>
        <w:t>earlyresponse</w:t>
      </w:r>
      <w:proofErr w:type="spellEnd"/>
      <w:proofErr w:type="gramEnd"/>
    </w:p>
    <w:p w:rsidR="00DA45CA" w:rsidRPr="00DA45CA" w:rsidRDefault="00DA45CA" w:rsidP="00DA45CA">
      <w:pPr>
        <w:rPr>
          <w:b/>
        </w:rPr>
      </w:pPr>
      <w:r w:rsidRPr="00DA45CA">
        <w:rPr>
          <w:rFonts w:ascii="AdvTT3713a231" w:hAnsi="AdvTT3713a231" w:cs="AdvTT3713a231"/>
          <w:b/>
          <w:sz w:val="18"/>
          <w:szCs w:val="18"/>
        </w:rPr>
        <w:t xml:space="preserve">kinetics of </w:t>
      </w:r>
      <w:proofErr w:type="spellStart"/>
      <w:r w:rsidRPr="00DA45CA">
        <w:rPr>
          <w:rFonts w:ascii="AdvTT3713a231" w:hAnsi="AdvTT3713a231" w:cs="AdvTT3713a231"/>
          <w:b/>
          <w:sz w:val="18"/>
          <w:szCs w:val="18"/>
        </w:rPr>
        <w:t>EpoR</w:t>
      </w:r>
      <w:proofErr w:type="spellEnd"/>
      <w:r w:rsidRPr="00DA45CA">
        <w:rPr>
          <w:rFonts w:ascii="AdvTT3713a231" w:hAnsi="AdvTT3713a231" w:cs="AdvTT3713a231"/>
          <w:b/>
          <w:sz w:val="18"/>
          <w:szCs w:val="18"/>
        </w:rPr>
        <w:t xml:space="preserve"> activation</w:t>
      </w:r>
    </w:p>
    <w:sectPr w:rsidR="00DA45CA" w:rsidRPr="00DA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TT3713a23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0a2f13e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2E"/>
    <w:rsid w:val="002C1D81"/>
    <w:rsid w:val="008F6FF5"/>
    <w:rsid w:val="00DA45CA"/>
    <w:rsid w:val="00F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6A"/>
  <w15:chartTrackingRefBased/>
  <w15:docId w15:val="{179CC7D2-5F87-4BF8-8F3C-55FA3299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Toban</dc:creator>
  <cp:keywords/>
  <dc:description/>
  <cp:lastModifiedBy>Gabriel Toban</cp:lastModifiedBy>
  <cp:revision>1</cp:revision>
  <dcterms:created xsi:type="dcterms:W3CDTF">2017-05-04T11:32:00Z</dcterms:created>
  <dcterms:modified xsi:type="dcterms:W3CDTF">2017-05-04T14:27:00Z</dcterms:modified>
</cp:coreProperties>
</file>