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Select frontend framework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[Status](#status)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[Summary](#summary)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[Context](#context)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[Options](#options)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[Decision](#decision)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[Consequences](#consequences)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##Status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Accepted.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##Summary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Для нашего приложения мы решили использовать react typescript.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React целом это очень интерфейс-ориентированный инструмент, существенно упрощающий работу с веб-страницей в браузере.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##Options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3405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стандартность – использование языка SQL в программах стандартизировано международными организациями;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Хорошо, потому что есть </w:t>
      </w:r>
      <w:r w:rsidDel="00000000" w:rsidR="00000000" w:rsidRPr="00000000">
        <w:rPr>
          <w:rFonts w:ascii="Courier New" w:cs="Courier New" w:eastAsia="Courier New" w:hAnsi="Courier New"/>
          <w:color w:val="424242"/>
          <w:highlight w:val="white"/>
          <w:rtl w:val="0"/>
        </w:rPr>
        <w:t xml:space="preserve">независимость от конкретных СУБД – все распространенные СУБД используют SQL, т.к. реляционную базу данных можно перенести с одной СУБД на другую с минимальными доработками;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табличная структура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реляционной БД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хорошо понятна, а потому язык SQL прост для изучения;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создания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интерактивных запросов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– SQL обеспечивает пользователям немедленный доступ к данным, при этом в интерактивном режиме можно получить результат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запроса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за очень короткое время без написания сложной программы;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программного доступа к БД – язык SQL легко использовать в приложениях, которым необходимо обращаться к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базам данных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. Одни и те же операторы SQL употребляются как для интерактивного, так и программного доступа, поэтому части программ, содержащие обращение к БД, можно вначале проверить в интерактивном режиме, а затем встраивать в программу;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обеспечения различного представления данных – с помощью SQL можно представить такую структуру данных, что тот или иной пользователь будет видеть различные их представления. Кроме того, данные из разных частей БД могут быть скомбинированы и представлены в виде одной простой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таблицы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, а значит, представления пригодны для усиления защиты БД и ее настройки под конкретные требования отдельных пользователей;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есть 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поддержка архитектуры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клиент-сервер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– SQL – одно из лучших средств для реализации приложений на платформе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клиент-сервер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. SQL служит связующим звеном между взаимодействующей с пользователем клиентской системой и серверной системой, управляющей БД, позволяя каждой из них сосредоточиться на выполнении своих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сложен в понимании, поэтому является только инструментом программиста.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поддерживает работу только с РБД.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предназначен только для формирования запросов к БД.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##Decision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На начальном этапе планирования мы не знаем точную структуру БД, поэтому она постоянно будет меняться.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##Consequences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пока не столкнулись с какой-либо проблемой в использовании.</w:t>
      </w:r>
    </w:p>
    <w:p w:rsidR="00000000" w:rsidDel="00000000" w:rsidP="00000000" w:rsidRDefault="00000000" w:rsidRPr="00000000" w14:paraId="00000029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Все реальные модели легко спроектировать в виде таблиц в SQL.</w:t>
      </w:r>
    </w:p>
    <w:p w:rsidR="00000000" w:rsidDel="00000000" w:rsidP="00000000" w:rsidRDefault="00000000" w:rsidRPr="00000000" w14:paraId="0000002A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Нет какой-либо избыточности и дублирования благодаря тому, что используем 3-ю нормальную форму.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Deciders: Исламов Яхья, Лежнина Анна, Якушев Павел, Москвичев Михаил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Date: 02.03.2020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