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Faculty Profile: Bismark Agbelie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Assistant Professor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Department: Civil and Environmental Engineering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School: School of Engineering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Email: agbelie@cua.edu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Phone: 202-319-5275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Education: PhD, Transportation Engineering and Infrastructure Systems Management, Purdue University, 2013; MS, Economics, Purdue University, 2012; MSCE, Transportation Engineering, Purdue University, 2010, BSc, Civil Engineering, KNUST-Ghana, 2003. </w:t>
      </w:r>
    </w:p>
    <w:p w:rsidR="00000000" w:rsidDel="00000000" w:rsidP="00000000" w:rsidRDefault="00000000" w:rsidRPr="00000000" w14:paraId="00000008">
      <w:pPr>
        <w:shd w:fill="ffffff" w:val="clear"/>
        <w:spacing w:after="0" w:before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Research Interests and Expertise: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Transportation safety, transportation systems analysis, transportation economics, finance and policy, transportation infrastructure economics and management, econometric and statistical analysis, multi-objective optimization, connected and autonomous vehicles in relation to transportation safety and transportation infrastructure operations and management. </w:t>
      </w:r>
    </w:p>
    <w:p w:rsidR="00000000" w:rsidDel="00000000" w:rsidP="00000000" w:rsidRDefault="00000000" w:rsidRPr="00000000" w14:paraId="0000000A">
      <w:pPr>
        <w:shd w:fill="ffffff" w:val="clear"/>
        <w:spacing w:after="0" w:before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Biography: 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Bismark Agbelie joined the Catholic University of America in 2016 where he is currently an assistant professor in the Department of Civil and Environmental Engineering. Bismark Agbelie has over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years of combined experience as a transportation engineer and a researcher in the fields of transportation design and engineering, transportation asset management, transportation safety, statistics/econometrics, transportation infrastructure science, and economies. His research work has been supported by various agencies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including U.S.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Department of Transportation, Federal Highway administration, Indiana Department of Transportation, and The World Bank. As of now, he has published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peer-reviewed journal articles,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conference papers, and 9 technical reports. He is a reviewer for several transportation and infrastructure journals, currently a panel member of four National Cooperative Highway Research Program (NCHRP) projects from the Transportation Research Board (TRB), and very active in three TRB technical committees: Economics and Finance, Transportation Asset Management. Also, Dr. Agbelie is a Vice Chair for Conferences for the ASCE’s Transportation Development Institute.</w:t>
      </w:r>
    </w:p>
    <w:p w:rsidR="00000000" w:rsidDel="00000000" w:rsidP="00000000" w:rsidRDefault="00000000" w:rsidRPr="00000000" w14:paraId="0000000C">
      <w:pPr>
        <w:shd w:fill="ffffff" w:val="clear"/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Five Selected Papers: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Agbelie, B. R. (2014). An empirical analysis of three econometric frameworks for evaluating economic impacts of transportation infrastructure expenditures across countries.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Transport Policy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304-310.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Agbelie, B. R., and Roshandeh, A. M. (2015). Impacts of signal-related characteristics on crash frequency at urban signalized intersections.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Journal of Transportation Safety &amp; Security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(3), 199-207.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Agbelie, B. R., Labi, S., and Sinha, K. C. (2017). Estimating the marginal costs of bridge damage due to overweight vehicles using a modified equivalent-vehicle methodology and in-service data on life-cycle costs and usage.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Transportation Research Part A: Policy and Practice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275-288.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Agbelie, B., 2021. Impact of Highway Nonuser Revenue on Equity Ratio: Exploratory Analysis. Journal of Infrastructure Systems, 27(3), 04021017.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Jaafaru, H., Agbelie, B. (2022). Bridge maintenance planning framework using machine learning, multi-criteria decision making and evolutionary optimization models. Automation in Construction, 143, 104585.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Activities (please also include STEM education/diversity/outreach activities)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member on DC FUSION Professional Development for STEM teachers in  K-12 educational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16E2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yshortcuts" w:customStyle="1">
    <w:name w:val="yshortcuts"/>
    <w:basedOn w:val="DefaultParagraphFont"/>
    <w:rsid w:val="00FD4B4A"/>
  </w:style>
  <w:style w:type="character" w:styleId="Hyperlink">
    <w:name w:val="Hyperlink"/>
    <w:uiPriority w:val="99"/>
    <w:unhideWhenUsed w:val="1"/>
    <w:rsid w:val="00680F27"/>
    <w:rPr>
      <w:color w:val="0000ff"/>
      <w:u w:val="single"/>
    </w:rPr>
  </w:style>
  <w:style w:type="paragraph" w:styleId="yiv2129127367msonormal" w:customStyle="1">
    <w:name w:val="yiv2129127367msonormal"/>
    <w:basedOn w:val="Normal"/>
    <w:rsid w:val="00EC22AF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237202"/>
    <w:pPr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styleId="BodyTextChar" w:customStyle="1">
    <w:name w:val="Body Text Char"/>
    <w:link w:val="BodyText"/>
    <w:rsid w:val="00237202"/>
    <w:rPr>
      <w:rFonts w:ascii="Times New Roman" w:eastAsia="SimSun" w:hAnsi="Times New Roman"/>
      <w:spacing w:val="-1"/>
    </w:rPr>
  </w:style>
  <w:style w:type="character" w:styleId="style121" w:customStyle="1">
    <w:name w:val="style121"/>
    <w:rsid w:val="00D8468D"/>
    <w:rPr>
      <w:color w:val="000066"/>
    </w:rPr>
  </w:style>
  <w:style w:type="paragraph" w:styleId="headingstyle" w:customStyle="1">
    <w:name w:val="headingstyle"/>
    <w:basedOn w:val="Normal"/>
    <w:rsid w:val="00D6713E"/>
    <w:pPr>
      <w:spacing w:after="100" w:afterAutospacing="1" w:before="100" w:beforeAutospacing="1" w:line="240" w:lineRule="auto"/>
    </w:pPr>
    <w:rPr>
      <w:rFonts w:ascii="Arial" w:cs="Arial" w:eastAsia="Times New Roman" w:hAnsi="Arial"/>
      <w:b w:val="1"/>
      <w:bCs w:val="1"/>
      <w:color w:val="000000"/>
      <w:sz w:val="20"/>
      <w:szCs w:val="20"/>
    </w:rPr>
  </w:style>
  <w:style w:type="character" w:styleId="Strong">
    <w:name w:val="Strong"/>
    <w:uiPriority w:val="22"/>
    <w:qFormat w:val="1"/>
    <w:rsid w:val="0008302A"/>
    <w:rPr>
      <w:b w:val="1"/>
      <w:bCs w:val="1"/>
    </w:rPr>
  </w:style>
  <w:style w:type="character" w:styleId="UnresolvedMention">
    <w:name w:val="Unresolved Mention"/>
    <w:uiPriority w:val="99"/>
    <w:semiHidden w:val="1"/>
    <w:unhideWhenUsed w:val="1"/>
    <w:rsid w:val="005913F9"/>
    <w:rPr>
      <w:color w:val="605e5c"/>
      <w:shd w:color="auto" w:fill="e1dfdd" w:val="clear"/>
    </w:rPr>
  </w:style>
  <w:style w:type="paragraph" w:styleId="ListParagraph">
    <w:name w:val="List Paragraph"/>
    <w:basedOn w:val="Normal"/>
    <w:link w:val="ListParagraphChar"/>
    <w:uiPriority w:val="34"/>
    <w:qFormat w:val="1"/>
    <w:rsid w:val="00CC1FAE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34"/>
    <w:locked w:val="1"/>
    <w:rsid w:val="00CC1FAE"/>
    <w:rPr>
      <w:sz w:val="22"/>
      <w:szCs w:val="22"/>
      <w:lang w:eastAsia="en-US"/>
    </w:rPr>
  </w:style>
  <w:style w:type="character" w:styleId="apple-converted-space" w:customStyle="1">
    <w:name w:val="apple-converted-space"/>
    <w:basedOn w:val="DefaultParagraphFont"/>
    <w:rsid w:val="00456CB5"/>
  </w:style>
  <w:style w:type="character" w:styleId="il" w:customStyle="1">
    <w:name w:val="il"/>
    <w:basedOn w:val="DefaultParagraphFont"/>
    <w:rsid w:val="00456CB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74rdEaXCoUnezLYo0ygPI3CaKQ==">AMUW2mXcEppWdfrOW2k9B6h19YYSfuz9riCujeX/j56uFUuPx9wQmlZDXMOjcOrjaE+WOxhX5SehYa8rrP9ZUjB36ECPRi6dv8hHCQefBnceLHlzJGuMNxE=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2021-01-15T22:41:00Z</dcterms:created>
  <dc:creator>liuhx</dc:creator>
</cp:coreProperties>
</file>