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napToGrid w:val="false"/>
        <w:spacing w:lineRule="auto" w:line="240" w:before="0" w:after="0"/>
        <w:rPr>
          <w:rFonts w:ascii="Times New Roman" w:hAnsi="Times New Roman" w:eastAsia="Times New Roman" w:cs="Times New Roman"/>
          <w:b/>
          <w:color w:val="000000"/>
          <w:lang w:eastAsia="zh-CN"/>
        </w:rPr>
      </w:pPr>
      <w:r>
        <w:rPr>
          <w:rFonts w:eastAsia="Times New Roman" w:cs="Times New Roman" w:ascii="Times New Roman" w:hAnsi="Times New Roman"/>
          <w:b/>
          <w:color w:val="000000"/>
          <w:lang w:eastAsia="zh-CN"/>
        </w:rPr>
        <w:t>Faculty Profile: Christopher Raub</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Assistant Professor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Department: Biomedical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Email: </w:t>
      </w:r>
      <w:hyperlink r:id="rId2">
        <w:r>
          <w:rPr>
            <w:rStyle w:val="Hyperlink"/>
            <w:rFonts w:eastAsia="Times New Roman" w:cs="Times New Roman" w:ascii="Times New Roman" w:hAnsi="Times New Roman"/>
            <w:bCs/>
            <w:lang w:eastAsia="zh-CN"/>
          </w:rPr>
          <w:t>raubc@cua.edu</w:t>
        </w:r>
      </w:hyperlink>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Phone: 202-319-5095</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Education: Ph.D., Biomedical Engineering, University of California, Irvine, 2009</w:t>
      </w:r>
    </w:p>
    <w:p>
      <w:pPr>
        <w:pStyle w:val="Normal"/>
        <w:shd w:fill="FFFFFF" w:val="clear"/>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Tissue engineering, complex </w:t>
      </w:r>
      <w:r>
        <w:rPr>
          <w:rFonts w:eastAsia="Times New Roman" w:cs="Times New Roman" w:ascii="Times New Roman" w:hAnsi="Times New Roman"/>
          <w:bCs/>
          <w:i/>
          <w:iCs/>
          <w:color w:val="000000"/>
          <w:lang w:eastAsia="zh-CN"/>
        </w:rPr>
        <w:t>in vitro</w:t>
      </w:r>
      <w:r>
        <w:rPr>
          <w:rFonts w:eastAsia="Times New Roman" w:cs="Times New Roman" w:ascii="Times New Roman" w:hAnsi="Times New Roman"/>
          <w:bCs/>
          <w:color w:val="000000"/>
          <w:lang w:eastAsia="zh-CN"/>
        </w:rPr>
        <w:t xml:space="preserve"> cancer models, tissues-on-a-chip, mucosal biology, machine learning, biophotonics, tissue polarimetry, digital holographic microscopy, biofabrication, hydrogel materials, microfluidics, collagen network microstructure, tissue mechanics, digital image processing.</w:t>
      </w:r>
    </w:p>
    <w:p>
      <w:pPr>
        <w:pStyle w:val="Normal"/>
        <w:shd w:fill="FFFFFF" w:val="clear"/>
        <w:snapToGrid w:val="false"/>
        <w:spacing w:lineRule="auto" w:line="240" w:before="120" w:after="0"/>
        <w:rPr>
          <w:rFonts w:ascii="Times New Roman" w:hAnsi="Times New Roman" w:eastAsia="Times New Roman" w:cs="Times New Roman"/>
          <w:b/>
          <w:color w:val="000000"/>
          <w:lang w:eastAsia="zh-CN"/>
        </w:rPr>
      </w:pPr>
      <w:r>
        <w:rPr>
          <w:rFonts w:eastAsia="Times New Roman" w:cs="Times New Roman" w:ascii="Times New Roman" w:hAnsi="Times New Roman"/>
          <w:b/>
          <w:color w:val="000000"/>
          <w:lang w:eastAsia="zh-CN"/>
        </w:rPr>
        <w:t xml:space="preserve">Biography: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Chris Raub joined the Catholic University of America in 2014 where he is currently an assistant professor in the Department of Biomedical Engineering. Prior to joining Catholic University, he had postdoctoral appointments in Bioengineering at the University of California, San Diego (F32 postdoctoral fellowship; 2009-2013) and the Department of Pathology at the Keck School of Medicine, University of Southern California (2013-2014). Dr. Raub has published over 40 papers in leading journals as well as numerous conferences proceedings papers and a book chapter. </w:t>
      </w:r>
    </w:p>
    <w:p>
      <w:pPr>
        <w:pStyle w:val="Normal"/>
        <w:shd w:fill="FFFFFF" w:val="clear"/>
        <w:snapToGrid w:val="false"/>
        <w:spacing w:lineRule="auto" w:line="240" w:before="120" w:after="0"/>
        <w:jc w:val="both"/>
        <w:rPr>
          <w:rFonts w:ascii="Times New Roman" w:hAnsi="Times New Roman" w:cs="Times New Roman"/>
          <w:b/>
          <w:bCs/>
        </w:rPr>
      </w:pPr>
      <w:r>
        <w:rPr>
          <w:rFonts w:cs="Times New Roman" w:ascii="Times New Roman" w:hAnsi="Times New Roman"/>
          <w:b/>
          <w:bCs/>
        </w:rPr>
        <w:t>Five Selected Papers:</w:t>
      </w:r>
    </w:p>
    <w:p>
      <w:pPr>
        <w:pStyle w:val="ListParagraph"/>
        <w:numPr>
          <w:ilvl w:val="0"/>
          <w:numId w:val="2"/>
        </w:numPr>
        <w:shd w:fill="FFFFFF" w:val="clear"/>
        <w:autoSpaceDE w:val="false"/>
        <w:spacing w:lineRule="auto" w:line="240" w:before="0" w:after="0"/>
        <w:contextualSpacing/>
        <w:rPr>
          <w:rStyle w:val="Strong"/>
          <w:rFonts w:ascii="Times New Roman" w:hAnsi="Times New Roman" w:cs="Times New Roman"/>
        </w:rPr>
      </w:pPr>
      <w:r>
        <w:rPr>
          <w:rStyle w:val="Strong"/>
          <w:rFonts w:cs="Times New Roman" w:ascii="Times New Roman" w:hAnsi="Times New Roman"/>
          <w:b w:val="false"/>
          <w:bCs w:val="false"/>
        </w:rPr>
        <w:t>Lam VK, Nguyen TC, Chung BM, Nehmetallah G, and CB Raub. Quantitative assessment of cancer cell morphology and motility using telecentric digital holographic microscopy and machine learning. Cytometry A, 93(3):334-345, 2018.</w:t>
      </w:r>
      <w:r>
        <w:rPr>
          <w:rFonts w:cs="Times New Roman" w:ascii="Times New Roman" w:hAnsi="Times New Roman"/>
          <w:b/>
          <w:bCs/>
        </w:rPr>
        <w:t xml:space="preserve"> </w:t>
      </w:r>
      <w:r>
        <w:rPr>
          <w:rFonts w:cs="Times New Roman" w:ascii="Times New Roman" w:hAnsi="Times New Roman"/>
        </w:rPr>
        <w:t>PMID 29283496.</w:t>
      </w:r>
      <w:r>
        <w:rPr>
          <w:rStyle w:val="Strong"/>
          <w:rFonts w:cs="Times New Roman" w:ascii="Times New Roman" w:hAnsi="Times New Roman"/>
        </w:rPr>
        <w:t xml:space="preserve"> </w:t>
      </w:r>
    </w:p>
    <w:p>
      <w:pPr>
        <w:pStyle w:val="ListParagraph"/>
        <w:numPr>
          <w:ilvl w:val="0"/>
          <w:numId w:val="2"/>
        </w:numPr>
        <w:shd w:fill="FFFFFF" w:val="clear"/>
        <w:autoSpaceDE w:val="false"/>
        <w:spacing w:lineRule="auto" w:line="240" w:before="0" w:after="0"/>
        <w:contextualSpacing/>
        <w:rPr>
          <w:rStyle w:val="Strong"/>
          <w:rFonts w:ascii="Times New Roman" w:hAnsi="Times New Roman" w:cs="Times New Roman"/>
        </w:rPr>
      </w:pPr>
      <w:r>
        <w:rPr>
          <w:rStyle w:val="Strong"/>
          <w:rFonts w:cs="Times New Roman" w:ascii="Times New Roman" w:hAnsi="Times New Roman"/>
          <w:b w:val="false"/>
          <w:bCs w:val="false"/>
        </w:rPr>
        <w:t>Lam VK, Nguyen TC, Phan T, Chung BM, Nehmetallah G, and CB Raub. Machine Learning with Optical Phase Signatures for Phenotypic Profiling of Cell Lines. Cytometry A, 2019 (e-published).</w:t>
      </w:r>
      <w:r>
        <w:rPr>
          <w:rFonts w:cs="Times New Roman" w:ascii="Times New Roman" w:hAnsi="Times New Roman"/>
          <w:b/>
          <w:bCs/>
        </w:rPr>
        <w:t xml:space="preserve"> </w:t>
      </w:r>
      <w:r>
        <w:rPr>
          <w:rFonts w:cs="Times New Roman" w:ascii="Times New Roman" w:hAnsi="Times New Roman"/>
        </w:rPr>
        <w:t>PMID31008570.</w:t>
      </w:r>
      <w:r>
        <w:rPr>
          <w:rStyle w:val="Strong"/>
          <w:rFonts w:cs="Times New Roman" w:ascii="Times New Roman" w:hAnsi="Times New Roman"/>
        </w:rPr>
        <w:t xml:space="preserve"> </w:t>
      </w:r>
    </w:p>
    <w:p>
      <w:pPr>
        <w:pStyle w:val="ListParagraph"/>
        <w:numPr>
          <w:ilvl w:val="0"/>
          <w:numId w:val="2"/>
        </w:numPr>
        <w:shd w:fill="FFFFFF" w:val="clear"/>
        <w:autoSpaceDE w:val="false"/>
        <w:spacing w:lineRule="auto" w:line="240" w:before="0" w:after="0"/>
        <w:contextualSpacing/>
        <w:rPr>
          <w:rStyle w:val="Strong"/>
          <w:rFonts w:ascii="Times New Roman" w:hAnsi="Times New Roman" w:cs="Times New Roman"/>
          <w:b w:val="false"/>
          <w:bCs w:val="false"/>
        </w:rPr>
      </w:pPr>
      <w:r>
        <w:rPr>
          <w:rStyle w:val="Strong"/>
          <w:rFonts w:cs="Times New Roman" w:ascii="Times New Roman" w:hAnsi="Times New Roman"/>
          <w:b w:val="false"/>
          <w:bCs w:val="false"/>
        </w:rPr>
        <w:t>Li K, Correa SO, Pham P, Raub CB, and Luo X. Birefringence of flow-assembled chitosan membranes in microfluidics. Biofabrication, 9(3): 034101, 2017. PMID 28664877.</w:t>
      </w:r>
    </w:p>
    <w:p>
      <w:pPr>
        <w:pStyle w:val="ListParagraph"/>
        <w:numPr>
          <w:ilvl w:val="0"/>
          <w:numId w:val="2"/>
        </w:numPr>
        <w:shd w:fill="FFFFFF" w:val="clear"/>
        <w:autoSpaceDE w:val="false"/>
        <w:spacing w:lineRule="auto" w:line="240" w:before="0" w:after="0"/>
        <w:contextualSpacing/>
        <w:rPr>
          <w:rStyle w:val="Strong"/>
          <w:rFonts w:ascii="Times New Roman" w:hAnsi="Times New Roman" w:cs="Times New Roman"/>
          <w:b w:val="false"/>
          <w:bCs w:val="false"/>
        </w:rPr>
      </w:pPr>
      <w:r>
        <w:rPr>
          <w:rStyle w:val="Strong"/>
          <w:rFonts w:cs="Times New Roman" w:ascii="Times New Roman" w:hAnsi="Times New Roman"/>
          <w:b w:val="false"/>
          <w:bCs w:val="false"/>
        </w:rPr>
        <w:t>Rahimi C, Rahimi B, Padova D, Rooholghodos S, Bienek DR, Luo X, Kaufman G, and CB Raub. Oral mucosa-on-a-chip to assess layer-specific responses to bacteria and dental materials. Biomicrofluidics. 12(5): 054106, 2018. PMID 30310527.</w:t>
      </w:r>
    </w:p>
    <w:p>
      <w:pPr>
        <w:pStyle w:val="ListParagraph"/>
        <w:numPr>
          <w:ilvl w:val="0"/>
          <w:numId w:val="2"/>
        </w:numPr>
        <w:shd w:fill="FFFFFF" w:val="clear"/>
        <w:autoSpaceDE w:val="false"/>
        <w:spacing w:lineRule="auto" w:line="240" w:before="0" w:after="0"/>
        <w:contextualSpacing/>
        <w:rPr>
          <w:rStyle w:val="Strong"/>
          <w:rFonts w:ascii="Times New Roman" w:hAnsi="Times New Roman" w:cs="Times New Roman"/>
          <w:b w:val="false"/>
          <w:bCs w:val="false"/>
        </w:rPr>
      </w:pPr>
      <w:r>
        <w:rPr>
          <w:rStyle w:val="Strong"/>
          <w:rFonts w:cs="Times New Roman" w:ascii="Times New Roman" w:hAnsi="Times New Roman"/>
          <w:b w:val="false"/>
          <w:bCs w:val="false"/>
        </w:rPr>
        <w:t>Huynh RN, Nehmetallah G, and CB Raub. Noninvasive assessment of articular cartilage surface damage using reflected polarized light microscopy. Journal of Biomedical Optics, 22(6):65001, 2017. PMID 28586854.</w:t>
      </w:r>
    </w:p>
    <w:p>
      <w:pPr>
        <w:pStyle w:val="ListParagraph"/>
        <w:snapToGrid w:val="false"/>
        <w:spacing w:lineRule="auto" w:line="240" w:before="120" w:after="0"/>
        <w:ind w:start="0" w:end="0"/>
        <w:contextualSpacing w:val="false"/>
        <w:jc w:val="both"/>
        <w:rPr>
          <w:rFonts w:ascii="Times New Roman" w:hAnsi="Times New Roman" w:cs="Times New Roman"/>
          <w:b/>
          <w:bCs/>
        </w:rPr>
      </w:pPr>
      <w:r>
        <w:rPr>
          <w:rFonts w:cs="Times New Roman" w:ascii="Times New Roman" w:hAnsi="Times New Roman"/>
          <w:b/>
          <w:bCs/>
        </w:rPr>
        <w:t>Professional Activities (please also include STEM education/diversity/outreach activities)</w:t>
      </w:r>
    </w:p>
    <w:p>
      <w:pPr>
        <w:pStyle w:val="Normal"/>
        <w:numPr>
          <w:ilvl w:val="0"/>
          <w:numId w:val="1"/>
        </w:numPr>
        <w:spacing w:lineRule="auto" w:line="240" w:before="0" w:after="0"/>
        <w:rPr>
          <w:rFonts w:ascii="Times New Roman" w:hAnsi="Times New Roman" w:cs="Times New Roman"/>
        </w:rPr>
      </w:pPr>
      <w:r>
        <w:rPr>
          <w:rFonts w:cs="Times New Roman" w:ascii="Times New Roman" w:hAnsi="Times New Roman"/>
        </w:rPr>
        <w:t>Mentor, CUA team to the BMES Coulter College for Innovative Biodesign (2016,2019).</w:t>
      </w:r>
    </w:p>
    <w:p>
      <w:pPr>
        <w:pStyle w:val="Normal"/>
        <w:numPr>
          <w:ilvl w:val="0"/>
          <w:numId w:val="1"/>
        </w:numPr>
        <w:spacing w:lineRule="auto" w:line="240" w:before="0" w:after="0"/>
        <w:rPr>
          <w:rFonts w:ascii="Times New Roman" w:hAnsi="Times New Roman" w:cs="Times New Roman"/>
        </w:rPr>
      </w:pPr>
      <w:r>
        <w:rPr>
          <w:rFonts w:cs="Times New Roman" w:ascii="Times New Roman" w:hAnsi="Times New Roman"/>
        </w:rPr>
        <w:t>Faculty mentor, CUA student chapter of the Biomedical Engineering Society (2014-present).</w:t>
      </w:r>
    </w:p>
    <w:p>
      <w:pPr>
        <w:pStyle w:val="Normal"/>
        <w:numPr>
          <w:ilvl w:val="0"/>
          <w:numId w:val="1"/>
        </w:numPr>
        <w:spacing w:lineRule="auto" w:line="240" w:before="0" w:after="0"/>
        <w:rPr>
          <w:rFonts w:ascii="Times New Roman" w:hAnsi="Times New Roman" w:cs="Times New Roman"/>
        </w:rPr>
      </w:pPr>
      <w:r>
        <w:rPr>
          <w:rFonts w:cs="Times New Roman" w:ascii="Times New Roman" w:hAnsi="Times New Roman"/>
        </w:rPr>
        <w:t>Frequent abstract reviewer and resume workshop mentor for the Biomedical Engineering Society annual meeting (2014-present).</w:t>
      </w:r>
    </w:p>
    <w:p>
      <w:pPr>
        <w:pStyle w:val="Normal"/>
        <w:numPr>
          <w:ilvl w:val="0"/>
          <w:numId w:val="1"/>
        </w:numPr>
        <w:spacing w:lineRule="auto" w:line="240" w:before="0" w:after="0"/>
        <w:rPr>
          <w:rFonts w:ascii="Times New Roman" w:hAnsi="Times New Roman" w:cs="Times New Roman"/>
        </w:rPr>
      </w:pPr>
      <w:r>
        <w:rPr>
          <w:rFonts w:cs="Times New Roman" w:ascii="Times New Roman" w:hAnsi="Times New Roman"/>
        </w:rPr>
        <w:t>Served as a mentor to 14 engineering students from underrepresented groups in STEM, out of 29 total mentees (48%), and three female high school volunteers in summer research.</w:t>
      </w:r>
    </w:p>
    <w:p>
      <w:pPr>
        <w:pStyle w:val="Normal"/>
        <w:numPr>
          <w:ilvl w:val="0"/>
          <w:numId w:val="1"/>
        </w:numPr>
        <w:spacing w:lineRule="auto" w:line="240" w:before="0" w:after="0"/>
        <w:rPr>
          <w:rFonts w:ascii="Times New Roman" w:hAnsi="Times New Roman" w:cs="Times New Roman"/>
        </w:rPr>
      </w:pPr>
      <w:r>
        <w:rPr>
          <w:rFonts w:cs="Times New Roman" w:ascii="Times New Roman" w:hAnsi="Times New Roman"/>
        </w:rPr>
        <w:t>Conducted periodic lab tours for K-12 students from Northeast Washington, D.C., and the College Board Upward Bound Program.  Students were from groups under-represented in STEM careers.</w:t>
      </w:r>
    </w:p>
    <w:p>
      <w:pPr>
        <w:pStyle w:val="Normal"/>
        <w:numPr>
          <w:ilvl w:val="0"/>
          <w:numId w:val="1"/>
        </w:numPr>
        <w:spacing w:lineRule="auto" w:line="240" w:before="0" w:after="0"/>
        <w:rPr>
          <w:rFonts w:ascii="Times New Roman" w:hAnsi="Times New Roman" w:cs="Times New Roman"/>
        </w:rPr>
      </w:pPr>
      <w:r>
        <w:rPr>
          <w:rFonts w:cs="Times New Roman" w:ascii="Times New Roman" w:hAnsi="Times New Roman"/>
        </w:rPr>
        <w:t>member, Biomedical Engineering Society, Orthopedic Research Society</w:t>
      </w:r>
    </w:p>
    <w:p>
      <w:pPr>
        <w:pStyle w:val="ListParagraph"/>
        <w:snapToGrid w:val="false"/>
        <w:spacing w:lineRule="auto" w:line="240" w:before="120" w:after="0"/>
        <w:ind w:start="0" w:end="0"/>
        <w:contextualSpacing w:val="false"/>
        <w:jc w:val="both"/>
        <w:rPr>
          <w:rFonts w:ascii="Times New Roman" w:hAnsi="Times New Roman" w:cs="Times New Roman"/>
        </w:rPr>
      </w:pPr>
      <w:r>
        <w:rPr>
          <w:rFonts w:cs="Times New Roman" w:ascii="Times New Roman" w:hAnsi="Times New Roman"/>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abstractNum>
  <w:abstractNum w:abstractNumId="2">
    <w:lvl w:ilvl="0">
      <w:start w:val="1"/>
      <w:numFmt w:val="decimal"/>
      <w:lvlText w:val="[%1]"/>
      <w:lvlJc w:val="start"/>
      <w:pPr>
        <w:tabs>
          <w:tab w:val="num" w:pos="0"/>
        </w:tabs>
        <w:ind w:start="72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Hyper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character" w:styleId="DataField11pt-SingleChar">
    <w:name w:val="Data Field 11pt-Single Char"/>
    <w:qFormat/>
    <w:rPr>
      <w:rFonts w:ascii="Arial" w:hAnsi="Arial" w:eastAsia="Times New Roman" w:cs="Arial"/>
      <w:sz w:val="22"/>
    </w:rPr>
  </w:style>
  <w:style w:type="paragraph" w:styleId="Heading">
    <w:name w:val="Heading"/>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28" w:before="0" w:after="120"/>
      <w:ind w:firstLine="288" w:start="0" w:end="0"/>
      <w:jc w:val="both"/>
    </w:pPr>
    <w:rPr>
      <w:rFonts w:ascii="Times New Roman" w:hAnsi="Times New Roman" w:eastAsia="SimSun;宋体" w:cs="Times New Roman"/>
      <w:spacing w:val="-1"/>
      <w:sz w:val="20"/>
      <w:szCs w:val="20"/>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hanging="0" w:start="720" w:end="0"/>
      <w:contextualSpacing/>
    </w:pPr>
    <w:rPr/>
  </w:style>
  <w:style w:type="paragraph" w:styleId="DataField11pt-Single">
    <w:name w:val="Data Field 11pt-Single"/>
    <w:basedOn w:val="Normal"/>
    <w:qFormat/>
    <w:pPr>
      <w:autoSpaceDE w:val="false"/>
      <w:spacing w:lineRule="auto" w:line="240" w:before="0" w:after="0"/>
    </w:pPr>
    <w:rPr>
      <w:rFonts w:ascii="Arial" w:hAnsi="Arial" w:eastAsia="Times New Roman" w:cs="Arial"/>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ubc@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20</TotalTime>
  <Application>LibreOffice/24.8.4.2$Linux_X86_64 LibreOffice_project/bb3cfa12c7b1bf994ecc5649a80400d06cd71002</Application>
  <AppVersion>15.0000</AppVersion>
  <Pages>1</Pages>
  <Words>412</Words>
  <Characters>2652</Characters>
  <CharactersWithSpaces>3036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2021-01-14T00:20:00Z</dcterms:created>
  <dc:creator>liuhx</dc:creator>
  <dc:description/>
  <cp:keywords/>
  <dc:language>en-US</dc:language>
  <cp:lastModifiedBy/>
  <dcterms:modified xsi:type="dcterms:W3CDTF">2025-01-27T12:11:53Z</dcterms:modified>
  <cp:revision>5</cp:revision>
  <dc:subject/>
  <dc:title/>
</cp:coreProperties>
</file>