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fill="FFFFFF" w:val="clear"/>
        <w:snapToGrid w:val="false"/>
        <w:spacing w:lineRule="auto" w:line="240" w:before="0" w:after="0"/>
        <w:rPr>
          <w:rFonts w:ascii="Times New Roman" w:hAnsi="Times New Roman" w:eastAsia="Times New Roman" w:cs="Times New Roman"/>
          <w:b/>
          <w:b/>
          <w:color w:val="000000"/>
          <w:lang w:eastAsia="zh-CN"/>
        </w:rPr>
      </w:pPr>
      <w:r>
        <w:rPr>
          <w:rFonts w:eastAsia="Times New Roman" w:cs="Times New Roman" w:ascii="Times New Roman" w:hAnsi="Times New Roman"/>
          <w:b/>
          <w:color w:val="000000"/>
          <w:lang w:eastAsia="zh-CN"/>
        </w:rPr>
        <w:t>Faculty Profile: Otto C. Wilson, Jr.</w:t>
      </w:r>
    </w:p>
    <w:p>
      <w:pPr>
        <w:pStyle w:val="Normal"/>
        <w:shd w:fill="FFFFFF" w:val="clear"/>
        <w:snapToGrid w:val="false"/>
        <w:spacing w:lineRule="auto" w:line="240" w:before="0" w:after="0"/>
        <w:rPr/>
      </w:pPr>
      <w:r>
        <w:rPr>
          <w:rFonts w:eastAsia="Times New Roman" w:cs="Times New Roman" w:ascii="Times New Roman" w:hAnsi="Times New Roman"/>
          <w:bCs/>
          <w:color w:val="000000"/>
          <w:lang w:eastAsia="zh-CN"/>
        </w:rPr>
        <w:t xml:space="preserve">Asociate Professor </w:t>
      </w:r>
    </w:p>
    <w:p>
      <w:pPr>
        <w:pStyle w:val="Normal"/>
        <w:shd w:fill="FFFFFF" w:val="clear"/>
        <w:snapToGrid w:val="false"/>
        <w:spacing w:lineRule="auto" w:line="240" w:before="0" w:after="0"/>
        <w:rPr>
          <w:rFonts w:ascii="Times New Roman" w:hAnsi="Times New Roman" w:eastAsia="Times New Roman" w:cs="Times New Roman"/>
          <w:bCs/>
          <w:color w:val="000000"/>
          <w:lang w:eastAsia="zh-CN"/>
        </w:rPr>
      </w:pPr>
      <w:r>
        <w:rPr>
          <w:rFonts w:eastAsia="Times New Roman" w:cs="Times New Roman" w:ascii="Times New Roman" w:hAnsi="Times New Roman"/>
          <w:bCs/>
          <w:color w:val="000000"/>
          <w:lang w:eastAsia="zh-CN"/>
        </w:rPr>
        <w:t>Department: Biomedical Engineering</w:t>
      </w:r>
    </w:p>
    <w:p>
      <w:pPr>
        <w:pStyle w:val="Normal"/>
        <w:shd w:fill="FFFFFF" w:val="clear"/>
        <w:snapToGrid w:val="false"/>
        <w:spacing w:lineRule="auto" w:line="240" w:before="0" w:after="0"/>
        <w:rPr>
          <w:rFonts w:ascii="Times New Roman" w:hAnsi="Times New Roman" w:eastAsia="Times New Roman" w:cs="Times New Roman"/>
          <w:bCs/>
          <w:color w:val="000000"/>
          <w:lang w:eastAsia="zh-CN"/>
        </w:rPr>
      </w:pPr>
      <w:r>
        <w:rPr>
          <w:rFonts w:eastAsia="Times New Roman" w:cs="Times New Roman" w:ascii="Times New Roman" w:hAnsi="Times New Roman"/>
          <w:bCs/>
          <w:color w:val="000000"/>
          <w:lang w:eastAsia="zh-CN"/>
        </w:rPr>
        <w:t>School: School of Engineering</w:t>
      </w:r>
    </w:p>
    <w:p>
      <w:pPr>
        <w:pStyle w:val="Normal"/>
        <w:shd w:fill="FFFFFF" w:val="clear"/>
        <w:snapToGrid w:val="false"/>
        <w:spacing w:lineRule="auto" w:line="240" w:before="0" w:after="0"/>
        <w:rPr>
          <w:rFonts w:ascii="Times New Roman" w:hAnsi="Times New Roman" w:eastAsia="Times New Roman" w:cs="Times New Roman"/>
          <w:bCs/>
          <w:color w:val="000000"/>
          <w:lang w:eastAsia="zh-CN"/>
        </w:rPr>
      </w:pPr>
      <w:r>
        <w:rPr>
          <w:rFonts w:eastAsia="Times New Roman" w:cs="Times New Roman" w:ascii="Times New Roman" w:hAnsi="Times New Roman"/>
          <w:bCs/>
          <w:color w:val="000000"/>
          <w:lang w:eastAsia="zh-CN"/>
        </w:rPr>
        <w:t xml:space="preserve">Email: </w:t>
      </w:r>
      <w:hyperlink r:id="rId2">
        <w:r>
          <w:rPr>
            <w:rStyle w:val="InternetLink"/>
            <w:rFonts w:eastAsia="Times New Roman" w:cs="Times New Roman" w:ascii="Times New Roman" w:hAnsi="Times New Roman"/>
            <w:bCs/>
            <w:lang w:eastAsia="zh-CN"/>
          </w:rPr>
          <w:t>wilsono@cua.edu</w:t>
        </w:r>
      </w:hyperlink>
    </w:p>
    <w:p>
      <w:pPr>
        <w:pStyle w:val="Normal"/>
        <w:shd w:fill="FFFFFF" w:val="clear"/>
        <w:snapToGrid w:val="false"/>
        <w:spacing w:lineRule="auto" w:line="240" w:before="0" w:after="0"/>
        <w:rPr>
          <w:rFonts w:ascii="Times New Roman" w:hAnsi="Times New Roman" w:eastAsia="Times New Roman" w:cs="Times New Roman"/>
          <w:bCs/>
          <w:color w:val="000000"/>
          <w:lang w:eastAsia="zh-CN"/>
        </w:rPr>
      </w:pPr>
      <w:r>
        <w:rPr>
          <w:rFonts w:eastAsia="Times New Roman" w:cs="Times New Roman" w:ascii="Times New Roman" w:hAnsi="Times New Roman"/>
          <w:bCs/>
          <w:color w:val="000000"/>
          <w:lang w:eastAsia="zh-CN"/>
        </w:rPr>
        <w:t>Phone: 202-319-5822</w:t>
      </w:r>
    </w:p>
    <w:p>
      <w:pPr>
        <w:pStyle w:val="Normal"/>
        <w:shd w:fill="FFFFFF" w:val="clear"/>
        <w:snapToGrid w:val="false"/>
        <w:spacing w:lineRule="auto" w:line="240" w:before="0" w:after="0"/>
        <w:rPr>
          <w:rFonts w:ascii="Times New Roman" w:hAnsi="Times New Roman" w:eastAsia="Times New Roman" w:cs="Times New Roman"/>
          <w:bCs/>
          <w:color w:val="000000"/>
          <w:lang w:eastAsia="zh-CN"/>
        </w:rPr>
      </w:pPr>
      <w:r>
        <w:rPr>
          <w:rFonts w:eastAsia="Times New Roman" w:cs="Times New Roman" w:ascii="Times New Roman" w:hAnsi="Times New Roman"/>
          <w:bCs/>
          <w:color w:val="000000"/>
          <w:lang w:eastAsia="zh-CN"/>
        </w:rPr>
        <w:t>Education: Ph.D., Ceramic Science and Engineering, Rutgers University, 1995</w:t>
      </w:r>
    </w:p>
    <w:p>
      <w:pPr>
        <w:pStyle w:val="Normal"/>
        <w:shd w:fill="FFFFFF" w:val="clear"/>
        <w:snapToGrid w:val="false"/>
        <w:spacing w:lineRule="auto" w:line="240" w:before="120" w:after="0"/>
        <w:rPr>
          <w:rFonts w:ascii="Times New Roman" w:hAnsi="Times New Roman" w:eastAsia="Times New Roman" w:cs="Times New Roman"/>
          <w:bCs/>
          <w:color w:val="000000"/>
          <w:lang w:eastAsia="zh-CN"/>
        </w:rPr>
      </w:pPr>
      <w:r>
        <w:rPr>
          <w:rFonts w:eastAsia="Times New Roman" w:cs="Times New Roman" w:ascii="Times New Roman" w:hAnsi="Times New Roman"/>
          <w:b/>
          <w:color w:val="000000"/>
          <w:lang w:eastAsia="zh-CN"/>
        </w:rPr>
        <w:t>Research Interests and Expertise:</w:t>
      </w:r>
      <w:r>
        <w:rPr>
          <w:rFonts w:eastAsia="Times New Roman" w:cs="Times New Roman" w:ascii="Times New Roman" w:hAnsi="Times New Roman"/>
          <w:bCs/>
          <w:color w:val="000000"/>
          <w:lang w:eastAsia="zh-CN"/>
        </w:rPr>
        <w:t xml:space="preserve"> </w:t>
      </w:r>
    </w:p>
    <w:p>
      <w:pPr>
        <w:pStyle w:val="Normal"/>
        <w:shd w:fill="FFFFFF" w:val="clear"/>
        <w:snapToGrid w:val="false"/>
        <w:spacing w:lineRule="auto" w:line="240" w:before="0" w:after="0"/>
        <w:rPr>
          <w:rFonts w:ascii="Times New Roman" w:hAnsi="Times New Roman" w:eastAsia="Times New Roman" w:cs="Times New Roman"/>
          <w:bCs/>
          <w:color w:val="000000"/>
          <w:lang w:eastAsia="zh-CN"/>
        </w:rPr>
      </w:pPr>
      <w:r>
        <w:rPr>
          <w:rFonts w:eastAsia="Times New Roman" w:cs="Times New Roman" w:ascii="Times New Roman" w:hAnsi="Times New Roman"/>
          <w:bCs/>
          <w:color w:val="000000"/>
          <w:lang w:eastAsia="zh-CN"/>
        </w:rPr>
        <w:t>Bone Tissue Engineering, Tissue Origami Engineering, Electron Microscopy (SEM, TEM) and Diffraction, Plant Based Biomaterials for Medicine, Healing, and Nutrition, Glucose Metabolism and Metabolic Syndrome, Biomineralization, Quantum Biological Processes, Microtubules, and Quasicrystals.</w:t>
      </w:r>
    </w:p>
    <w:p>
      <w:pPr>
        <w:pStyle w:val="Normal"/>
        <w:shd w:fill="FFFFFF" w:val="clear"/>
        <w:snapToGrid w:val="false"/>
        <w:spacing w:lineRule="auto" w:line="240" w:before="120" w:after="0"/>
        <w:rPr>
          <w:rFonts w:ascii="Times New Roman" w:hAnsi="Times New Roman" w:eastAsia="Times New Roman" w:cs="Times New Roman"/>
          <w:b/>
          <w:b/>
          <w:color w:val="000000"/>
          <w:lang w:eastAsia="zh-CN"/>
        </w:rPr>
      </w:pPr>
      <w:r>
        <w:rPr>
          <w:rFonts w:eastAsia="Times New Roman" w:cs="Times New Roman" w:ascii="Times New Roman" w:hAnsi="Times New Roman"/>
          <w:b/>
          <w:color w:val="000000"/>
          <w:lang w:eastAsia="zh-CN"/>
        </w:rPr>
        <w:t xml:space="preserve">Biography: </w:t>
      </w:r>
    </w:p>
    <w:p>
      <w:pPr>
        <w:pStyle w:val="Normal"/>
        <w:spacing w:lineRule="auto" w:line="240"/>
        <w:rPr>
          <w:rFonts w:ascii="Times New Roman" w:hAnsi="Times New Roman" w:cs="Times New Roman"/>
        </w:rPr>
      </w:pPr>
      <w:r>
        <w:rPr>
          <w:rFonts w:cs="Times New Roman" w:ascii="Times New Roman" w:hAnsi="Times New Roman"/>
          <w:color w:val="222222"/>
          <w:shd w:fill="FFFFFF" w:val="clear"/>
        </w:rPr>
        <w:t>Dr. Otto C. Wilson, Jr. is an Associate Professor in the Department of Biomedical Engineering. He earned his BS, MS, and PhD degrees in Ceramic Science and Engineering from Rutgers University and conducted Postdoctoral research on machinable dental ceramics and novel synthesis methods for hydroxyapatite based composites at the University of Maryland and Johns Hopkins Medical Campus in 1996 and 1997.Otto was awarded an NSF CAREER Award for his work related to Bone Inspiration in Research and Education. Otto is passionate about K-12 and undergraduate/graduate education. He enjoys designing art and reading enhanced STEM learning modules, curriculum, and dynamic children's stories to help young scholars learn at their full potential and explore the wonders of the universe from Quarks to Quasars and everything in between.</w:t>
      </w:r>
    </w:p>
    <w:p>
      <w:pPr>
        <w:pStyle w:val="Normal"/>
        <w:shd w:fill="FFFFFF" w:val="clear"/>
        <w:snapToGrid w:val="false"/>
        <w:spacing w:lineRule="auto" w:line="240" w:before="120" w:after="0"/>
        <w:jc w:val="both"/>
        <w:rPr>
          <w:rFonts w:ascii="Times New Roman" w:hAnsi="Times New Roman" w:cs="Times New Roman"/>
          <w:b/>
          <w:b/>
          <w:bCs/>
        </w:rPr>
      </w:pPr>
      <w:r>
        <w:rPr>
          <w:rFonts w:cs="Times New Roman" w:ascii="Times New Roman" w:hAnsi="Times New Roman"/>
          <w:b/>
          <w:bCs/>
        </w:rPr>
        <w:t>Five Selected Papers:</w:t>
      </w:r>
    </w:p>
    <w:p>
      <w:pPr>
        <w:pStyle w:val="FormField"/>
        <w:numPr>
          <w:ilvl w:val="0"/>
          <w:numId w:val="2"/>
        </w:numPr>
        <w:rPr>
          <w:sz w:val="24"/>
        </w:rPr>
      </w:pPr>
      <w:r>
        <w:rPr>
          <w:sz w:val="24"/>
        </w:rPr>
        <w:t xml:space="preserve">Omokanwaye T, </w:t>
      </w:r>
      <w:r>
        <w:rPr>
          <w:b/>
          <w:sz w:val="24"/>
        </w:rPr>
        <w:t>Wilson Jr OC</w:t>
      </w:r>
      <w:r>
        <w:rPr>
          <w:sz w:val="24"/>
        </w:rPr>
        <w:t>, Gugssa A, Anderson WA. (2015) Biomineralization of nanoscale single crystal hydroxyapatite. Mater Sci Eng C, 56:84-87.</w:t>
      </w:r>
    </w:p>
    <w:p>
      <w:pPr>
        <w:pStyle w:val="FormField"/>
        <w:numPr>
          <w:ilvl w:val="0"/>
          <w:numId w:val="2"/>
        </w:numPr>
        <w:rPr>
          <w:sz w:val="24"/>
        </w:rPr>
      </w:pPr>
      <w:r>
        <w:rPr>
          <w:sz w:val="24"/>
        </w:rPr>
        <w:t xml:space="preserve">Alshehri AM, </w:t>
      </w:r>
      <w:r>
        <w:rPr>
          <w:b/>
          <w:sz w:val="24"/>
        </w:rPr>
        <w:t>Wilson Jr OC</w:t>
      </w:r>
      <w:r>
        <w:rPr>
          <w:sz w:val="24"/>
        </w:rPr>
        <w:t>, Dahal B, Philip J, Luo X, Raub CB. (2017) Magnetic nanoparticle-loaded alginate beads for local micro-actuation of in vitro tissue constructs. Colloids and Surfaces B: Biointerfaces 159:945-955.</w:t>
      </w:r>
    </w:p>
    <w:p>
      <w:pPr>
        <w:pStyle w:val="FormField"/>
        <w:numPr>
          <w:ilvl w:val="0"/>
          <w:numId w:val="2"/>
        </w:numPr>
        <w:rPr>
          <w:sz w:val="24"/>
        </w:rPr>
      </w:pPr>
      <w:r>
        <w:rPr>
          <w:b/>
          <w:color w:val="000000"/>
          <w:sz w:val="24"/>
          <w:shd w:fill="FFFFFF" w:val="clear"/>
        </w:rPr>
        <w:t>Wilson Jr OC</w:t>
      </w:r>
      <w:r>
        <w:rPr>
          <w:color w:val="000000"/>
          <w:sz w:val="24"/>
          <w:shd w:fill="FFFFFF" w:val="clear"/>
        </w:rPr>
        <w:t xml:space="preserve">, Armstrong S. (2019) The Use of Instructional Coaching and Analogy to Enhance STREAM Professional Development for Teacher Quality Improvement. in </w:t>
      </w:r>
      <w:r>
        <w:rPr>
          <w:i/>
          <w:color w:val="000000"/>
          <w:sz w:val="24"/>
          <w:shd w:fill="FFFFFF" w:val="clear"/>
        </w:rPr>
        <w:t>K-12 STEM Education in Urban Learning Environments</w:t>
      </w:r>
      <w:r>
        <w:rPr>
          <w:color w:val="000000"/>
          <w:sz w:val="24"/>
          <w:shd w:fill="FFFFFF" w:val="clear"/>
        </w:rPr>
        <w:t>, IGI Global, Hershey, PA, pp 95-120.</w:t>
      </w:r>
    </w:p>
    <w:p>
      <w:pPr>
        <w:pStyle w:val="FormField"/>
        <w:numPr>
          <w:ilvl w:val="0"/>
          <w:numId w:val="2"/>
        </w:numPr>
        <w:rPr>
          <w:sz w:val="24"/>
        </w:rPr>
      </w:pPr>
      <w:r>
        <w:rPr>
          <w:b/>
          <w:sz w:val="24"/>
        </w:rPr>
        <w:t xml:space="preserve">Wilson Jr OC. </w:t>
      </w:r>
      <w:r>
        <w:rPr>
          <w:sz w:val="24"/>
        </w:rPr>
        <w:t>(2021), Biobased Materials for Medical Applications. In: Narayan R (eds) Biomedical Materials (Second Edition), Springer (NY),139-193.</w:t>
      </w:r>
    </w:p>
    <w:p>
      <w:pPr>
        <w:pStyle w:val="FormField"/>
        <w:numPr>
          <w:ilvl w:val="0"/>
          <w:numId w:val="2"/>
        </w:numPr>
        <w:rPr>
          <w:sz w:val="24"/>
        </w:rPr>
      </w:pPr>
      <w:r>
        <w:rPr>
          <w:sz w:val="24"/>
        </w:rPr>
        <w:t xml:space="preserve">Alshehri AM, </w:t>
      </w:r>
      <w:r>
        <w:rPr>
          <w:b/>
          <w:bCs/>
          <w:sz w:val="24"/>
        </w:rPr>
        <w:t>Wilson OC Jr.</w:t>
      </w:r>
      <w:r>
        <w:rPr>
          <w:sz w:val="24"/>
        </w:rPr>
        <w:t xml:space="preserve"> (2024) Biomimetic Hydrogel Strategies for Cancer Therapy. Gels. 10(7):437. doi: 10.3390/gels10070437.</w:t>
      </w:r>
    </w:p>
    <w:p>
      <w:pPr>
        <w:pStyle w:val="ListParagraph"/>
        <w:snapToGrid w:val="false"/>
        <w:spacing w:lineRule="auto" w:line="240" w:before="120" w:after="0"/>
        <w:ind w:start="0" w:hanging="0"/>
        <w:contextualSpacing w:val="false"/>
        <w:jc w:val="both"/>
        <w:rPr>
          <w:rFonts w:ascii="Times New Roman" w:hAnsi="Times New Roman" w:cs="Times New Roman"/>
        </w:rPr>
      </w:pPr>
      <w:r>
        <w:rPr>
          <w:rFonts w:cs="Times New Roman" w:ascii="Times New Roman" w:hAnsi="Times New Roman"/>
          <w:b/>
          <w:bCs/>
        </w:rPr>
        <w:t>Professional Activities (please also include STEM education/diversity/outreach activities)</w:t>
      </w:r>
    </w:p>
    <w:p>
      <w:pPr>
        <w:pStyle w:val="Normal"/>
        <w:numPr>
          <w:ilvl w:val="0"/>
          <w:numId w:val="1"/>
        </w:numPr>
        <w:snapToGrid w:val="false"/>
        <w:spacing w:lineRule="auto" w:line="240" w:before="0" w:after="0"/>
        <w:ind w:start="274" w:hanging="274"/>
        <w:jc w:val="both"/>
        <w:rPr>
          <w:rFonts w:ascii="Times New Roman" w:hAnsi="Times New Roman" w:cs="Times New Roman"/>
          <w:bCs/>
        </w:rPr>
      </w:pPr>
      <w:r>
        <w:rPr>
          <w:rFonts w:cs="Times New Roman" w:ascii="Times New Roman" w:hAnsi="Times New Roman"/>
          <w:color w:val="000000"/>
          <w:sz w:val="24"/>
          <w:szCs w:val="24"/>
        </w:rPr>
        <w:t>Education Policy Fellowship Program (EPFP) Fellow, 2016 DC Cohort</w:t>
      </w:r>
    </w:p>
    <w:p>
      <w:pPr>
        <w:pStyle w:val="Normal"/>
        <w:numPr>
          <w:ilvl w:val="0"/>
          <w:numId w:val="1"/>
        </w:numPr>
        <w:snapToGrid w:val="false"/>
        <w:spacing w:lineRule="auto" w:line="240" w:before="0" w:after="0"/>
        <w:ind w:start="274" w:hanging="274"/>
        <w:jc w:val="both"/>
        <w:rPr>
          <w:rFonts w:ascii="Times New Roman" w:hAnsi="Times New Roman" w:cs="Times New Roman"/>
          <w:bCs/>
        </w:rPr>
      </w:pPr>
      <w:r>
        <w:rPr>
          <w:rFonts w:cs="Times New Roman" w:ascii="Times New Roman" w:hAnsi="Times New Roman"/>
          <w:bCs/>
        </w:rPr>
        <w:t>Associate Editor for Frontiers in Bioengineering and Biotechnology, Biomaterial Section (2021-Present)</w:t>
      </w:r>
    </w:p>
    <w:p>
      <w:pPr>
        <w:pStyle w:val="Normal"/>
        <w:numPr>
          <w:ilvl w:val="0"/>
          <w:numId w:val="1"/>
        </w:numPr>
        <w:snapToGrid w:val="false"/>
        <w:spacing w:lineRule="auto" w:line="240" w:before="0" w:after="0"/>
        <w:ind w:start="274" w:hanging="274"/>
        <w:jc w:val="both"/>
        <w:rPr/>
      </w:pPr>
      <w:r>
        <w:rPr>
          <w:rFonts w:cs="Times New Roman" w:ascii="Times New Roman" w:hAnsi="Times New Roman"/>
          <w:bCs/>
        </w:rPr>
        <w:t>Founder of the DC FUSION STREAM Professional Development Network. The DC FUSION PD Network builds teams to help inspire the next generation of teacher and student scholars to achieve inspired full capacity learning and expertise in STEM with integrated Reading and Art through uniquely designed PD activities and learning modules (2018-Present).</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Symbol">
    <w:charset w:val="02"/>
    <w:family w:val="decorative"/>
    <w:pitch w:val="variable"/>
  </w:font>
  <w:font w:name="Courier New">
    <w:charset w:val="00" w:characterSet="windows-1252"/>
    <w:family w:val="modern"/>
    <w:pitch w:val="default"/>
  </w:font>
  <w:font w:name="Wingdings">
    <w:charset w:val="00" w:characterSet="windows-1252"/>
    <w:family w:val="decorative"/>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194" w:hanging="360"/>
      </w:pPr>
      <w:rPr>
        <w:rFonts w:ascii="Symbol" w:hAnsi="Symbol" w:cs="Symbol" w:hint="default"/>
      </w:rPr>
    </w:lvl>
  </w:abstractNum>
  <w:abstractNum w:abstractNumId="2">
    <w:lvl w:ilvl="0">
      <w:start w:val="1"/>
      <w:numFmt w:val="decimal"/>
      <w:lvlText w:val="%1."/>
      <w:lvlJc w:val="start"/>
      <w:pPr>
        <w:tabs>
          <w:tab w:val="num" w:pos="0"/>
        </w:tabs>
        <w:ind w:start="432" w:hanging="432"/>
      </w:pPr>
      <w:rPr>
        <w:sz w:val="24"/>
        <w:i w:val="false"/>
        <w:b w:val="false"/>
        <w:szCs w:val="24"/>
        <w:color w:val="000000"/>
      </w:rPr>
    </w:lvl>
    <w:lvl w:ilvl="1">
      <w:start w:val="5"/>
      <w:numFmt w:val="decimal"/>
      <w:lvlText w:val="%1%2."/>
      <w:lvlJc w:val="start"/>
      <w:pPr>
        <w:tabs>
          <w:tab w:val="num" w:pos="0"/>
        </w:tabs>
        <w:ind w:start="432" w:hanging="432"/>
      </w:pPr>
      <w:rPr/>
    </w:lvl>
    <w:lvl w:ilvl="2">
      <w:start w:val="1"/>
      <w:numFmt w:val="lowerRoman"/>
      <w:lvlText w:val="%3."/>
      <w:lvlJc w:val="end"/>
      <w:pPr>
        <w:tabs>
          <w:tab w:val="num" w:pos="0"/>
        </w:tabs>
        <w:ind w:start="432" w:hanging="432"/>
      </w:pPr>
      <w:rPr/>
    </w:lvl>
    <w:lvl w:ilvl="3">
      <w:start w:val="1"/>
      <w:numFmt w:val="decimal"/>
      <w:lvlText w:val="%4."/>
      <w:lvlJc w:val="start"/>
      <w:pPr>
        <w:tabs>
          <w:tab w:val="num" w:pos="0"/>
        </w:tabs>
        <w:ind w:start="432" w:hanging="432"/>
      </w:pPr>
      <w:rPr/>
    </w:lvl>
    <w:lvl w:ilvl="4">
      <w:start w:val="1"/>
      <w:numFmt w:val="lowerLetter"/>
      <w:lvlText w:val="%5."/>
      <w:lvlJc w:val="start"/>
      <w:pPr>
        <w:tabs>
          <w:tab w:val="num" w:pos="0"/>
        </w:tabs>
        <w:ind w:start="432" w:hanging="432"/>
      </w:pPr>
      <w:rPr/>
    </w:lvl>
    <w:lvl w:ilvl="5">
      <w:start w:val="1"/>
      <w:numFmt w:val="lowerRoman"/>
      <w:lvlText w:val="%6."/>
      <w:lvlJc w:val="end"/>
      <w:pPr>
        <w:tabs>
          <w:tab w:val="num" w:pos="0"/>
        </w:tabs>
        <w:ind w:start="432" w:hanging="432"/>
      </w:pPr>
      <w:rPr/>
    </w:lvl>
    <w:lvl w:ilvl="6">
      <w:start w:val="1"/>
      <w:numFmt w:val="decimal"/>
      <w:lvlText w:val="%7."/>
      <w:lvlJc w:val="start"/>
      <w:pPr>
        <w:tabs>
          <w:tab w:val="num" w:pos="0"/>
        </w:tabs>
        <w:ind w:start="432" w:hanging="432"/>
      </w:pPr>
      <w:rPr/>
    </w:lvl>
    <w:lvl w:ilvl="7">
      <w:start w:val="1"/>
      <w:numFmt w:val="lowerLetter"/>
      <w:lvlText w:val="%8."/>
      <w:lvlJc w:val="start"/>
      <w:pPr>
        <w:tabs>
          <w:tab w:val="num" w:pos="0"/>
        </w:tabs>
        <w:ind w:start="432" w:hanging="432"/>
      </w:pPr>
      <w:rPr/>
    </w:lvl>
    <w:lvl w:ilvl="8">
      <w:start w:val="1"/>
      <w:numFmt w:val="lowerRoman"/>
      <w:lvlText w:val="%9."/>
      <w:lvlJc w:val="end"/>
      <w:pPr>
        <w:tabs>
          <w:tab w:val="num" w:pos="0"/>
        </w:tabs>
        <w:ind w:start="432" w:hanging="432"/>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17"/>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en-US" w:bidi="ar-SA" w:eastAsia="zh-CN"/>
    </w:rPr>
  </w:style>
  <w:style w:type="character" w:styleId="WW8Num1z0">
    <w:name w:val="WW8Num1z0"/>
    <w:qFormat/>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5z0">
    <w:name w:val="WW8Num5z0"/>
    <w:qFormat/>
    <w:rPr>
      <w:b w:val="false"/>
      <w:i w:val="false"/>
      <w:color w:val="000000"/>
      <w:sz w:val="24"/>
      <w:szCs w:val="24"/>
    </w:rPr>
  </w:style>
  <w:style w:type="character" w:styleId="WW8Num5z1">
    <w:name w:val="WW8Num5z1"/>
    <w:qFormat/>
    <w:rPr/>
  </w:style>
  <w:style w:type="character" w:styleId="WW8Num6z0">
    <w:name w:val="WW8Num6z0"/>
    <w:qFormat/>
    <w:rPr>
      <w:rFonts w:ascii="Symbol" w:hAnsi="Symbol" w:cs="Symbol"/>
      <w:sz w:val="20"/>
    </w:rPr>
  </w:style>
  <w:style w:type="character" w:styleId="WW8Num6z1">
    <w:name w:val="WW8Num6z1"/>
    <w:qFormat/>
    <w:rPr>
      <w:rFonts w:ascii="Courier New" w:hAnsi="Courier New" w:cs="Courier New"/>
      <w:sz w:val="20"/>
    </w:rPr>
  </w:style>
  <w:style w:type="character" w:styleId="WW8Num6z2">
    <w:name w:val="WW8Num6z2"/>
    <w:qFormat/>
    <w:rPr>
      <w:rFonts w:ascii="Wingdings" w:hAnsi="Wingdings" w:cs="Wingdings"/>
      <w:sz w:val="20"/>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DefaultParagraphFont">
    <w:name w:val="Default Paragraph Font"/>
    <w:qFormat/>
    <w:rPr/>
  </w:style>
  <w:style w:type="character" w:styleId="Yshortcuts">
    <w:name w:val="yshortcuts"/>
    <w:basedOn w:val="DefaultParagraphFont"/>
    <w:qFormat/>
    <w:rPr/>
  </w:style>
  <w:style w:type="character" w:styleId="InternetLink">
    <w:name w:val="Hyperlink"/>
    <w:rPr>
      <w:color w:val="0000FF"/>
      <w:u w:val="single"/>
    </w:rPr>
  </w:style>
  <w:style w:type="character" w:styleId="BodyTextChar">
    <w:name w:val="Body Text Char"/>
    <w:qFormat/>
    <w:rPr>
      <w:rFonts w:ascii="Times New Roman" w:hAnsi="Times New Roman" w:eastAsia="SimSun;宋体" w:cs="Times New Roman"/>
      <w:spacing w:val="-1"/>
    </w:rPr>
  </w:style>
  <w:style w:type="character" w:styleId="Style121">
    <w:name w:val="style121"/>
    <w:qFormat/>
    <w:rPr>
      <w:color w:val="000066"/>
    </w:rPr>
  </w:style>
  <w:style w:type="character" w:styleId="StrongEmphasis">
    <w:name w:val="Strong"/>
    <w:qFormat/>
    <w:rPr>
      <w:b/>
      <w:bCs/>
    </w:rPr>
  </w:style>
  <w:style w:type="character" w:styleId="UnresolvedMention">
    <w:name w:val="Unresolved Mention"/>
    <w:qFormat/>
    <w:rPr>
      <w:color w:val="605E5C"/>
      <w:shd w:fill="E1DFDD" w:val="clear"/>
    </w:rPr>
  </w:style>
  <w:style w:type="character" w:styleId="ListParagraphChar">
    <w:name w:val="List Paragraph Char"/>
    <w:qFormat/>
    <w:rPr>
      <w:sz w:val="22"/>
      <w:szCs w:val="22"/>
    </w:rPr>
  </w:style>
  <w:style w:type="character" w:styleId="VisitedInternetLink">
    <w:name w:val="FollowedHyperlink"/>
    <w:rPr>
      <w:color w:val="96607D"/>
      <w:u w:val="single"/>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28" w:before="0" w:after="120"/>
      <w:ind w:firstLine="288"/>
      <w:jc w:val="both"/>
    </w:pPr>
    <w:rPr>
      <w:rFonts w:ascii="Times New Roman" w:hAnsi="Times New Roman" w:eastAsia="SimSun;宋体" w:cs="Times New Roman"/>
      <w:spacing w:val="-1"/>
      <w:sz w:val="20"/>
      <w:szCs w:val="2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Yiv2129127367msonormal">
    <w:name w:val="yiv2129127367msonormal"/>
    <w:basedOn w:val="Normal"/>
    <w:qFormat/>
    <w:pPr>
      <w:spacing w:lineRule="auto" w:line="240" w:before="280" w:after="280"/>
    </w:pPr>
    <w:rPr>
      <w:rFonts w:ascii="Times New Roman" w:hAnsi="Times New Roman" w:eastAsia="Times New Roman" w:cs="Times New Roman"/>
      <w:sz w:val="24"/>
      <w:szCs w:val="24"/>
    </w:rPr>
  </w:style>
  <w:style w:type="paragraph" w:styleId="Headingstyle">
    <w:name w:val="headingstyle"/>
    <w:basedOn w:val="Normal"/>
    <w:qFormat/>
    <w:pPr>
      <w:spacing w:lineRule="auto" w:line="240" w:before="280" w:after="280"/>
    </w:pPr>
    <w:rPr>
      <w:rFonts w:ascii="Arial" w:hAnsi="Arial" w:eastAsia="Times New Roman" w:cs="Arial"/>
      <w:b/>
      <w:bCs/>
      <w:color w:val="000000"/>
      <w:sz w:val="20"/>
      <w:szCs w:val="20"/>
    </w:rPr>
  </w:style>
  <w:style w:type="paragraph" w:styleId="ListParagraph">
    <w:name w:val="List Paragraph"/>
    <w:basedOn w:val="Normal"/>
    <w:qFormat/>
    <w:pPr>
      <w:spacing w:before="0" w:after="200"/>
      <w:ind w:start="720" w:hanging="0"/>
      <w:contextualSpacing/>
    </w:pPr>
    <w:rPr/>
  </w:style>
  <w:style w:type="paragraph" w:styleId="FormField">
    <w:name w:val="FormField"/>
    <w:basedOn w:val="TextBody"/>
    <w:qFormat/>
    <w:pPr>
      <w:spacing w:lineRule="auto" w:line="240" w:before="0" w:after="0"/>
      <w:ind w:hanging="0"/>
      <w:jc w:val="start"/>
    </w:pPr>
    <w:rPr>
      <w:rFonts w:eastAsia="Times New Roman"/>
      <w:spacing w:val="0"/>
      <w:sz w:val="22"/>
      <w:szCs w:val="24"/>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wilsono@cua.edu"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TotalTime>
  <Application>LibreOffice/7.4.7.2$Linux_X86_64 LibreOffice_project/40$Build-2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2024-11-15T23:29:00Z</dcterms:created>
  <dc:creator>liuhx</dc:creator>
  <dc:description/>
  <cp:keywords/>
  <dc:language>en-US</dc:language>
  <cp:lastModifiedBy>Otto Wilson</cp:lastModifiedBy>
  <dcterms:modified xsi:type="dcterms:W3CDTF">2024-11-15T23:31:00Z</dcterms:modified>
  <cp:revision>3</cp:revision>
  <dc:subject/>
  <dc:title/>
</cp:coreProperties>
</file>