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snapToGrid w:val="false"/>
        <w:spacing w:lineRule="auto" w:line="240" w:before="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Faculty Profile: Santiago Solares</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Professor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Mechanical Engineering</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Email: </w:t>
      </w:r>
      <w:hyperlink r:id="rId2">
        <w:r>
          <w:rPr>
            <w:rStyle w:val="InternetLink"/>
            <w:rFonts w:eastAsia="Times New Roman" w:cs="Times New Roman" w:ascii="Times New Roman" w:hAnsi="Times New Roman"/>
            <w:bCs/>
            <w:lang w:eastAsia="zh-CN"/>
          </w:rPr>
          <w:t>solares@cua.edu</w:t>
        </w:r>
      </w:hyperlink>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202-299-2894</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Ph.D., Chemical Engineering, California Institute of Technology, 2006</w:t>
      </w:r>
      <w:bookmarkStart w:id="0" w:name="_Hlk61466975"/>
      <w:bookmarkEnd w:id="0"/>
    </w:p>
    <w:p>
      <w:pPr>
        <w:pStyle w:val="Normal"/>
        <w:shd w:val="clear" w:fill="FFFFFF"/>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Scanning probe microscopy, nanoscale mechanics, surface science, multiscale modeling (quantum mechanics, molecular dynamics, continuum mechanics), soft viscoelastic materials (polymers and biological materials).</w:t>
      </w:r>
    </w:p>
    <w:p>
      <w:pPr>
        <w:pStyle w:val="Normal"/>
        <w:shd w:val="clear" w:fill="FFFFFF"/>
        <w:snapToGrid w:val="false"/>
        <w:spacing w:lineRule="auto" w:line="240" w:before="12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 xml:space="preserve">Biography: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Santiago Solares joined The Catholic University of America in 2023, prior to which he held faculty positions at The George Washington University (Mechanical and Aerospace Engineering, 2014-2023) and at the University of Maryland, College Park (Mechanical Engineering, 2006-2014).  His research program spans scanning probe microscopies, nanoscale mechanics, surface science, multiscale modeling and viscoelastic materials, especially polymers and biological materials.  He has published over 100 peer reviewed journal articles and is the recipient of the NSF and DOE CAREER awards. His teaching interests include multi-scale simulation methods (atomistic to continuum), thermodynamics, mechanics and dynamics. Before joining academia, he held various technical and management positions with Pepsi-Cola International and Mars Incorporated.</w:t>
      </w:r>
    </w:p>
    <w:p>
      <w:pPr>
        <w:pStyle w:val="Normal"/>
        <w:shd w:val="clear" w:fill="FFFFFF"/>
        <w:snapToGrid w:val="false"/>
        <w:spacing w:lineRule="auto" w:line="240" w:before="120" w:after="0"/>
        <w:jc w:val="both"/>
        <w:rPr>
          <w:rFonts w:ascii="Times New Roman" w:hAnsi="Times New Roman" w:cs="Times New Roman"/>
          <w:b/>
          <w:b/>
          <w:bCs/>
        </w:rPr>
      </w:pPr>
      <w:r>
        <w:rPr>
          <w:rFonts w:cs="Times New Roman" w:ascii="Times New Roman" w:hAnsi="Times New Roman"/>
          <w:b/>
          <w:bCs/>
        </w:rPr>
        <w:t>Five Selected Papers:</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 xml:space="preserve">McCraw, M.R.; Uluutku, B.; Solomon, H.D.; Anderson, M.S.; Sarkar, K.; Solares, S.D.; “Optimizing the accuracy of viscoelastic characterization with AFM force-distance experiments in the time and frequency domains,” </w:t>
      </w:r>
      <w:r>
        <w:rPr>
          <w:rFonts w:cs="Times New Roman" w:ascii="Times New Roman" w:hAnsi="Times New Roman"/>
          <w:i/>
        </w:rPr>
        <w:t>Soft Matter,</w:t>
      </w:r>
      <w:r>
        <w:rPr>
          <w:rFonts w:cs="Times New Roman" w:ascii="Times New Roman" w:hAnsi="Times New Roman"/>
        </w:rPr>
        <w:t xml:space="preserve"> </w:t>
      </w:r>
      <w:r>
        <w:rPr>
          <w:rFonts w:cs="Times New Roman" w:ascii="Times New Roman" w:hAnsi="Times New Roman"/>
          <w:b/>
        </w:rPr>
        <w:t>2023,</w:t>
      </w:r>
      <w:r>
        <w:rPr>
          <w:rFonts w:cs="Times New Roman" w:ascii="Times New Roman" w:hAnsi="Times New Roman"/>
        </w:rPr>
        <w:t xml:space="preserve"> </w:t>
      </w:r>
      <w:r>
        <w:rPr>
          <w:rFonts w:cs="Times New Roman" w:ascii="Times New Roman" w:hAnsi="Times New Roman"/>
          <w:i/>
        </w:rPr>
        <w:t>19,</w:t>
      </w:r>
      <w:r>
        <w:rPr>
          <w:rFonts w:cs="Times New Roman" w:ascii="Times New Roman" w:hAnsi="Times New Roman"/>
        </w:rPr>
        <w:t xml:space="preserve"> 451-467.</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 xml:space="preserve">Uluutku, B.; McCraw, M.R.; Solares, S.D.; “Direct measurement of storage and loss behavior in AFM force-distance experiments using the modified Fourier transformation,” </w:t>
      </w:r>
      <w:r>
        <w:rPr>
          <w:rFonts w:cs="Times New Roman" w:ascii="Times New Roman" w:hAnsi="Times New Roman"/>
          <w:i/>
        </w:rPr>
        <w:t>J. Appl. Phys.</w:t>
      </w:r>
      <w:r>
        <w:rPr>
          <w:rFonts w:cs="Times New Roman" w:ascii="Times New Roman" w:hAnsi="Times New Roman"/>
        </w:rPr>
        <w:t xml:space="preserve"> </w:t>
      </w:r>
      <w:r>
        <w:rPr>
          <w:rFonts w:cs="Times New Roman" w:ascii="Times New Roman" w:hAnsi="Times New Roman"/>
          <w:b/>
        </w:rPr>
        <w:t>2022,</w:t>
      </w:r>
      <w:r>
        <w:rPr>
          <w:rFonts w:cs="Times New Roman" w:ascii="Times New Roman" w:hAnsi="Times New Roman"/>
        </w:rPr>
        <w:t xml:space="preserve"> </w:t>
      </w:r>
      <w:r>
        <w:rPr>
          <w:rFonts w:cs="Times New Roman" w:ascii="Times New Roman" w:hAnsi="Times New Roman"/>
          <w:i/>
        </w:rPr>
        <w:t>131,</w:t>
      </w:r>
      <w:r>
        <w:rPr>
          <w:rFonts w:cs="Times New Roman" w:ascii="Times New Roman" w:hAnsi="Times New Roman"/>
        </w:rPr>
        <w:t xml:space="preserve"> 165101.</w:t>
      </w:r>
    </w:p>
    <w:p>
      <w:pPr>
        <w:pStyle w:val="ListParagraph"/>
        <w:numPr>
          <w:ilvl w:val="0"/>
          <w:numId w:val="2"/>
        </w:numPr>
        <w:snapToGrid w:val="false"/>
        <w:spacing w:lineRule="auto" w:line="240" w:before="0" w:after="0"/>
        <w:ind w:start="270" w:hanging="270"/>
        <w:contextualSpacing w:val="false"/>
        <w:jc w:val="both"/>
        <w:rPr>
          <w:rFonts w:ascii="Times New Roman" w:hAnsi="Times New Roman" w:cs="Times New Roman"/>
          <w:color w:val="000000"/>
        </w:rPr>
      </w:pPr>
      <w:r>
        <w:rPr>
          <w:rFonts w:cs="Times New Roman" w:ascii="Times New Roman" w:hAnsi="Times New Roman"/>
          <w:color w:val="000000"/>
        </w:rPr>
        <w:t xml:space="preserve">Maiti, R.;  Patil, C.; Saadi, M.A.S.R.; Xie, T.; Azadani, J.G.; Uluutku, B.; Amin, R.; Briggs, A.F.; Miscuglio, M.; Van Thourhout, D.; Solares, S.D.; Low, T.; Agarwal, R.; Bank, S.R.; Sorger, V.J.; “Strain-engineered high-responsivity MoTe2 photodetector for silicon photonic integrated circuits,” </w:t>
      </w:r>
      <w:r>
        <w:rPr>
          <w:rFonts w:cs="Times New Roman" w:ascii="Times New Roman" w:hAnsi="Times New Roman"/>
          <w:i/>
          <w:color w:val="000000"/>
        </w:rPr>
        <w:t>Nature Photonics</w:t>
      </w:r>
      <w:r>
        <w:rPr>
          <w:rFonts w:cs="Times New Roman" w:ascii="Times New Roman" w:hAnsi="Times New Roman"/>
          <w:color w:val="000000"/>
        </w:rPr>
        <w:t xml:space="preserve"> </w:t>
      </w:r>
      <w:r>
        <w:rPr>
          <w:rFonts w:cs="Times New Roman" w:ascii="Times New Roman" w:hAnsi="Times New Roman"/>
          <w:b/>
          <w:color w:val="000000"/>
        </w:rPr>
        <w:t>2020,</w:t>
      </w:r>
      <w:r>
        <w:rPr>
          <w:rFonts w:cs="Times New Roman" w:ascii="Times New Roman" w:hAnsi="Times New Roman"/>
          <w:color w:val="000000"/>
        </w:rPr>
        <w:t xml:space="preserve"> </w:t>
      </w:r>
      <w:r>
        <w:rPr>
          <w:rFonts w:cs="Times New Roman" w:ascii="Times New Roman" w:hAnsi="Times New Roman"/>
          <w:i/>
          <w:color w:val="000000"/>
        </w:rPr>
        <w:t>14,</w:t>
      </w:r>
      <w:r>
        <w:rPr>
          <w:rFonts w:cs="Times New Roman" w:ascii="Times New Roman" w:hAnsi="Times New Roman"/>
          <w:color w:val="000000"/>
        </w:rPr>
        <w:t xml:space="preserve"> 578-584.</w:t>
      </w:r>
    </w:p>
    <w:p>
      <w:pPr>
        <w:pStyle w:val="ListParagraph"/>
        <w:numPr>
          <w:ilvl w:val="0"/>
          <w:numId w:val="2"/>
        </w:numPr>
        <w:snapToGrid w:val="false"/>
        <w:spacing w:lineRule="auto" w:line="240" w:before="0" w:after="0"/>
        <w:ind w:start="270" w:hanging="270"/>
        <w:contextualSpacing w:val="false"/>
        <w:jc w:val="both"/>
        <w:rPr>
          <w:rFonts w:ascii="Times New Roman" w:hAnsi="Times New Roman" w:cs="Times New Roman"/>
        </w:rPr>
      </w:pPr>
      <w:r>
        <w:rPr>
          <w:rFonts w:cs="Times New Roman" w:ascii="Times New Roman" w:hAnsi="Times New Roman"/>
        </w:rPr>
        <w:t xml:space="preserve">López-Guerra, E.A.; Shen, H.; Solares, S.D.; Shuai, D.M.; “Acquisition of time-frequency localized mechanical properties of biofilms and single cells with high spatial resolution,” </w:t>
      </w:r>
      <w:r>
        <w:rPr>
          <w:rFonts w:cs="Times New Roman" w:ascii="Times New Roman" w:hAnsi="Times New Roman"/>
          <w:i/>
        </w:rPr>
        <w:t>Nanoscale</w:t>
      </w:r>
      <w:r>
        <w:rPr>
          <w:rFonts w:cs="Times New Roman" w:ascii="Times New Roman" w:hAnsi="Times New Roman"/>
        </w:rPr>
        <w:t xml:space="preserve"> </w:t>
      </w:r>
      <w:r>
        <w:rPr>
          <w:rFonts w:cs="Times New Roman" w:ascii="Times New Roman" w:hAnsi="Times New Roman"/>
          <w:b/>
        </w:rPr>
        <w:t>2019,</w:t>
      </w:r>
      <w:r>
        <w:rPr>
          <w:rFonts w:cs="Times New Roman" w:ascii="Times New Roman" w:hAnsi="Times New Roman"/>
        </w:rPr>
        <w:t xml:space="preserve"> </w:t>
      </w:r>
      <w:r>
        <w:rPr>
          <w:rFonts w:cs="Times New Roman" w:ascii="Times New Roman" w:hAnsi="Times New Roman"/>
          <w:i/>
        </w:rPr>
        <w:t>11,</w:t>
      </w:r>
      <w:r>
        <w:rPr>
          <w:rFonts w:cs="Times New Roman" w:ascii="Times New Roman" w:hAnsi="Times New Roman"/>
        </w:rPr>
        <w:t xml:space="preserve"> 8918-8929. </w:t>
      </w:r>
    </w:p>
    <w:p>
      <w:pPr>
        <w:pStyle w:val="ListParagraph"/>
        <w:numPr>
          <w:ilvl w:val="0"/>
          <w:numId w:val="2"/>
        </w:numPr>
        <w:snapToGrid w:val="false"/>
        <w:spacing w:lineRule="auto" w:line="240" w:before="0" w:after="0"/>
        <w:ind w:start="270" w:hanging="270"/>
        <w:contextualSpacing w:val="false"/>
        <w:jc w:val="both"/>
        <w:rPr>
          <w:rFonts w:ascii="Times New Roman" w:hAnsi="Times New Roman" w:cs="Times New Roman"/>
        </w:rPr>
      </w:pPr>
      <w:r>
        <w:rPr>
          <w:rFonts w:cs="Times New Roman" w:ascii="Times New Roman" w:hAnsi="Times New Roman"/>
        </w:rPr>
        <w:t xml:space="preserve">Klimov, N.N.; Jung, S.; Zhu, S.; Li, T.; Wright, C.A.; Solares, S.D.; Newell, D.B.; Zhitenev, N.B.; Stroscio, J.A.; “Electromechanical properties of graphene drumheads,” </w:t>
      </w:r>
      <w:r>
        <w:rPr>
          <w:rFonts w:cs="Times New Roman" w:ascii="Times New Roman" w:hAnsi="Times New Roman"/>
          <w:i/>
        </w:rPr>
        <w:t>Science</w:t>
      </w:r>
      <w:r>
        <w:rPr>
          <w:rFonts w:cs="Times New Roman" w:ascii="Times New Roman" w:hAnsi="Times New Roman"/>
        </w:rPr>
        <w:t xml:space="preserve"> </w:t>
      </w:r>
      <w:r>
        <w:rPr>
          <w:rFonts w:cs="Times New Roman" w:ascii="Times New Roman" w:hAnsi="Times New Roman"/>
          <w:b/>
        </w:rPr>
        <w:t>2012,</w:t>
      </w:r>
      <w:r>
        <w:rPr>
          <w:rFonts w:cs="Times New Roman" w:ascii="Times New Roman" w:hAnsi="Times New Roman"/>
        </w:rPr>
        <w:t xml:space="preserve"> </w:t>
      </w:r>
      <w:r>
        <w:rPr>
          <w:rFonts w:cs="Times New Roman" w:ascii="Times New Roman" w:hAnsi="Times New Roman"/>
          <w:i/>
        </w:rPr>
        <w:t>336,</w:t>
      </w:r>
      <w:r>
        <w:rPr>
          <w:rFonts w:cs="Times New Roman" w:ascii="Times New Roman" w:hAnsi="Times New Roman"/>
        </w:rPr>
        <w:t xml:space="preserve"> 1557-1561.</w:t>
      </w:r>
    </w:p>
    <w:p>
      <w:pPr>
        <w:pStyle w:val="ListParagraph"/>
        <w:snapToGrid w:val="false"/>
        <w:spacing w:lineRule="auto" w:line="240" w:before="120" w:after="0"/>
        <w:ind w:start="0" w:hanging="0"/>
        <w:contextualSpacing w:val="false"/>
        <w:jc w:val="both"/>
        <w:rPr>
          <w:rFonts w:ascii="Times New Roman" w:hAnsi="Times New Roman" w:cs="Times New Roman"/>
        </w:rPr>
      </w:pPr>
      <w:r>
        <w:rPr>
          <w:rFonts w:cs="Times New Roman" w:ascii="Times New Roman" w:hAnsi="Times New Roman"/>
          <w:b/>
          <w:bCs/>
        </w:rPr>
        <w:t>Professional Activities (please also include STEM education/diversity/outreach activities)</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Member of the Steering Committee of the International Conference on Noncontact Atomic Force Microscopy (AFM) during 2013-2020, and Chair of the 2013 conference held in Washington, D.C. This is the most prestigious international conference dedicated exclusively to AFM.</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Co-organizer of symposium on Multifunctional and Multifrequency Scanning Probe Microscopy at the 2017 Fall Meeting of the Materials Research Society.</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 xml:space="preserve">Co-organizer of symposia on dynamic atomic force microscopy within the 2011 &amp; 2012 International Design Engineering Technical Conference (ASME).  </w:t>
      </w:r>
    </w:p>
    <w:p>
      <w:pPr>
        <w:pStyle w:val="Normal"/>
        <w:numPr>
          <w:ilvl w:val="0"/>
          <w:numId w:val="1"/>
        </w:numPr>
        <w:snapToGrid w:val="false"/>
        <w:spacing w:lineRule="auto" w:line="240" w:before="0" w:after="0"/>
        <w:ind w:start="274" w:hanging="274"/>
        <w:jc w:val="both"/>
        <w:rPr/>
      </w:pPr>
      <w:r>
        <w:rPr>
          <w:rFonts w:cs="Times New Roman" w:ascii="Times New Roman" w:hAnsi="Times New Roman"/>
          <w:bCs/>
        </w:rPr>
        <w:t>Introduction of the first fully atomistic-continuum multi-scale simulation courses at the University of Maryland’s and at The Catholic University of America’s Mechanical Engineering Departments.</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 xml:space="preserve">Extensive corporate technical training on manufacturing processes, particularly cereal extrusion, industrial drying, food coating, fluid and solid transport systems. </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Participation in various outreach STEM events for underrepresented student groups.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94"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Internet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28" w:before="0" w:after="120"/>
      <w:ind w:firstLine="288"/>
      <w:jc w:val="both"/>
    </w:pPr>
    <w:rPr>
      <w:rFonts w:ascii="Times New Roman" w:hAnsi="Times New Roman" w:eastAsia="SimSun;宋体" w:cs="Times New Roma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star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lares@cua.edu"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TotalTime>
  <Application>LibreOffice/7.4.7.2$Linux_X86_64 LibreOffice_project/40$Build-2</Application>
  <AppVersion>15.0000</AppVersion>
  <Pages>2</Pages>
  <Words>473</Words>
  <Characters>3202</Characters>
  <CharactersWithSpaces>3650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2024-04-10T06:04:00Z</dcterms:created>
  <dc:creator>liuhx</dc:creator>
  <dc:description/>
  <dc:language>en-US</dc:language>
  <cp:lastModifiedBy/>
  <dcterms:modified xsi:type="dcterms:W3CDTF">2025-01-27T12:20:42Z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