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72"/>
        </w:rPr>
        <w:br/>
        <w:br/>
        <w:br/>
        <w:t>BRIDGEIQ</w:t>
      </w:r>
    </w:p>
    <w:p>
      <w:pPr>
        <w:jc w:val="center"/>
      </w:pPr>
      <w:r>
        <w:rPr>
          <w:color w:val="4F8EF7"/>
          <w:sz w:val="36"/>
        </w:rPr>
        <w:t>Business Requirements Document</w:t>
      </w:r>
    </w:p>
    <w:p>
      <w:pPr>
        <w:jc w:val="center"/>
      </w:pPr>
      <w:r>
        <w:rPr>
          <w:i/>
          <w:color w:val="5D6D7E"/>
          <w:sz w:val="26"/>
        </w:rPr>
        <w:t>AI-Powered Customer Intelligence &amp; Process Transformation</w:t>
        <w:br/>
        <w:t>Apex Solutions B2B SaaS Platform</w:t>
      </w:r>
    </w:p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>
            <w:r>
              <w:rPr>
                <w:b/>
                <w:sz w:val="21"/>
              </w:rPr>
              <w:t>Document Version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1.0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1"/>
              </w:rPr>
              <w:t>Status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Final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1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May 08, 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1"/>
              </w:rPr>
              <w:t>Author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Sai Hemanth — Technical Business Analyst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1"/>
              </w:rPr>
              <w:t>Reviewed By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Product Owner, Engineering Lead, CS Director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1"/>
              </w:rPr>
              <w:t>Confidentiality</w:t>
            </w:r>
          </w:p>
        </w:tc>
        <w:tc>
          <w:tcPr>
            <w:tcW w:type="dxa" w:w="4392"/>
          </w:tcPr>
          <w:p>
            <w:r>
              <w:rPr>
                <w:sz w:val="21"/>
              </w:rPr>
              <w:t>Internal Use Only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1. EXECUTIVE SUMMARY</w:t>
      </w:r>
    </w:p>
    <w:p>
      <w:pPr>
        <w:spacing w:after="80"/>
      </w:pPr>
      <w:r>
        <w:rPr>
          <w:b w:val="0"/>
          <w:i w:val="0"/>
          <w:sz w:val="22"/>
        </w:rPr>
        <w:t>Apex Solutions, a B2B SaaS company delivering project management software to mid-size enterprises, is experiencing compounding operational challenges that directly threaten revenue retention and growth. An internal analysis of operational data revealed three critical failure areas: a 22% customer churn rate driven by poor onboarding completion and low product engagement, a support backlog with SLA breach rates exceeding 30% for high-priority tickets, and no automated early warning system to identify at-risk customers before they churn.</w:t>
      </w:r>
    </w:p>
    <w:p>
      <w:pPr>
        <w:spacing w:after="80"/>
      </w:pPr>
      <w:r>
        <w:rPr>
          <w:b w:val="0"/>
          <w:i w:val="0"/>
          <w:sz w:val="22"/>
        </w:rPr>
        <w:t>This Business Requirements Document defines the scope, objectives, functional requirements, and success criteria for BridgeIQ — an AI-powered customer intelligence and process transformation platform. BridgeIQ integrates structured data analytics, AI-driven customer feedback analysis, and automated early warning capabilities to reduce churn by 35%, improve onboarding completion rates from 82% to 95%, and reduce average support resolution time by 40% within 12 months of deployment.</w:t>
      </w:r>
    </w:p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2. BUSINESS CONTEXT &amp; PROBLEM STATEMENT</w:t>
      </w:r>
    </w:p>
    <w:p>
      <w:pPr>
        <w:spacing w:before="240" w:after="80"/>
      </w:pPr>
      <w:r>
        <w:rPr>
          <w:b/>
          <w:color w:val="4F8EF7"/>
          <w:sz w:val="24"/>
        </w:rPr>
        <w:t>2.1 Company Background</w:t>
      </w:r>
    </w:p>
    <w:p>
      <w:pPr>
        <w:spacing w:after="80"/>
      </w:pPr>
      <w:r>
        <w:rPr>
          <w:b w:val="0"/>
          <w:i w:val="0"/>
          <w:sz w:val="22"/>
        </w:rPr>
        <w:t>Apex Solutions was founded in 2018 and serves 500+ B2B customers across 10 industries including Healthcare, Finance, Retail, and Manufacturing. The company operates on a subscription model with three plan tiers — Starter ($299-499/mo), Growth ($999-2,499/mo), and Enterprise ($4,999-12,999/mo) — generating a combined Monthly Recurring Revenue (MRR) exceeding $1.2M.</w:t>
      </w:r>
    </w:p>
    <w:p>
      <w:pPr>
        <w:spacing w:before="240" w:after="80"/>
      </w:pPr>
      <w:r>
        <w:rPr>
          <w:b/>
          <w:color w:val="4F8EF7"/>
          <w:sz w:val="24"/>
        </w:rPr>
        <w:t>2.2 Problem Statement</w:t>
      </w:r>
    </w:p>
    <w:p>
      <w:pPr>
        <w:spacing w:after="80"/>
      </w:pPr>
      <w:r>
        <w:rPr>
          <w:b w:val="0"/>
          <w:i w:val="0"/>
          <w:sz w:val="22"/>
        </w:rPr>
        <w:t>Data analysis has identified the following quantified business problems:</w:t>
      </w:r>
    </w:p>
    <w:p>
      <w:pPr>
        <w:pStyle w:val="ListBullet"/>
        <w:spacing w:after="80"/>
      </w:pPr>
      <w:r>
        <w:rPr>
          <w:b/>
        </w:rPr>
        <w:t xml:space="preserve">Customer Churn: </w:t>
      </w:r>
      <w:r>
        <w:rPr>
          <w:sz w:val="22"/>
        </w:rPr>
        <w:t>22% annual churn rate — industry benchmark is 5-7% for B2B SaaS. Churned customers have a measurably lower health score (avg 58.3 vs 82.1 for active) but no automated signal exists to flag them before they cancel.</w:t>
      </w:r>
    </w:p>
    <w:p>
      <w:pPr>
        <w:pStyle w:val="ListBullet"/>
        <w:spacing w:after="80"/>
      </w:pPr>
      <w:r>
        <w:rPr>
          <w:b/>
        </w:rPr>
        <w:t xml:space="preserve">Onboarding Failure: </w:t>
      </w:r>
      <w:r>
        <w:rPr>
          <w:sz w:val="22"/>
        </w:rPr>
        <w:t>18% of customers do not complete onboarding. Incomplete onboarding correlates with a 2.4x higher churn rate. Primary blockers: IT approval delays, data quality issues, and stakeholder unavailability — all manageable with a structured process.</w:t>
      </w:r>
    </w:p>
    <w:p>
      <w:pPr>
        <w:pStyle w:val="ListBullet"/>
        <w:spacing w:after="80"/>
      </w:pPr>
      <w:r>
        <w:rPr>
          <w:b/>
        </w:rPr>
        <w:t xml:space="preserve">Support Overload: </w:t>
      </w:r>
      <w:r>
        <w:rPr>
          <w:sz w:val="22"/>
        </w:rPr>
        <w:t>4,000+ support tickets analyzed show an average resolution time of 28 hours. SLA breach rate for Critical tickets exceeds 35%. Billing and Technical Issue categories account for 48% of all tickets.</w:t>
      </w:r>
    </w:p>
    <w:p>
      <w:pPr>
        <w:pStyle w:val="ListBullet"/>
        <w:spacing w:after="80"/>
      </w:pPr>
      <w:r>
        <w:rPr>
          <w:b/>
        </w:rPr>
        <w:t xml:space="preserve">No Predictive Intelligence: </w:t>
      </w:r>
      <w:r>
        <w:rPr>
          <w:sz w:val="22"/>
        </w:rPr>
        <w:t>Customer health scores are computed manually. No automated system exists to aggregate churn signals (low usage, high ticket volume, poor CSAT, incomplete onboarding) into a composite risk score.</w:t>
      </w:r>
    </w:p>
    <w:p>
      <w:pPr>
        <w:pStyle w:val="ListBullet"/>
        <w:spacing w:after="80"/>
      </w:pPr>
      <w:r>
        <w:rPr>
          <w:b/>
        </w:rPr>
        <w:t xml:space="preserve">Unstructured Feedback: </w:t>
      </w:r>
      <w:r>
        <w:rPr>
          <w:sz w:val="22"/>
        </w:rPr>
        <w:t>Customer feedback, survey responses, and ticket descriptions are unread at scale. High-value product insights and process failures are buried in unstructured text with no analysis pipeline.</w:t>
      </w:r>
    </w:p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3. PROJECT SCOPE</w:t>
      </w:r>
    </w:p>
    <w:p>
      <w:pPr>
        <w:spacing w:before="240" w:after="80"/>
      </w:pPr>
      <w:r>
        <w:rPr>
          <w:b/>
          <w:color w:val="4F8EF7"/>
          <w:sz w:val="24"/>
        </w:rPr>
        <w:t>3.1 In Scope</w:t>
      </w:r>
    </w:p>
    <w:p>
      <w:pPr>
        <w:pStyle w:val="ListBullet"/>
        <w:spacing w:after="40"/>
        <w:ind w:left="432"/>
      </w:pPr>
      <w:r>
        <w:rPr>
          <w:sz w:val="22"/>
        </w:rPr>
        <w:t>AI-powered customer health scoring engine with composite risk signal (usage, tickets, onboarding, NPS)</w:t>
      </w:r>
    </w:p>
    <w:p>
      <w:pPr>
        <w:pStyle w:val="ListBullet"/>
        <w:spacing w:after="40"/>
        <w:ind w:left="432"/>
      </w:pPr>
      <w:r>
        <w:rPr>
          <w:sz w:val="22"/>
        </w:rPr>
        <w:t>Automated at-risk customer alerting via Slack / email for Customer Success team</w:t>
      </w:r>
    </w:p>
    <w:p>
      <w:pPr>
        <w:pStyle w:val="ListBullet"/>
        <w:spacing w:after="40"/>
        <w:ind w:left="432"/>
      </w:pPr>
      <w:r>
        <w:rPr>
          <w:sz w:val="22"/>
        </w:rPr>
        <w:t>Structured onboarding workflow redesign with stage-gated milestones and blocker tracking</w:t>
      </w:r>
    </w:p>
    <w:p>
      <w:pPr>
        <w:pStyle w:val="ListBullet"/>
        <w:spacing w:after="40"/>
        <w:ind w:left="432"/>
      </w:pPr>
      <w:r>
        <w:rPr>
          <w:sz w:val="22"/>
        </w:rPr>
        <w:t>Executive analytics dashboard (MRR, churn, onboarding completion, support KPIs)</w:t>
      </w:r>
    </w:p>
    <w:p>
      <w:pPr>
        <w:pStyle w:val="ListBullet"/>
        <w:spacing w:after="40"/>
        <w:ind w:left="432"/>
      </w:pPr>
      <w:r>
        <w:rPr>
          <w:sz w:val="22"/>
        </w:rPr>
        <w:t>AI feedback analysis pipeline — NLP-based categorization of support tickets and survey responses</w:t>
      </w:r>
    </w:p>
    <w:p>
      <w:pPr>
        <w:pStyle w:val="ListBullet"/>
        <w:spacing w:after="40"/>
        <w:ind w:left="432"/>
      </w:pPr>
      <w:r>
        <w:rPr>
          <w:sz w:val="22"/>
        </w:rPr>
        <w:t>AI requirements generation tool for internal BA / product team use</w:t>
      </w:r>
    </w:p>
    <w:p>
      <w:pPr>
        <w:pStyle w:val="ListBullet"/>
        <w:spacing w:after="40"/>
        <w:ind w:left="432"/>
      </w:pPr>
      <w:r>
        <w:rPr>
          <w:sz w:val="22"/>
        </w:rPr>
        <w:t>SQL analytics layer — 10+ standardized queries for business reporting</w:t>
      </w:r>
    </w:p>
    <w:p>
      <w:pPr>
        <w:pStyle w:val="ListBullet"/>
        <w:spacing w:after="40"/>
        <w:ind w:left="432"/>
      </w:pPr>
      <w:r>
        <w:rPr>
          <w:sz w:val="22"/>
        </w:rPr>
        <w:t>UAT framework and user acceptance test plan</w:t>
      </w:r>
    </w:p>
    <w:p>
      <w:pPr>
        <w:spacing w:before="240" w:after="80"/>
      </w:pPr>
      <w:r>
        <w:rPr>
          <w:b/>
          <w:color w:val="4F8EF7"/>
          <w:sz w:val="24"/>
        </w:rPr>
        <w:t>3.2 Out of Scope</w:t>
      </w:r>
    </w:p>
    <w:p>
      <w:pPr>
        <w:pStyle w:val="ListBullet"/>
        <w:spacing w:after="40"/>
        <w:ind w:left="432"/>
      </w:pPr>
      <w:r>
        <w:rPr>
          <w:sz w:val="22"/>
        </w:rPr>
        <w:t>CRM system replacement or migration (integration only)</w:t>
      </w:r>
    </w:p>
    <w:p>
      <w:pPr>
        <w:pStyle w:val="ListBullet"/>
        <w:spacing w:after="40"/>
        <w:ind w:left="432"/>
      </w:pPr>
      <w:r>
        <w:rPr>
          <w:sz w:val="22"/>
        </w:rPr>
        <w:t>Native mobile application</w:t>
      </w:r>
    </w:p>
    <w:p>
      <w:pPr>
        <w:pStyle w:val="ListBullet"/>
        <w:spacing w:after="40"/>
        <w:ind w:left="432"/>
      </w:pPr>
      <w:r>
        <w:rPr>
          <w:sz w:val="22"/>
        </w:rPr>
        <w:t>Third-party billing system changes</w:t>
      </w:r>
    </w:p>
    <w:p>
      <w:pPr>
        <w:pStyle w:val="ListBullet"/>
        <w:spacing w:after="40"/>
        <w:ind w:left="432"/>
      </w:pPr>
      <w:r>
        <w:rPr>
          <w:sz w:val="22"/>
        </w:rPr>
        <w:t>Custom enterprise SSO implementation (Phase 2)</w:t>
      </w:r>
    </w:p>
    <w:p>
      <w:pPr>
        <w:pStyle w:val="ListBullet"/>
        <w:spacing w:after="40"/>
        <w:ind w:left="432"/>
      </w:pPr>
      <w:r>
        <w:rPr>
          <w:sz w:val="22"/>
        </w:rPr>
        <w:t>Real-time data streaming infrastructure (Phase 2)</w:t>
      </w:r>
    </w:p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4. STAKEHOLDER ANALYSIS</w:t>
      </w:r>
    </w:p>
    <w:p>
      <w:pPr>
        <w:spacing w:after="80"/>
      </w:pPr>
      <w:r>
        <w:rPr>
          <w:b w:val="0"/>
          <w:i w:val="0"/>
          <w:sz w:val="22"/>
        </w:rPr>
        <w:t>The following stakeholders have been identified through requirements gathering sessions and impact assessment: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Interest</w:t>
            </w:r>
          </w:p>
        </w:tc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Influence</w:t>
            </w:r>
          </w:p>
        </w:tc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Engagement Strategy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VP Customer Success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Project Sponsor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Churn reduction, CS team efficiency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Weekly status, co-design sessions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Product Manager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Key Decision Maker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Feature roadmap alignment, user story prioritization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Sprint planning, backlog grooming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Engineering Lead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Technical Authority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System architecture, API integration feasibility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Technical review sessions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CS Team (6 CSMs)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Primary End User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Usable dashboards, actionable alerts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User interviews, UAT testing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CFO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Financial Approver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ROI, MRR impact, cost justification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Executive summary, milestone reviews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Support Team Lead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Key User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Ticket workflow, SLA visibility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Process mapping workshops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Data Engineering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Technical Implementer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Data pipeline, SQL schema, data quality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Design sessions, code reviews</w:t>
            </w:r>
          </w:p>
        </w:tc>
      </w:tr>
    </w:tbl>
    <w:p/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5. FUNCTIONAL REQUIREMENTS</w:t>
      </w:r>
    </w:p>
    <w:p>
      <w:pPr>
        <w:spacing w:before="240" w:after="80"/>
      </w:pPr>
      <w:r>
        <w:rPr>
          <w:b/>
          <w:color w:val="4F8EF7"/>
          <w:sz w:val="24"/>
        </w:rPr>
        <w:t>FR-01: Customer Health Scoring Engine</w:t>
      </w:r>
    </w:p>
    <w:p>
      <w:pPr>
        <w:pStyle w:val="ListBullet"/>
        <w:spacing w:after="40"/>
        <w:ind w:left="432"/>
      </w:pPr>
      <w:r>
        <w:rPr>
          <w:sz w:val="22"/>
        </w:rPr>
        <w:t>FR-01.1: System shall compute a composite health score (0-100) for each active customer on a daily basis.</w:t>
      </w:r>
    </w:p>
    <w:p>
      <w:pPr>
        <w:pStyle w:val="ListBullet"/>
        <w:spacing w:after="40"/>
        <w:ind w:left="432"/>
      </w:pPr>
      <w:r>
        <w:rPr>
          <w:sz w:val="22"/>
        </w:rPr>
        <w:t>FR-01.2: Health score shall incorporate: product usage frequency, feature breadth, support ticket volume, CSAT score, onboarding completion status, and NPS score.</w:t>
      </w:r>
    </w:p>
    <w:p>
      <w:pPr>
        <w:pStyle w:val="ListBullet"/>
        <w:spacing w:after="40"/>
        <w:ind w:left="432"/>
      </w:pPr>
      <w:r>
        <w:rPr>
          <w:sz w:val="22"/>
        </w:rPr>
        <w:t>FR-01.3: Customers with a composite risk score ≥50 shall be flagged as 'At Risk'.</w:t>
      </w:r>
    </w:p>
    <w:p>
      <w:pPr>
        <w:pStyle w:val="ListBullet"/>
        <w:spacing w:after="40"/>
        <w:ind w:left="432"/>
      </w:pPr>
      <w:r>
        <w:rPr>
          <w:sz w:val="22"/>
        </w:rPr>
        <w:t>FR-01.4: Risk score thresholds shall be configurable by CS Director without code changes.</w:t>
      </w:r>
    </w:p>
    <w:p>
      <w:pPr>
        <w:spacing w:before="240" w:after="80"/>
      </w:pPr>
      <w:r>
        <w:rPr>
          <w:b/>
          <w:color w:val="4F8EF7"/>
          <w:sz w:val="24"/>
        </w:rPr>
        <w:t>FR-02: Automated Early Warning Alerts</w:t>
      </w:r>
    </w:p>
    <w:p>
      <w:pPr>
        <w:pStyle w:val="ListBullet"/>
        <w:spacing w:after="40"/>
        <w:ind w:left="432"/>
      </w:pPr>
      <w:r>
        <w:rPr>
          <w:sz w:val="22"/>
        </w:rPr>
        <w:t>FR-02.1: System shall send a Slack notification to the assigned CSM when a customer's risk score increases by ≥15 points within 7 days.</w:t>
      </w:r>
    </w:p>
    <w:p>
      <w:pPr>
        <w:pStyle w:val="ListBullet"/>
        <w:spacing w:after="40"/>
        <w:ind w:left="432"/>
      </w:pPr>
      <w:r>
        <w:rPr>
          <w:sz w:val="22"/>
        </w:rPr>
        <w:t>FR-02.2: Alert shall include: customer name, plan, MRR, risk score, top 3 contributing risk factors, and a direct link to the customer dashboard.</w:t>
      </w:r>
    </w:p>
    <w:p>
      <w:pPr>
        <w:pStyle w:val="ListBullet"/>
        <w:spacing w:after="40"/>
        <w:ind w:left="432"/>
      </w:pPr>
      <w:r>
        <w:rPr>
          <w:sz w:val="22"/>
        </w:rPr>
        <w:t>FR-02.3: Daily digest email summarizing all at-risk customers shall be sent to CS Manager at 8:00 AM EST.</w:t>
      </w:r>
    </w:p>
    <w:p>
      <w:pPr>
        <w:pStyle w:val="ListBullet"/>
        <w:spacing w:after="40"/>
        <w:ind w:left="432"/>
      </w:pPr>
      <w:r>
        <w:rPr>
          <w:sz w:val="22"/>
        </w:rPr>
        <w:t>FR-02.4: Alerts shall not duplicate — a customer triggering multiple conditions within 24 hours shall generate one consolidated alert.</w:t>
      </w:r>
    </w:p>
    <w:p>
      <w:pPr>
        <w:spacing w:before="240" w:after="80"/>
      </w:pPr>
      <w:r>
        <w:rPr>
          <w:b/>
          <w:color w:val="4F8EF7"/>
          <w:sz w:val="24"/>
        </w:rPr>
        <w:t>FR-03: Onboarding Workflow Redesign</w:t>
      </w:r>
    </w:p>
    <w:p>
      <w:pPr>
        <w:pStyle w:val="ListBullet"/>
        <w:spacing w:after="40"/>
        <w:ind w:left="432"/>
      </w:pPr>
      <w:r>
        <w:rPr>
          <w:sz w:val="22"/>
        </w:rPr>
        <w:t>FR-03.1: System shall provide a digital onboarding checklist with 5 structured stages: Account Setup, Data Migration, User Training, Integration Config, Go-Live.</w:t>
      </w:r>
    </w:p>
    <w:p>
      <w:pPr>
        <w:pStyle w:val="ListBullet"/>
        <w:spacing w:after="40"/>
        <w:ind w:left="432"/>
      </w:pPr>
      <w:r>
        <w:rPr>
          <w:sz w:val="22"/>
        </w:rPr>
        <w:t>FR-03.2: Each stage shall have defined completion criteria, assigned owner, and SLA (target completion days).</w:t>
      </w:r>
    </w:p>
    <w:p>
      <w:pPr>
        <w:pStyle w:val="ListBullet"/>
        <w:spacing w:after="40"/>
        <w:ind w:left="432"/>
      </w:pPr>
      <w:r>
        <w:rPr>
          <w:sz w:val="22"/>
        </w:rPr>
        <w:t>FR-03.3: Customers stuck in a stage for more than 5 business days shall trigger an automatic escalation to their CSM.</w:t>
      </w:r>
    </w:p>
    <w:p>
      <w:pPr>
        <w:pStyle w:val="ListBullet"/>
        <w:spacing w:after="40"/>
        <w:ind w:left="432"/>
      </w:pPr>
      <w:r>
        <w:rPr>
          <w:sz w:val="22"/>
        </w:rPr>
        <w:t>FR-03.4: CS team shall be able to log blockers (drop-down + free text) per stage with timestamped audit trail.</w:t>
      </w:r>
    </w:p>
    <w:p>
      <w:pPr>
        <w:spacing w:before="240" w:after="80"/>
      </w:pPr>
      <w:r>
        <w:rPr>
          <w:b/>
          <w:color w:val="4F8EF7"/>
          <w:sz w:val="24"/>
        </w:rPr>
        <w:t>FR-04: Executive Analytics Dashboard</w:t>
      </w:r>
    </w:p>
    <w:p>
      <w:pPr>
        <w:pStyle w:val="ListBullet"/>
        <w:spacing w:after="40"/>
        <w:ind w:left="432"/>
      </w:pPr>
      <w:r>
        <w:rPr>
          <w:sz w:val="22"/>
        </w:rPr>
        <w:t>FR-04.1: Dashboard shall display: Active Customers, Total MRR, ARR, Churn Rate, Average Health Score, Open Tickets, Onboarding Completion Rate.</w:t>
      </w:r>
    </w:p>
    <w:p>
      <w:pPr>
        <w:pStyle w:val="ListBullet"/>
        <w:spacing w:after="40"/>
        <w:ind w:left="432"/>
      </w:pPr>
      <w:r>
        <w:rPr>
          <w:sz w:val="22"/>
        </w:rPr>
        <w:t>FR-04.2: All KPI cards shall show delta vs. prior period (MoM or QoQ selectable).</w:t>
      </w:r>
    </w:p>
    <w:p>
      <w:pPr>
        <w:pStyle w:val="ListBullet"/>
        <w:spacing w:after="40"/>
        <w:ind w:left="432"/>
      </w:pPr>
      <w:r>
        <w:rPr>
          <w:sz w:val="22"/>
        </w:rPr>
        <w:t>FR-04.3: Revenue trend chart shall display monthly net revenue for trailing 24 months.</w:t>
      </w:r>
    </w:p>
    <w:p>
      <w:pPr>
        <w:pStyle w:val="ListBullet"/>
        <w:spacing w:after="40"/>
        <w:ind w:left="432"/>
      </w:pPr>
      <w:r>
        <w:rPr>
          <w:sz w:val="22"/>
        </w:rPr>
        <w:t>FR-04.4: Dashboard shall be filterable by: plan type, region, industry, and date range.</w:t>
      </w:r>
    </w:p>
    <w:p>
      <w:pPr>
        <w:pStyle w:val="ListBullet"/>
        <w:spacing w:after="40"/>
        <w:ind w:left="432"/>
      </w:pPr>
      <w:r>
        <w:rPr>
          <w:sz w:val="22"/>
        </w:rPr>
        <w:t>FR-04.5: At-risk customer table shall be sortable by risk score, MRR, and last activity date.</w:t>
      </w:r>
    </w:p>
    <w:p>
      <w:pPr>
        <w:spacing w:before="240" w:after="80"/>
      </w:pPr>
      <w:r>
        <w:rPr>
          <w:b/>
          <w:color w:val="4F8EF7"/>
          <w:sz w:val="24"/>
        </w:rPr>
        <w:t>FR-05: AI Feedback Analysis Pipeline</w:t>
      </w:r>
    </w:p>
    <w:p>
      <w:pPr>
        <w:pStyle w:val="ListBullet"/>
        <w:spacing w:after="40"/>
        <w:ind w:left="432"/>
      </w:pPr>
      <w:r>
        <w:rPr>
          <w:sz w:val="22"/>
        </w:rPr>
        <w:t>FR-05.1: System shall accept unstructured text input (support tickets, survey responses, feedback forms) and return structured analysis.</w:t>
      </w:r>
    </w:p>
    <w:p>
      <w:pPr>
        <w:pStyle w:val="ListBullet"/>
        <w:spacing w:after="40"/>
        <w:ind w:left="432"/>
      </w:pPr>
      <w:r>
        <w:rPr>
          <w:sz w:val="22"/>
        </w:rPr>
        <w:t>FR-05.2: Output shall include: sentiment classification, pain point ranking by business impact, root cause categories, and auto-generated user stories.</w:t>
      </w:r>
    </w:p>
    <w:p>
      <w:pPr>
        <w:pStyle w:val="ListBullet"/>
        <w:spacing w:after="40"/>
        <w:ind w:left="432"/>
      </w:pPr>
      <w:r>
        <w:rPr>
          <w:sz w:val="22"/>
        </w:rPr>
        <w:t>FR-05.3: User stories generated by AI shall follow Agile format: As a [persona], I want [feature], so that [outcome].</w:t>
      </w:r>
    </w:p>
    <w:p>
      <w:pPr>
        <w:pStyle w:val="ListBullet"/>
        <w:spacing w:after="40"/>
        <w:ind w:left="432"/>
      </w:pPr>
      <w:r>
        <w:rPr>
          <w:sz w:val="22"/>
        </w:rPr>
        <w:t>FR-05.4: Users shall be able to download the analysis report as a .txt or .docx file.</w:t>
      </w:r>
    </w:p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Dashboard page load time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&lt; 3 seconds for any page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AI analysis response time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&lt; 15 seconds per request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Availability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Platform uptime SLA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99.5% monthly uptime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Data encryption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All data encrypted in transit (TLS 1.3) and at rest (AES-256)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Critical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SSO / OAuth 2.0 support with MFA enforcement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Scalability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Customer data volume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Support up to 5,000 customers without performance degradation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Compliance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Data residency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Customer data processed and stored within US/EU regions per contract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Usability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Onboarding new users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New CS team member productive within 2 hours, no training required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Maintainability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SQL query updates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New KPI reports deployable without engineering involvement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Medium</w:t>
            </w:r>
          </w:p>
        </w:tc>
      </w:tr>
    </w:tbl>
    <w:p/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7. PROCESS DESIGN — AS-IS VS TO-BE</w:t>
      </w:r>
    </w:p>
    <w:p>
      <w:pPr>
        <w:spacing w:before="240" w:after="80"/>
      </w:pPr>
      <w:r>
        <w:rPr>
          <w:b/>
          <w:color w:val="4F8EF7"/>
          <w:sz w:val="24"/>
        </w:rPr>
        <w:t>7.1 AS-IS: Customer Churn Detection Process</w:t>
      </w:r>
    </w:p>
    <w:p>
      <w:pPr>
        <w:pStyle w:val="ListBullet"/>
        <w:spacing w:after="40"/>
        <w:ind w:left="432"/>
      </w:pPr>
      <w:r>
        <w:rPr>
          <w:sz w:val="22"/>
        </w:rPr>
        <w:t>CSM manually reviews customer accounts weekly (4+ hours/CSM/week)</w:t>
      </w:r>
    </w:p>
    <w:p>
      <w:pPr>
        <w:pStyle w:val="ListBullet"/>
        <w:spacing w:after="40"/>
        <w:ind w:left="432"/>
      </w:pPr>
      <w:r>
        <w:rPr>
          <w:sz w:val="22"/>
        </w:rPr>
        <w:t>Health data pulled from 3 separate spreadsheets — no single source of truth</w:t>
      </w:r>
    </w:p>
    <w:p>
      <w:pPr>
        <w:pStyle w:val="ListBullet"/>
        <w:spacing w:after="40"/>
        <w:ind w:left="432"/>
      </w:pPr>
      <w:r>
        <w:rPr>
          <w:sz w:val="22"/>
        </w:rPr>
        <w:t>No standardized risk criteria — entirely dependent on individual CSM judgment</w:t>
      </w:r>
    </w:p>
    <w:p>
      <w:pPr>
        <w:pStyle w:val="ListBullet"/>
        <w:spacing w:after="40"/>
        <w:ind w:left="432"/>
      </w:pPr>
      <w:r>
        <w:rPr>
          <w:sz w:val="22"/>
        </w:rPr>
        <w:t>At-risk customers often identified only after cancellation notice received</w:t>
      </w:r>
    </w:p>
    <w:p>
      <w:pPr>
        <w:pStyle w:val="ListBullet"/>
        <w:spacing w:after="40"/>
        <w:ind w:left="432"/>
      </w:pPr>
      <w:r>
        <w:rPr>
          <w:sz w:val="22"/>
        </w:rPr>
        <w:t>Escalation path informal — email chains with no SLA or audit trail</w:t>
      </w:r>
    </w:p>
    <w:p>
      <w:pPr>
        <w:spacing w:after="80"/>
      </w:pPr>
      <w:r>
        <w:rPr>
          <w:b w:val="0"/>
          <w:i/>
          <w:color w:val="5D6D7E"/>
          <w:sz w:val="22"/>
        </w:rPr>
        <w:t>Key Pain Points: Manual effort, inconsistent criteria, reactive (not proactive), no visibility for management.</w:t>
      </w:r>
    </w:p>
    <w:p>
      <w:pPr>
        <w:spacing w:before="240" w:after="80"/>
      </w:pPr>
      <w:r>
        <w:rPr>
          <w:b/>
          <w:color w:val="4F8EF7"/>
          <w:sz w:val="24"/>
        </w:rPr>
        <w:t>7.2 TO-BE: Automated Customer Intelligence Process</w:t>
      </w:r>
    </w:p>
    <w:p>
      <w:pPr>
        <w:pStyle w:val="ListBullet"/>
        <w:spacing w:after="40"/>
        <w:ind w:left="432"/>
      </w:pPr>
      <w:r>
        <w:rPr>
          <w:sz w:val="22"/>
        </w:rPr>
        <w:t>Daily automated health score computation from 6 data signals — zero manual effort</w:t>
      </w:r>
    </w:p>
    <w:p>
      <w:pPr>
        <w:pStyle w:val="ListBullet"/>
        <w:spacing w:after="40"/>
        <w:ind w:left="432"/>
      </w:pPr>
      <w:r>
        <w:rPr>
          <w:sz w:val="22"/>
        </w:rPr>
        <w:t>Unified dashboard — single source of truth accessible to all CS stakeholders</w:t>
      </w:r>
    </w:p>
    <w:p>
      <w:pPr>
        <w:pStyle w:val="ListBullet"/>
        <w:spacing w:after="40"/>
        <w:ind w:left="432"/>
      </w:pPr>
      <w:r>
        <w:rPr>
          <w:sz w:val="22"/>
        </w:rPr>
        <w:t>Rule-based + AI composite risk scoring with configurable thresholds</w:t>
      </w:r>
    </w:p>
    <w:p>
      <w:pPr>
        <w:pStyle w:val="ListBullet"/>
        <w:spacing w:after="40"/>
        <w:ind w:left="432"/>
      </w:pPr>
      <w:r>
        <w:rPr>
          <w:sz w:val="22"/>
        </w:rPr>
        <w:t>Proactive Slack/email alert sent to CSM when risk score crosses threshold</w:t>
      </w:r>
    </w:p>
    <w:p>
      <w:pPr>
        <w:pStyle w:val="ListBullet"/>
        <w:spacing w:after="40"/>
        <w:ind w:left="432"/>
      </w:pPr>
      <w:r>
        <w:rPr>
          <w:sz w:val="22"/>
        </w:rPr>
        <w:t>Structured escalation workflow with SLA tracking and audit log</w:t>
      </w:r>
    </w:p>
    <w:p>
      <w:pPr>
        <w:pStyle w:val="ListBullet"/>
        <w:spacing w:after="40"/>
        <w:ind w:left="432"/>
      </w:pPr>
      <w:r>
        <w:rPr>
          <w:sz w:val="22"/>
        </w:rPr>
        <w:t>Weekly AI-generated insight report from customer feedback batch processed overnight</w:t>
      </w:r>
    </w:p>
    <w:p>
      <w:pPr>
        <w:spacing w:after="80"/>
      </w:pPr>
      <w:r>
        <w:rPr>
          <w:b w:val="0"/>
          <w:i/>
          <w:color w:val="4F8EF7"/>
          <w:sz w:val="22"/>
        </w:rPr>
        <w:t>Expected Outcomes: 35% churn reduction, 4 hours/week saved per CSM, proactive intervention at scale.</w:t>
      </w:r>
    </w:p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8. ASSUMPTIONS &amp; CONSTRAINTS</w:t>
      </w:r>
    </w:p>
    <w:p>
      <w:pPr>
        <w:spacing w:before="240" w:after="80"/>
      </w:pPr>
      <w:r>
        <w:rPr>
          <w:b/>
          <w:color w:val="4F8EF7"/>
          <w:sz w:val="24"/>
        </w:rPr>
        <w:t>8.1 Assumptions</w:t>
      </w:r>
    </w:p>
    <w:p>
      <w:pPr>
        <w:pStyle w:val="ListBullet"/>
        <w:spacing w:after="40"/>
        <w:ind w:left="432"/>
      </w:pPr>
      <w:r>
        <w:rPr>
          <w:sz w:val="22"/>
        </w:rPr>
        <w:t>Customer data is available in a centralized SQL-accessible database at project kick-off.</w:t>
      </w:r>
    </w:p>
    <w:p>
      <w:pPr>
        <w:pStyle w:val="ListBullet"/>
        <w:spacing w:after="40"/>
        <w:ind w:left="432"/>
      </w:pPr>
      <w:r>
        <w:rPr>
          <w:sz w:val="22"/>
        </w:rPr>
        <w:t>Slack is the primary communication tool for the CS team and integration access will be granted.</w:t>
      </w:r>
    </w:p>
    <w:p>
      <w:pPr>
        <w:pStyle w:val="ListBullet"/>
        <w:spacing w:after="40"/>
        <w:ind w:left="432"/>
      </w:pPr>
      <w:r>
        <w:rPr>
          <w:sz w:val="22"/>
        </w:rPr>
        <w:t>Engineering team has capacity to allocate 2 developers for the 3-month build phase.</w:t>
      </w:r>
    </w:p>
    <w:p>
      <w:pPr>
        <w:pStyle w:val="ListBullet"/>
        <w:spacing w:after="40"/>
        <w:ind w:left="432"/>
      </w:pPr>
      <w:r>
        <w:rPr>
          <w:sz w:val="22"/>
        </w:rPr>
        <w:t>All stakeholders are available for bi-weekly review sessions throughout the project.</w:t>
      </w:r>
    </w:p>
    <w:p>
      <w:pPr>
        <w:pStyle w:val="ListBullet"/>
        <w:spacing w:after="40"/>
        <w:ind w:left="432"/>
      </w:pPr>
      <w:r>
        <w:rPr>
          <w:sz w:val="22"/>
        </w:rPr>
        <w:t>AI API (Anthropic Claude) access and billing is approved by the CFO prior to development start.</w:t>
      </w:r>
    </w:p>
    <w:p>
      <w:pPr>
        <w:spacing w:before="240" w:after="80"/>
      </w:pPr>
      <w:r>
        <w:rPr>
          <w:b/>
          <w:color w:val="4F8EF7"/>
          <w:sz w:val="24"/>
        </w:rPr>
        <w:t>8.2 Constraints</w:t>
      </w:r>
    </w:p>
    <w:p>
      <w:pPr>
        <w:pStyle w:val="ListBullet"/>
        <w:spacing w:after="40"/>
        <w:ind w:left="432"/>
      </w:pPr>
      <w:r>
        <w:rPr>
          <w:sz w:val="22"/>
        </w:rPr>
        <w:t>Budget cap of $120,000 for Phase 1 (build + deploy). Phase 2 features require separate approval.</w:t>
      </w:r>
    </w:p>
    <w:p>
      <w:pPr>
        <w:pStyle w:val="ListBullet"/>
        <w:spacing w:after="40"/>
        <w:ind w:left="432"/>
      </w:pPr>
      <w:r>
        <w:rPr>
          <w:sz w:val="22"/>
        </w:rPr>
        <w:t>All deliverables must be production-ready within 12 weeks of project kick-off.</w:t>
      </w:r>
    </w:p>
    <w:p>
      <w:pPr>
        <w:pStyle w:val="ListBullet"/>
        <w:spacing w:after="40"/>
        <w:ind w:left="432"/>
      </w:pPr>
      <w:r>
        <w:rPr>
          <w:sz w:val="22"/>
        </w:rPr>
        <w:t>No changes to the existing billing system infrastructure during Phase 1.</w:t>
      </w:r>
    </w:p>
    <w:p>
      <w:pPr>
        <w:pStyle w:val="ListBullet"/>
        <w:spacing w:after="40"/>
        <w:ind w:left="432"/>
      </w:pPr>
      <w:r>
        <w:rPr>
          <w:sz w:val="22"/>
        </w:rPr>
        <w:t>Customer PII must remain within the existing data governance framework — no third-party data sharing.</w:t>
      </w:r>
    </w:p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9. SUCCESS METRICS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Current Baseline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Target (12 months)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Measurement Method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Annual Churn Rate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22%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≤ 14%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CRM data — monthly cohort analysis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Onboarding Completion Rate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82%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≥ 95%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Onboarding tracker — stage completion data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Avg Support Resolution Time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28 hours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≤ 17 hours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Ticketing system — resolved timestamp delta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Critical Ticket SLA Breach Rate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35%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≤ 10%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Ticketing system — SLA compliance report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At-Risk Customer Identification Time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7-14 days (manual)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&lt; 24 hours (automated)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Risk alert log — timestamp of first alert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CSM Manual Health Check Time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4 hrs/week/CSM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&lt; 30 min/week/CSM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Time tracking survey — quarterly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MRR Retained from At-Risk Cohort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Baseline TBD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+$180K ARR protected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Revenue retention report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Customer NPS (Active Cohort)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Avg 6.8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≥ 8.0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NPS survey — quarterly</w:t>
            </w:r>
          </w:p>
        </w:tc>
      </w:tr>
    </w:tbl>
    <w:p/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10.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Risk Description</w:t>
            </w:r>
          </w:p>
        </w:tc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57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R-01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AI API rate limits cause latency during peak usage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Implement request queuing + caching layer; fallback to batch processing mode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R-02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Data quality issues in legacy customer records corrupt health scores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Data validation pipeline at ingestion; null-handling rules defined in BRD appendix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R-03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CS team resistance to adopting new workflow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Change management plan; CS team involved in UAT; champions identified early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R-04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Engineering capacity reduced due to competing sprint priorities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Executive sponsor alignment on resource allocation; weekly scope review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R-05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Slack integration approval delayed by IT security review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Begin IT security review in Week 1; email digest as fallback alert channel</w:t>
            </w:r>
          </w:p>
        </w:tc>
      </w:tr>
      <w:tr>
        <w:tc>
          <w:tcPr>
            <w:tcW w:type="dxa" w:w="1757"/>
          </w:tcPr>
          <w:p>
            <w:r>
              <w:rPr>
                <w:b w:val="0"/>
                <w:sz w:val="20"/>
              </w:rPr>
              <w:t>R-06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AI-generated user stories contain inaccurate business context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757"/>
          </w:tcPr>
          <w:p>
            <w:r>
              <w:rPr>
                <w:b w:val="0"/>
                <w:sz w:val="20"/>
              </w:rPr>
              <w:t>All AI outputs reviewed by BA before stakeholder distribution; human-in-loop workflow</w:t>
            </w:r>
          </w:p>
        </w:tc>
      </w:tr>
    </w:tbl>
    <w:p/>
    <w:p>
      <w:pPr>
        <w:spacing w:before="360" w:after="120"/>
        <w:pBdr>
          <w:bottom w:val="single" w:sz="6" w:space="4" w:color="1A3A5C"/>
        </w:pBdr>
      </w:pPr>
      <w:r>
        <w:rPr>
          <w:b/>
          <w:color w:val="1A3A5C"/>
          <w:sz w:val="28"/>
        </w:rPr>
        <w:t>11. APPROVAL &amp; SIGN-OFF</w:t>
      </w:r>
    </w:p>
    <w:p>
      <w:pPr>
        <w:spacing w:after="80"/>
      </w:pPr>
      <w:r>
        <w:rPr>
          <w:b w:val="0"/>
          <w:i w:val="0"/>
          <w:sz w:val="22"/>
        </w:rPr>
        <w:t>The undersigned confirm that this BRD accurately represents the business requirements for the BridgeIQ project and approve it for development.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_________________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VP Customer Success (Sponsor)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_________________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___________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_________________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Product Manager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_________________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___________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_________________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Engineering Lead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_________________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___________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sz w:val="20"/>
              </w:rPr>
              <w:t>_________________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CFO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_________________</w:t>
            </w:r>
          </w:p>
        </w:tc>
        <w:tc>
          <w:tcPr>
            <w:tcW w:type="dxa" w:w="2196"/>
          </w:tcPr>
          <w:p>
            <w:r>
              <w:rPr>
                <w:b w:val="0"/>
                <w:sz w:val="20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