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7D9A"/>
          <w:sz w:val="16"/>
        </w:rPr>
        <w:t>SHOPVIBE  /  ARCHITECTURE DECISION RECORD</w:t>
      </w:r>
    </w:p>
    <w:p>
      <w:pPr>
        <w:pStyle w:val="Title"/>
        <w:spacing w:after="40"/>
      </w:pPr>
      <w:r>
        <w:t>ADR-001 — Captura de alterações com CDC e Debezium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2592"/>
      </w:tblGrid>
      <w:tr>
        <w:tc>
          <w:tcPr>
            <w:tcW w:type="dxa" w:w="5083"/>
            <w:shd w:fill="EAF3F8"/>
          </w:tcPr>
          <w:p>
            <w:pPr>
              <w:spacing w:after="20"/>
            </w:pPr>
            <w:r>
              <w:rPr>
                <w:b/>
                <w:color w:val="102A56"/>
                <w:sz w:val="16"/>
              </w:rPr>
              <w:t>Projeto: ShopVibe — Ingestão de Dados em Tempo Real</w:t>
            </w:r>
          </w:p>
        </w:tc>
        <w:tc>
          <w:tcPr>
            <w:tcW w:type="dxa" w:w="5083"/>
            <w:shd w:fill="EAF3F8"/>
          </w:tcPr>
          <w:p>
            <w:pPr>
              <w:spacing w:after="20"/>
            </w:pPr>
            <w:r>
              <w:rPr>
                <w:b/>
                <w:color w:val="102A56"/>
                <w:sz w:val="16"/>
              </w:rPr>
              <w:t>Status: Proposto</w:t>
            </w:r>
          </w:p>
        </w:tc>
      </w:tr>
    </w:tbl>
    <w:p>
      <w:pPr>
        <w:pStyle w:val="Heading2"/>
      </w:pPr>
      <w:r>
        <w:t>1. Contexto</w:t>
      </w:r>
    </w:p>
    <w:p>
      <w:r>
        <w:t>A ShopVibe precisa identificar novos pedidos no PostgreSQL e disponibilizar seus eventos em poucos segundos. Consultas periódicas (polling) podem adicionar carga ao banco e só identificam alterações quando a próxima consulta é executada.</w:t>
      </w:r>
    </w:p>
    <w:p>
      <w:pPr>
        <w:pStyle w:val="Heading2"/>
      </w:pPr>
      <w:r>
        <w:t>2. Decisão</w:t>
      </w:r>
    </w:p>
    <w:p>
      <w:pPr>
        <w:spacing w:after="60"/>
      </w:pPr>
      <w:r>
        <w:t>Adotar Change Data Capture (CDC) com Debezium, executado pelo Kafka Connect, para capturar as alterações relevantes no PostgreSQL e publicá-las nos tópicos do Kafka.</w:t>
      </w:r>
    </w:p>
    <w:p>
      <w:pPr>
        <w:pStyle w:val="Heading2"/>
      </w:pPr>
      <w:r>
        <w:t>3. Alternativas consideradas</w:t>
      </w:r>
    </w:p>
    <w:p>
      <w:pPr>
        <w:spacing w:after="20"/>
      </w:pPr>
      <w:r>
        <w:rPr>
          <w:b/>
        </w:rPr>
        <w:t xml:space="preserve">Polling periódico — </w:t>
      </w:r>
      <w:r>
        <w:t>Consultar o banco em intervalos definidos para procurar novos registros ou alterações.</w:t>
      </w:r>
    </w:p>
    <w:p>
      <w:pPr>
        <w:spacing w:after="20"/>
      </w:pPr>
      <w:r>
        <w:rPr>
          <w:b/>
        </w:rPr>
        <w:t xml:space="preserve">CDC com Debezium — </w:t>
      </w:r>
      <w:r>
        <w:t>Capturar alterações a partir do mecanismo de replicação lógica do PostgreSQL e encaminhá-las ao Kafka.</w:t>
      </w:r>
    </w:p>
    <w:p>
      <w:pPr>
        <w:pStyle w:val="Heading2"/>
      </w:pPr>
      <w:r>
        <w:t>4. Justificativa</w:t>
      </w:r>
    </w:p>
    <w:p>
      <w:r>
        <w:t>O CDC é adequado à necessidade de ingestão contínua e reduz a dependência de consultas repetidas para descobrir novos pedidos. A integração do Debezium com Kafka Connect permite encaminhar os eventos ao Kafka sem desenvolver um processo de captura próprio.</w:t>
      </w:r>
    </w:p>
    <w:p>
      <w:pPr>
        <w:pStyle w:val="Heading2"/>
      </w:pPr>
      <w:r>
        <w:t>5. Consequências</w:t>
      </w:r>
    </w:p>
    <w:p>
      <w:r>
        <w:rPr>
          <w:b/>
          <w:color w:val="167D9A"/>
        </w:rPr>
        <w:t>Benefícios</w:t>
      </w:r>
    </w:p>
    <w:p>
      <w:pPr>
        <w:pStyle w:val="ListBullet"/>
        <w:spacing w:after="20"/>
        <w:ind w:left="317" w:hanging="173"/>
      </w:pPr>
      <w:r>
        <w:t>Captura contínua de alterações e potencial de baixa latência.</w:t>
      </w:r>
    </w:p>
    <w:p>
      <w:pPr>
        <w:pStyle w:val="ListBullet"/>
        <w:spacing w:after="20"/>
        <w:ind w:left="317" w:hanging="173"/>
      </w:pPr>
      <w:r>
        <w:t>Integração com Kafka por meio do Kafka Connect.</w:t>
      </w:r>
    </w:p>
    <w:p>
      <w:pPr>
        <w:pStyle w:val="ListBullet"/>
        <w:spacing w:after="20"/>
        <w:ind w:left="317" w:hanging="173"/>
      </w:pPr>
      <w:r>
        <w:t>Menor dependência de consultas periódicas à tabela de pedidos.</w:t>
      </w:r>
    </w:p>
    <w:p>
      <w:pPr>
        <w:spacing w:before="40"/>
      </w:pPr>
      <w:r>
        <w:rPr>
          <w:b/>
          <w:color w:val="167D9A"/>
        </w:rPr>
        <w:t>Pontos de atenção</w:t>
      </w:r>
    </w:p>
    <w:p>
      <w:pPr>
        <w:pStyle w:val="ListBullet"/>
        <w:spacing w:after="20"/>
        <w:ind w:left="317" w:hanging="173"/>
      </w:pPr>
      <w:r>
        <w:t>O PostgreSQL precisa estar configurado para replicação lógica e o conector precisa das permissões necessárias.</w:t>
      </w:r>
    </w:p>
    <w:p>
      <w:pPr>
        <w:pStyle w:val="ListBullet"/>
        <w:spacing w:after="20"/>
        <w:ind w:left="317" w:hanging="173"/>
      </w:pPr>
      <w:r>
        <w:t>É preciso configurar quais tabelas serão capturadas e validar o formato dos eventos.</w:t>
      </w:r>
    </w:p>
    <w:p>
      <w:pPr>
        <w:pStyle w:val="ListBullet"/>
        <w:spacing w:after="20"/>
        <w:ind w:left="317" w:hanging="173"/>
      </w:pPr>
      <w:r>
        <w:t>A latência depende da configuração e do desempenho de PostgreSQL, Debezium e Kafka.</w:t>
      </w:r>
    </w:p>
    <w:p>
      <w:pPr>
        <w:pStyle w:val="Heading2"/>
      </w:pPr>
      <w:r>
        <w:t>6. Validação da decisão</w:t>
      </w:r>
    </w:p>
    <w:p>
      <w:r>
        <w:t>Configurar o conector Debezium PostgreSQL para o banco e schema `inventory`, selecionando as tabelas exigidas pelo projeto. Validar o fluxo criando um novo pedido e verificando se o evento correspondente aparece no tópico Kafka em poucos segundos.</w:t>
      </w:r>
    </w:p>
    <w:p>
      <w:r>
        <w:br w:type="page"/>
      </w:r>
    </w:p>
    <w:p>
      <w:pPr>
        <w:jc w:val="left"/>
      </w:pPr>
      <w:r>
        <w:rPr>
          <w:b/>
          <w:color w:val="167D9A"/>
          <w:sz w:val="16"/>
        </w:rPr>
        <w:t>SHOPVIBE  /  ARCHITECTURE DECISION RECORD</w:t>
      </w:r>
    </w:p>
    <w:p>
      <w:pPr>
        <w:pStyle w:val="Title"/>
        <w:spacing w:after="40"/>
      </w:pPr>
      <w:r>
        <w:t>ADR-002 — Apache Kafka como plataforma de transporte de eventos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2592"/>
      </w:tblGrid>
      <w:tr>
        <w:tc>
          <w:tcPr>
            <w:tcW w:type="dxa" w:w="5083"/>
            <w:shd w:fill="EAF3F8"/>
          </w:tcPr>
          <w:p>
            <w:pPr>
              <w:spacing w:after="20"/>
            </w:pPr>
            <w:r>
              <w:rPr>
                <w:b/>
                <w:color w:val="102A56"/>
                <w:sz w:val="16"/>
              </w:rPr>
              <w:t>Projeto: ShopVibe — Ingestão de Dados em Tempo Real</w:t>
            </w:r>
          </w:p>
        </w:tc>
        <w:tc>
          <w:tcPr>
            <w:tcW w:type="dxa" w:w="5083"/>
            <w:shd w:fill="EAF3F8"/>
          </w:tcPr>
          <w:p>
            <w:pPr>
              <w:spacing w:after="20"/>
            </w:pPr>
            <w:r>
              <w:rPr>
                <w:b/>
                <w:color w:val="102A56"/>
                <w:sz w:val="16"/>
              </w:rPr>
              <w:t>Status: Proposto</w:t>
            </w:r>
          </w:p>
        </w:tc>
      </w:tr>
    </w:tbl>
    <w:p>
      <w:pPr>
        <w:pStyle w:val="Heading2"/>
      </w:pPr>
      <w:r>
        <w:t>1. Contexto</w:t>
      </w:r>
    </w:p>
    <w:p>
      <w:r>
        <w:t>Os eventos capturados no PostgreSQL precisam ser disponibilizados em poucos segundos e encaminhados ao armazenamento Bronze. A captura e a persistência devem ser desacopladas para que cada componente possa operar e ser ajustado independentemente.</w:t>
      </w:r>
    </w:p>
    <w:p>
      <w:pPr>
        <w:pStyle w:val="Heading2"/>
      </w:pPr>
      <w:r>
        <w:t>2. Decisão</w:t>
      </w:r>
    </w:p>
    <w:p>
      <w:pPr>
        <w:spacing w:after="60"/>
      </w:pPr>
      <w:r>
        <w:t>Adotar Apache Kafka como plataforma de streaming e transporte. O Debezium publica os eventos em tópicos Kafka, e o Kafka Connect S3 Sink consome os eventos para persistência no MinIO.</w:t>
      </w:r>
    </w:p>
    <w:p>
      <w:pPr>
        <w:pStyle w:val="Heading2"/>
      </w:pPr>
      <w:r>
        <w:t>3. Alternativas consideradas</w:t>
      </w:r>
    </w:p>
    <w:p>
      <w:pPr>
        <w:spacing w:after="20"/>
      </w:pPr>
      <w:r>
        <w:rPr>
          <w:b/>
        </w:rPr>
        <w:t xml:space="preserve">Integração direta — </w:t>
      </w:r>
      <w:r>
        <w:t>Enviar os dados capturados diretamente ao armazenamento, sem uma plataforma intermediária de eventos.</w:t>
      </w:r>
    </w:p>
    <w:p>
      <w:pPr>
        <w:spacing w:after="20"/>
      </w:pPr>
      <w:r>
        <w:rPr>
          <w:b/>
        </w:rPr>
        <w:t xml:space="preserve">Apache Kafka — </w:t>
      </w:r>
      <w:r>
        <w:t>Publicar os eventos em tópicos e permitir que componentes consumidores os leiam de forma independente.</w:t>
      </w:r>
    </w:p>
    <w:p>
      <w:pPr>
        <w:pStyle w:val="Heading2"/>
      </w:pPr>
      <w:r>
        <w:t>4. Justificativa</w:t>
      </w:r>
    </w:p>
    <w:p>
      <w:r>
        <w:t>O Kafka desacopla a captura da persistência e permite que o Sink consuma eventos sem consultar diretamente o PostgreSQL. A retenção dos tópicos também pode permitir reconsumo, dentro dos limites de retenção e dos offsets configurados.</w:t>
      </w:r>
    </w:p>
    <w:p>
      <w:pPr>
        <w:pStyle w:val="Heading2"/>
      </w:pPr>
      <w:r>
        <w:t>5. Consequências</w:t>
      </w:r>
    </w:p>
    <w:p>
      <w:r>
        <w:rPr>
          <w:b/>
          <w:color w:val="167D9A"/>
        </w:rPr>
        <w:t>Benefícios</w:t>
      </w:r>
    </w:p>
    <w:p>
      <w:pPr>
        <w:pStyle w:val="ListBullet"/>
        <w:spacing w:after="20"/>
        <w:ind w:left="317" w:hanging="173"/>
      </w:pPr>
      <w:r>
        <w:t>Desacopla produtores e consumidores.</w:t>
      </w:r>
    </w:p>
    <w:p>
      <w:pPr>
        <w:pStyle w:val="ListBullet"/>
        <w:spacing w:after="20"/>
        <w:ind w:left="317" w:hanging="173"/>
      </w:pPr>
      <w:r>
        <w:t>Absorve variações temporárias entre a taxa de produção e a de consumo.</w:t>
      </w:r>
    </w:p>
    <w:p>
      <w:pPr>
        <w:pStyle w:val="ListBullet"/>
        <w:spacing w:after="20"/>
        <w:ind w:left="317" w:hanging="173"/>
      </w:pPr>
      <w:r>
        <w:t>Permite reconsumo enquanto os eventos estiverem disponíveis e os offsets forem configurados adequadamente.</w:t>
      </w:r>
    </w:p>
    <w:p>
      <w:pPr>
        <w:spacing w:before="40"/>
      </w:pPr>
      <w:r>
        <w:rPr>
          <w:b/>
          <w:color w:val="167D9A"/>
        </w:rPr>
        <w:t>Pontos de atenção</w:t>
      </w:r>
    </w:p>
    <w:p>
      <w:pPr>
        <w:pStyle w:val="ListBullet"/>
        <w:spacing w:after="20"/>
        <w:ind w:left="317" w:hanging="173"/>
      </w:pPr>
      <w:r>
        <w:t>Adiciona componentes e configuração operacional ao ambiente.</w:t>
      </w:r>
    </w:p>
    <w:p>
      <w:pPr>
        <w:pStyle w:val="ListBullet"/>
        <w:spacing w:after="20"/>
        <w:ind w:left="317" w:hanging="173"/>
      </w:pPr>
      <w:r>
        <w:t>Tópicos, retenção, offsets e fator de replicação precisam ser definidos.</w:t>
      </w:r>
    </w:p>
    <w:p>
      <w:pPr>
        <w:pStyle w:val="ListBullet"/>
        <w:spacing w:after="20"/>
        <w:ind w:left="317" w:hanging="173"/>
      </w:pPr>
      <w:r>
        <w:t>Consumidores devem considerar reentregas e possíveis duplicidades; Kafka não garante por si só que todo efeito externo será exatamente uma vez.</w:t>
      </w:r>
    </w:p>
    <w:p>
      <w:pPr>
        <w:pStyle w:val="Heading2"/>
      </w:pPr>
      <w:r>
        <w:t>6. Validação da decisão</w:t>
      </w:r>
    </w:p>
    <w:p>
      <w:r>
        <w:t>Criar ou validar os tópicos de eventos produzidos pelo Debezium e configurar o Kafka Connect S3 Sink para consumir o tópico correto. Demonstrar a criação de um novo pedido no PostgreSQL e a chegada do evento ao Kafka.</w:t>
      </w:r>
    </w:p>
    <w:p>
      <w:r>
        <w:br w:type="page"/>
      </w:r>
    </w:p>
    <w:p>
      <w:pPr>
        <w:jc w:val="left"/>
      </w:pPr>
      <w:r>
        <w:rPr>
          <w:b/>
          <w:color w:val="167D9A"/>
          <w:sz w:val="16"/>
        </w:rPr>
        <w:t>SHOPVIBE  /  ARCHITECTURE DECISION RECORD</w:t>
      </w:r>
    </w:p>
    <w:p>
      <w:pPr>
        <w:pStyle w:val="Title"/>
        <w:spacing w:after="40"/>
      </w:pPr>
      <w:r>
        <w:t>ADR-003 — Persistência dos eventos brutos no MinIO — camada Bronze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2592"/>
      </w:tblGrid>
      <w:tr>
        <w:tc>
          <w:tcPr>
            <w:tcW w:type="dxa" w:w="5083"/>
            <w:shd w:fill="EAF3F8"/>
          </w:tcPr>
          <w:p>
            <w:pPr>
              <w:spacing w:after="20"/>
            </w:pPr>
            <w:r>
              <w:rPr>
                <w:b/>
                <w:color w:val="102A56"/>
                <w:sz w:val="16"/>
              </w:rPr>
              <w:t>Projeto: ShopVibe — Ingestão de Dados em Tempo Real</w:t>
            </w:r>
          </w:p>
        </w:tc>
        <w:tc>
          <w:tcPr>
            <w:tcW w:type="dxa" w:w="5083"/>
            <w:shd w:fill="EAF3F8"/>
          </w:tcPr>
          <w:p>
            <w:pPr>
              <w:spacing w:after="20"/>
            </w:pPr>
            <w:r>
              <w:rPr>
                <w:b/>
                <w:color w:val="102A56"/>
                <w:sz w:val="16"/>
              </w:rPr>
              <w:t>Status: Proposto</w:t>
            </w:r>
          </w:p>
        </w:tc>
      </w:tr>
    </w:tbl>
    <w:p>
      <w:pPr>
        <w:pStyle w:val="Heading2"/>
      </w:pPr>
      <w:r>
        <w:t>1. Contexto</w:t>
      </w:r>
    </w:p>
    <w:p>
      <w:r>
        <w:t>A ShopVibe precisa manter os eventos brutos para inspeção, rastreabilidade e possível reprocessamento. A retenção de mensagens no Kafka, isoladamente, não substitui uma camada de armazenamento de objetos com política de retenção própria.</w:t>
      </w:r>
    </w:p>
    <w:p>
      <w:pPr>
        <w:pStyle w:val="Heading2"/>
      </w:pPr>
      <w:r>
        <w:t>2. Decisão</w:t>
      </w:r>
    </w:p>
    <w:p>
      <w:pPr>
        <w:spacing w:after="60"/>
      </w:pPr>
      <w:r>
        <w:t>Adotar MinIO como armazenamento de objetos compatível com S3 e Kafka Connect S3 Sink para consumir eventos do Kafka e gravá-los no bucket `bronze`, em formato JSON.</w:t>
      </w:r>
    </w:p>
    <w:p>
      <w:pPr>
        <w:pStyle w:val="Heading2"/>
      </w:pPr>
      <w:r>
        <w:t>3. Alternativas consideradas</w:t>
      </w:r>
    </w:p>
    <w:p>
      <w:pPr>
        <w:spacing w:after="20"/>
      </w:pPr>
      <w:r>
        <w:rPr>
          <w:b/>
        </w:rPr>
        <w:t xml:space="preserve">Manter somente no Kafka — </w:t>
      </w:r>
      <w:r>
        <w:t>Usar a retenção dos tópicos como única forma de preservar os eventos.</w:t>
      </w:r>
    </w:p>
    <w:p>
      <w:pPr>
        <w:spacing w:after="20"/>
      </w:pPr>
      <w:r>
        <w:rPr>
          <w:b/>
        </w:rPr>
        <w:t xml:space="preserve">Consumidor desenvolvido internamente — </w:t>
      </w:r>
      <w:r>
        <w:t>Criar uma aplicação própria para ler o Kafka e gravar os objetos.</w:t>
      </w:r>
    </w:p>
    <w:p>
      <w:pPr>
        <w:spacing w:after="20"/>
      </w:pPr>
      <w:r>
        <w:rPr>
          <w:b/>
        </w:rPr>
        <w:t xml:space="preserve">MinIO com S3 Sink — </w:t>
      </w:r>
      <w:r>
        <w:t>Usar armazenamento de objetos e um conector existente para persistir os eventos.</w:t>
      </w:r>
    </w:p>
    <w:p>
      <w:pPr>
        <w:pStyle w:val="Heading2"/>
      </w:pPr>
      <w:r>
        <w:t>4. Justificativa</w:t>
      </w:r>
    </w:p>
    <w:p>
      <w:r>
        <w:t>A combinação MinIO + S3 Sink separa o transporte da persistência e evita desenvolver um consumidor customizado para a gravação. O JSON facilita a inspeção dos dados brutos e oferece uma base para reprocessamento futuro.</w:t>
      </w:r>
    </w:p>
    <w:p>
      <w:pPr>
        <w:pStyle w:val="Heading2"/>
      </w:pPr>
      <w:r>
        <w:t>5. Consequências</w:t>
      </w:r>
    </w:p>
    <w:p>
      <w:r>
        <w:rPr>
          <w:b/>
          <w:color w:val="167D9A"/>
        </w:rPr>
        <w:t>Benefícios</w:t>
      </w:r>
    </w:p>
    <w:p>
      <w:pPr>
        <w:pStyle w:val="ListBullet"/>
        <w:spacing w:after="20"/>
        <w:ind w:left="317" w:hanging="173"/>
      </w:pPr>
      <w:r>
        <w:t>Preserva eventos fora da janela de retenção do Kafka, conforme a política de armazenamento adotada.</w:t>
      </w:r>
    </w:p>
    <w:p>
      <w:pPr>
        <w:pStyle w:val="ListBullet"/>
        <w:spacing w:after="20"/>
        <w:ind w:left="317" w:hanging="173"/>
      </w:pPr>
      <w:r>
        <w:t>Separa transporte e armazenamento.</w:t>
      </w:r>
    </w:p>
    <w:p>
      <w:pPr>
        <w:pStyle w:val="ListBullet"/>
        <w:spacing w:after="20"/>
        <w:ind w:left="317" w:hanging="173"/>
      </w:pPr>
      <w:r>
        <w:t>Permite inspeção e reprocessamento a partir dos objetos Bronze.</w:t>
      </w:r>
    </w:p>
    <w:p>
      <w:pPr>
        <w:pStyle w:val="ListBullet"/>
        <w:spacing w:after="20"/>
        <w:ind w:left="317" w:hanging="173"/>
      </w:pPr>
      <w:r>
        <w:t>Usa formato JSON legível para validar a entrega.</w:t>
      </w:r>
    </w:p>
    <w:p>
      <w:pPr>
        <w:spacing w:before="40"/>
      </w:pPr>
      <w:r>
        <w:rPr>
          <w:b/>
          <w:color w:val="167D9A"/>
        </w:rPr>
        <w:t>Pontos de atenção</w:t>
      </w:r>
    </w:p>
    <w:p>
      <w:pPr>
        <w:pStyle w:val="ListBullet"/>
        <w:spacing w:after="20"/>
        <w:ind w:left="317" w:hanging="173"/>
      </w:pPr>
      <w:r>
        <w:t>É necessário configurar endpoint S3 do MinIO, credenciais, bucket e parâmetros do conector.</w:t>
      </w:r>
    </w:p>
    <w:p>
      <w:pPr>
        <w:pStyle w:val="ListBullet"/>
        <w:spacing w:after="20"/>
        <w:ind w:left="317" w:hanging="173"/>
      </w:pPr>
      <w:r>
        <w:t>O Sink pode agrupar vários registros em um objeto; não se deve presumir um arquivo por evento.</w:t>
      </w:r>
    </w:p>
    <w:p>
      <w:pPr>
        <w:pStyle w:val="ListBullet"/>
        <w:spacing w:after="20"/>
        <w:ind w:left="317" w:hanging="173"/>
      </w:pPr>
      <w:r>
        <w:t>A configuração deve ser testada para confirmar o conteúdo, particionamento e formato gravado.</w:t>
      </w:r>
    </w:p>
    <w:p>
      <w:pPr>
        <w:pStyle w:val="Heading2"/>
      </w:pPr>
      <w:r>
        <w:t>6. Validação da decisão</w:t>
      </w:r>
    </w:p>
    <w:p>
      <w:r>
        <w:t>Criar o bucket `bronze` no MinIO e configurar o S3 Sink com o endpoint do MinIO, credenciais e tópico de origem corretos. Validar o resultado inspecionando os objetos gravados e confirmando que contêm os eventos esperados.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color w:val="2831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9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02A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