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3108960" cy="602561"/>
            <wp:docPr id="1" name="Picture 1"/>
            <wp:cNvGraphicFramePr>
              <a:graphicFrameLocks noChangeAspect="1"/>
            </wp:cNvGraphicFramePr>
            <a:graphic>
              <a:graphicData uri="http://schemas.openxmlformats.org/drawingml/2006/picture">
                <pic:pic>
                  <pic:nvPicPr>
                    <pic:cNvPr id="0" name="wordmark.png"/>
                    <pic:cNvPicPr/>
                  </pic:nvPicPr>
                  <pic:blipFill>
                    <a:blip r:embed="rId9"/>
                    <a:stretch>
                      <a:fillRect/>
                    </a:stretch>
                  </pic:blipFill>
                  <pic:spPr>
                    <a:xfrm>
                      <a:off x="0" y="0"/>
                      <a:ext cx="3108960" cy="602561"/>
                    </a:xfrm>
                    <a:prstGeom prst="rect"/>
                  </pic:spPr>
                </pic:pic>
              </a:graphicData>
            </a:graphic>
          </wp:inline>
        </w:drawing>
      </w:r>
    </w:p>
    <w:p>
      <w:pPr>
        <w:spacing w:after="520"/>
        <w:jc w:val="center"/>
      </w:pPr>
      <w:r>
        <w:rPr>
          <w:b w:val="0"/>
          <w:i w:val="0"/>
          <w:color w:val="555F6D"/>
          <w:sz w:val="30"/>
        </w:rPr>
        <w:t>Books. Made Smarter.</w:t>
      </w:r>
    </w:p>
    <w:p>
      <w:pPr>
        <w:spacing w:after="120"/>
        <w:jc w:val="center"/>
      </w:pPr>
      <w:r>
        <w:rPr>
          <w:b/>
          <w:i w:val="0"/>
          <w:color w:val="002F6E"/>
          <w:sz w:val="54"/>
        </w:rPr>
        <w:t>Project Documentation</w:t>
      </w:r>
    </w:p>
    <w:p>
      <w:pPr>
        <w:spacing w:after="600"/>
        <w:jc w:val="center"/>
      </w:pPr>
      <w:r>
        <w:rPr>
          <w:b w:val="0"/>
          <w:i w:val="0"/>
          <w:color w:val="555F6D"/>
          <w:sz w:val="24"/>
        </w:rPr>
        <w:t>Double-entry accounting, tax compliance and banking</w:t>
        <w:br/>
        <w:t>for businesses trading across borders</w:t>
      </w:r>
    </w:p>
    <w:tbl>
      <w:tblPr>
        <w:tblW w:type="auto" w:w="0"/>
        <w:jc w:val="center"/>
        <w:tblLook w:firstColumn="1" w:firstRow="1" w:lastColumn="0" w:lastRow="0" w:noHBand="0" w:noVBand="1" w:val="04A0"/>
      </w:tblPr>
      <w:tblGrid>
        <w:gridCol w:w="4680"/>
        <w:gridCol w:w="4680"/>
      </w:tblGrid>
      <w:tr>
        <w:tc>
          <w:tcPr>
            <w:tcW w:type="dxa" w:w="2016"/>
          </w:tcPr>
          <w:p>
            <w:r>
              <w:rPr>
                <w:b/>
                <w:color w:val="6B7482"/>
                <w:sz w:val="20"/>
              </w:rPr>
              <w:t>Product</w:t>
            </w:r>
          </w:p>
        </w:tc>
        <w:tc>
          <w:tcPr>
            <w:tcW w:type="dxa" w:w="5184"/>
          </w:tcPr>
          <w:p>
            <w:r>
              <w:rPr>
                <w:sz w:val="20"/>
              </w:rPr>
              <w:t>REKONZA AI</w:t>
            </w:r>
          </w:p>
        </w:tc>
      </w:tr>
      <w:tr>
        <w:tc>
          <w:tcPr>
            <w:tcW w:type="dxa" w:w="2016"/>
          </w:tcPr>
          <w:p>
            <w:r>
              <w:rPr>
                <w:b/>
                <w:color w:val="6B7482"/>
                <w:sz w:val="20"/>
              </w:rPr>
              <w:t>Document</w:t>
            </w:r>
          </w:p>
        </w:tc>
        <w:tc>
          <w:tcPr>
            <w:tcW w:type="dxa" w:w="5184"/>
          </w:tcPr>
          <w:p>
            <w:r>
              <w:rPr>
                <w:sz w:val="20"/>
              </w:rPr>
              <w:t>Functional and technical documentation</w:t>
            </w:r>
          </w:p>
        </w:tc>
      </w:tr>
      <w:tr>
        <w:tc>
          <w:tcPr>
            <w:tcW w:type="dxa" w:w="2016"/>
          </w:tcPr>
          <w:p>
            <w:r>
              <w:rPr>
                <w:b/>
                <w:color w:val="6B7482"/>
                <w:sz w:val="20"/>
              </w:rPr>
              <w:t>Version</w:t>
            </w:r>
          </w:p>
        </w:tc>
        <w:tc>
          <w:tcPr>
            <w:tcW w:type="dxa" w:w="5184"/>
          </w:tcPr>
          <w:p>
            <w:r>
              <w:rPr>
                <w:sz w:val="20"/>
              </w:rPr>
              <w:t>1.0 — build 7f58a19</w:t>
            </w:r>
          </w:p>
        </w:tc>
      </w:tr>
      <w:tr>
        <w:tc>
          <w:tcPr>
            <w:tcW w:type="dxa" w:w="2016"/>
          </w:tcPr>
          <w:p>
            <w:r>
              <w:rPr>
                <w:b/>
                <w:color w:val="6B7482"/>
                <w:sz w:val="20"/>
              </w:rPr>
              <w:t>Date</w:t>
            </w:r>
          </w:p>
        </w:tc>
        <w:tc>
          <w:tcPr>
            <w:tcW w:type="dxa" w:w="5184"/>
          </w:tcPr>
          <w:p>
            <w:r>
              <w:rPr>
                <w:sz w:val="20"/>
              </w:rPr>
              <w:t>08 September 2026</w:t>
            </w:r>
          </w:p>
        </w:tc>
      </w:tr>
      <w:tr>
        <w:tc>
          <w:tcPr>
            <w:tcW w:type="dxa" w:w="2016"/>
          </w:tcPr>
          <w:p>
            <w:r>
              <w:rPr>
                <w:b/>
                <w:color w:val="6B7482"/>
                <w:sz w:val="20"/>
              </w:rPr>
              <w:t>Status</w:t>
            </w:r>
          </w:p>
        </w:tc>
        <w:tc>
          <w:tcPr>
            <w:tcW w:type="dxa" w:w="5184"/>
          </w:tcPr>
          <w:p>
            <w:r>
              <w:rPr>
                <w:sz w:val="20"/>
              </w:rPr>
              <w:t>Feature-complete build; pre-production</w:t>
            </w:r>
          </w:p>
        </w:tc>
      </w:tr>
    </w:tbl>
    <w:p>
      <w:r>
        <w:br w:type="page"/>
      </w:r>
    </w:p>
    <w:p>
      <w:pPr>
        <w:pStyle w:val="Heading1"/>
      </w:pPr>
      <w:r>
        <w:t>Contents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fill="002F6E"/>
          </w:tcPr>
          <w:p>
            <w:pPr>
              <w:spacing w:after="40"/>
            </w:pPr>
            <w:r/>
            <w:r>
              <w:rPr>
                <w:b/>
                <w:color w:val="FFFFFF"/>
                <w:sz w:val="18"/>
              </w:rPr>
              <w:t>#</w:t>
            </w:r>
          </w:p>
        </w:tc>
        <w:tc>
          <w:tcPr>
            <w:tcW w:type="dxa" w:w="3312"/>
            <w:shd w:val="clear" w:fill="002F6E"/>
          </w:tcPr>
          <w:p>
            <w:pPr>
              <w:spacing w:after="40"/>
            </w:pPr>
            <w:r/>
            <w:r>
              <w:rPr>
                <w:b/>
                <w:color w:val="FFFFFF"/>
                <w:sz w:val="18"/>
              </w:rPr>
              <w:t>Section</w:t>
            </w:r>
          </w:p>
        </w:tc>
        <w:tc>
          <w:tcPr>
            <w:tcW w:type="dxa" w:w="5472"/>
            <w:shd w:val="clear" w:fill="002F6E"/>
          </w:tcPr>
          <w:p>
            <w:pPr>
              <w:spacing w:after="40"/>
            </w:pPr>
            <w:r/>
            <w:r>
              <w:rPr>
                <w:b/>
                <w:color w:val="FFFFFF"/>
                <w:sz w:val="18"/>
              </w:rPr>
              <w:t>Covers</w:t>
            </w:r>
          </w:p>
        </w:tc>
      </w:tr>
      <w:tr>
        <w:tc>
          <w:tcPr>
            <w:tcW w:type="dxa" w:w="576"/>
          </w:tcPr>
          <w:p>
            <w:pPr>
              <w:spacing w:after="40"/>
            </w:pPr>
            <w:r/>
            <w:r>
              <w:rPr>
                <w:b/>
                <w:sz w:val="18"/>
              </w:rPr>
              <w:t>1</w:t>
            </w:r>
          </w:p>
        </w:tc>
        <w:tc>
          <w:tcPr>
            <w:tcW w:type="dxa" w:w="3312"/>
          </w:tcPr>
          <w:p>
            <w:pPr>
              <w:spacing w:after="40"/>
            </w:pPr>
            <w:r/>
            <w:r>
              <w:rPr>
                <w:sz w:val="18"/>
              </w:rPr>
              <w:t>What this product is</w:t>
            </w:r>
          </w:p>
        </w:tc>
        <w:tc>
          <w:tcPr>
            <w:tcW w:type="dxa" w:w="5472"/>
          </w:tcPr>
          <w:p>
            <w:pPr>
              <w:spacing w:after="40"/>
            </w:pPr>
            <w:r/>
            <w:r>
              <w:rPr>
                <w:sz w:val="18"/>
              </w:rPr>
              <w:t>Scope, audience and the problem it solves</w:t>
            </w:r>
          </w:p>
        </w:tc>
      </w:tr>
      <w:tr>
        <w:tc>
          <w:tcPr>
            <w:tcW w:type="dxa" w:w="576"/>
            <w:shd w:val="clear" w:fill="F3F6FB"/>
          </w:tcPr>
          <w:p>
            <w:pPr>
              <w:spacing w:after="40"/>
            </w:pPr>
            <w:r/>
            <w:r>
              <w:rPr>
                <w:b/>
                <w:sz w:val="18"/>
              </w:rPr>
              <w:t>2</w:t>
            </w:r>
          </w:p>
        </w:tc>
        <w:tc>
          <w:tcPr>
            <w:tcW w:type="dxa" w:w="3312"/>
            <w:shd w:val="clear" w:fill="F3F6FB"/>
          </w:tcPr>
          <w:p>
            <w:pPr>
              <w:spacing w:after="40"/>
            </w:pPr>
            <w:r/>
            <w:r>
              <w:rPr>
                <w:sz w:val="18"/>
              </w:rPr>
              <w:t>Design principles</w:t>
            </w:r>
          </w:p>
        </w:tc>
        <w:tc>
          <w:tcPr>
            <w:tcW w:type="dxa" w:w="5472"/>
            <w:shd w:val="clear" w:fill="F3F6FB"/>
          </w:tcPr>
          <w:p>
            <w:pPr>
              <w:spacing w:after="40"/>
            </w:pPr>
            <w:r/>
            <w:r>
              <w:rPr>
                <w:sz w:val="18"/>
              </w:rPr>
              <w:t>The five rules the whole system is built on</w:t>
            </w:r>
          </w:p>
        </w:tc>
      </w:tr>
      <w:tr>
        <w:tc>
          <w:tcPr>
            <w:tcW w:type="dxa" w:w="576"/>
          </w:tcPr>
          <w:p>
            <w:pPr>
              <w:spacing w:after="40"/>
            </w:pPr>
            <w:r/>
            <w:r>
              <w:rPr>
                <w:b/>
                <w:sz w:val="18"/>
              </w:rPr>
              <w:t>3</w:t>
            </w:r>
          </w:p>
        </w:tc>
        <w:tc>
          <w:tcPr>
            <w:tcW w:type="dxa" w:w="3312"/>
          </w:tcPr>
          <w:p>
            <w:pPr>
              <w:spacing w:after="40"/>
            </w:pPr>
            <w:r/>
            <w:r>
              <w:rPr>
                <w:sz w:val="18"/>
              </w:rPr>
              <w:t>Technology and architecture</w:t>
            </w:r>
          </w:p>
        </w:tc>
        <w:tc>
          <w:tcPr>
            <w:tcW w:type="dxa" w:w="5472"/>
          </w:tcPr>
          <w:p>
            <w:pPr>
              <w:spacing w:after="40"/>
            </w:pPr>
            <w:r/>
            <w:r>
              <w:rPr>
                <w:sz w:val="18"/>
              </w:rPr>
              <w:t>Stack, layering and the path of a request</w:t>
            </w:r>
          </w:p>
        </w:tc>
      </w:tr>
      <w:tr>
        <w:tc>
          <w:tcPr>
            <w:tcW w:type="dxa" w:w="576"/>
            <w:shd w:val="clear" w:fill="F3F6FB"/>
          </w:tcPr>
          <w:p>
            <w:pPr>
              <w:spacing w:after="40"/>
            </w:pPr>
            <w:r/>
            <w:r>
              <w:rPr>
                <w:b/>
                <w:sz w:val="18"/>
              </w:rPr>
              <w:t>4</w:t>
            </w:r>
          </w:p>
        </w:tc>
        <w:tc>
          <w:tcPr>
            <w:tcW w:type="dxa" w:w="3312"/>
            <w:shd w:val="clear" w:fill="F3F6FB"/>
          </w:tcPr>
          <w:p>
            <w:pPr>
              <w:spacing w:after="40"/>
            </w:pPr>
            <w:r/>
            <w:r>
              <w:rPr>
                <w:sz w:val="18"/>
              </w:rPr>
              <w:t>The data model</w:t>
            </w:r>
          </w:p>
        </w:tc>
        <w:tc>
          <w:tcPr>
            <w:tcW w:type="dxa" w:w="5472"/>
            <w:shd w:val="clear" w:fill="F3F6FB"/>
          </w:tcPr>
          <w:p>
            <w:pPr>
              <w:spacing w:after="40"/>
            </w:pPr>
            <w:r/>
            <w:r>
              <w:rPr>
                <w:sz w:val="18"/>
              </w:rPr>
              <w:t>Schema by area, and why it is shaped this way</w:t>
            </w:r>
          </w:p>
        </w:tc>
      </w:tr>
      <w:tr>
        <w:tc>
          <w:tcPr>
            <w:tcW w:type="dxa" w:w="576"/>
          </w:tcPr>
          <w:p>
            <w:pPr>
              <w:spacing w:after="40"/>
            </w:pPr>
            <w:r/>
            <w:r>
              <w:rPr>
                <w:b/>
                <w:sz w:val="18"/>
              </w:rPr>
              <w:t>5</w:t>
            </w:r>
          </w:p>
        </w:tc>
        <w:tc>
          <w:tcPr>
            <w:tcW w:type="dxa" w:w="3312"/>
          </w:tcPr>
          <w:p>
            <w:pPr>
              <w:spacing w:after="40"/>
            </w:pPr>
            <w:r/>
            <w:r>
              <w:rPr>
                <w:sz w:val="18"/>
              </w:rPr>
              <w:t>Parties and party linking</w:t>
            </w:r>
          </w:p>
        </w:tc>
        <w:tc>
          <w:tcPr>
            <w:tcW w:type="dxa" w:w="5472"/>
          </w:tcPr>
          <w:p>
            <w:pPr>
              <w:spacing w:after="40"/>
            </w:pPr>
            <w:r/>
            <w:r>
              <w:rPr>
                <w:sz w:val="18"/>
              </w:rPr>
              <w:t>Customers, vendors, and how they tie to the ledger</w:t>
            </w:r>
          </w:p>
        </w:tc>
      </w:tr>
      <w:tr>
        <w:tc>
          <w:tcPr>
            <w:tcW w:type="dxa" w:w="576"/>
            <w:shd w:val="clear" w:fill="F3F6FB"/>
          </w:tcPr>
          <w:p>
            <w:pPr>
              <w:spacing w:after="40"/>
            </w:pPr>
            <w:r/>
            <w:r>
              <w:rPr>
                <w:b/>
                <w:sz w:val="18"/>
              </w:rPr>
              <w:t>6</w:t>
            </w:r>
          </w:p>
        </w:tc>
        <w:tc>
          <w:tcPr>
            <w:tcW w:type="dxa" w:w="3312"/>
            <w:shd w:val="clear" w:fill="F3F6FB"/>
          </w:tcPr>
          <w:p>
            <w:pPr>
              <w:spacing w:after="40"/>
            </w:pPr>
            <w:r/>
            <w:r>
              <w:rPr>
                <w:sz w:val="18"/>
              </w:rPr>
              <w:t>Functional modules</w:t>
            </w:r>
          </w:p>
        </w:tc>
        <w:tc>
          <w:tcPr>
            <w:tcW w:type="dxa" w:w="5472"/>
            <w:shd w:val="clear" w:fill="F3F6FB"/>
          </w:tcPr>
          <w:p>
            <w:pPr>
              <w:spacing w:after="40"/>
            </w:pPr>
            <w:r/>
            <w:r>
              <w:rPr>
                <w:sz w:val="18"/>
              </w:rPr>
              <w:t>Every screen, module by module</w:t>
            </w:r>
          </w:p>
        </w:tc>
      </w:tr>
      <w:tr>
        <w:tc>
          <w:tcPr>
            <w:tcW w:type="dxa" w:w="576"/>
          </w:tcPr>
          <w:p>
            <w:pPr>
              <w:spacing w:after="40"/>
            </w:pPr>
            <w:r/>
            <w:r>
              <w:rPr>
                <w:b/>
                <w:sz w:val="18"/>
              </w:rPr>
              <w:t>7</w:t>
            </w:r>
          </w:p>
        </w:tc>
        <w:tc>
          <w:tcPr>
            <w:tcW w:type="dxa" w:w="3312"/>
          </w:tcPr>
          <w:p>
            <w:pPr>
              <w:spacing w:after="40"/>
            </w:pPr>
            <w:r/>
            <w:r>
              <w:rPr>
                <w:sz w:val="18"/>
              </w:rPr>
              <w:t>Trading internationally</w:t>
            </w:r>
          </w:p>
        </w:tc>
        <w:tc>
          <w:tcPr>
            <w:tcW w:type="dxa" w:w="5472"/>
          </w:tcPr>
          <w:p>
            <w:pPr>
              <w:spacing w:after="40"/>
            </w:pPr>
            <w:r/>
            <w:r>
              <w:rPr>
                <w:sz w:val="18"/>
              </w:rPr>
              <w:t>Cross-border supply, currency, and the jurisdiction layer</w:t>
            </w:r>
          </w:p>
        </w:tc>
      </w:tr>
      <w:tr>
        <w:tc>
          <w:tcPr>
            <w:tcW w:type="dxa" w:w="576"/>
            <w:shd w:val="clear" w:fill="F3F6FB"/>
          </w:tcPr>
          <w:p>
            <w:pPr>
              <w:spacing w:after="40"/>
            </w:pPr>
            <w:r/>
            <w:r>
              <w:rPr>
                <w:b/>
                <w:sz w:val="18"/>
              </w:rPr>
              <w:t>8</w:t>
            </w:r>
          </w:p>
        </w:tc>
        <w:tc>
          <w:tcPr>
            <w:tcW w:type="dxa" w:w="3312"/>
            <w:shd w:val="clear" w:fill="F3F6FB"/>
          </w:tcPr>
          <w:p>
            <w:pPr>
              <w:spacing w:after="40"/>
            </w:pPr>
            <w:r/>
            <w:r>
              <w:rPr>
                <w:sz w:val="18"/>
              </w:rPr>
              <w:t>Tax compliance by jurisdiction</w:t>
            </w:r>
          </w:p>
        </w:tc>
        <w:tc>
          <w:tcPr>
            <w:tcW w:type="dxa" w:w="5472"/>
            <w:shd w:val="clear" w:fill="F3F6FB"/>
          </w:tcPr>
          <w:p>
            <w:pPr>
              <w:spacing w:after="40"/>
            </w:pPr>
            <w:r/>
            <w:r>
              <w:rPr>
                <w:sz w:val="18"/>
              </w:rPr>
              <w:t>The pluggable layer, and India as the first regime</w:t>
            </w:r>
          </w:p>
        </w:tc>
      </w:tr>
      <w:tr>
        <w:tc>
          <w:tcPr>
            <w:tcW w:type="dxa" w:w="576"/>
          </w:tcPr>
          <w:p>
            <w:pPr>
              <w:spacing w:after="40"/>
            </w:pPr>
            <w:r/>
            <w:r>
              <w:rPr>
                <w:b/>
                <w:sz w:val="18"/>
              </w:rPr>
              <w:t>9</w:t>
            </w:r>
          </w:p>
        </w:tc>
        <w:tc>
          <w:tcPr>
            <w:tcW w:type="dxa" w:w="3312"/>
          </w:tcPr>
          <w:p>
            <w:pPr>
              <w:spacing w:after="40"/>
            </w:pPr>
            <w:r/>
            <w:r>
              <w:rPr>
                <w:sz w:val="18"/>
              </w:rPr>
              <w:t>Money and arithmetic</w:t>
            </w:r>
          </w:p>
        </w:tc>
        <w:tc>
          <w:tcPr>
            <w:tcW w:type="dxa" w:w="5472"/>
          </w:tcPr>
          <w:p>
            <w:pPr>
              <w:spacing w:after="40"/>
            </w:pPr>
            <w:r/>
            <w:r>
              <w:rPr>
                <w:sz w:val="18"/>
              </w:rPr>
              <w:t>Why nothing is stored as a floating-point number</w:t>
            </w:r>
          </w:p>
        </w:tc>
      </w:tr>
      <w:tr>
        <w:tc>
          <w:tcPr>
            <w:tcW w:type="dxa" w:w="576"/>
            <w:shd w:val="clear" w:fill="F3F6FB"/>
          </w:tcPr>
          <w:p>
            <w:pPr>
              <w:spacing w:after="40"/>
            </w:pPr>
            <w:r/>
            <w:r>
              <w:rPr>
                <w:b/>
                <w:sz w:val="18"/>
              </w:rPr>
              <w:t>10</w:t>
            </w:r>
          </w:p>
        </w:tc>
        <w:tc>
          <w:tcPr>
            <w:tcW w:type="dxa" w:w="3312"/>
            <w:shd w:val="clear" w:fill="F3F6FB"/>
          </w:tcPr>
          <w:p>
            <w:pPr>
              <w:spacing w:after="40"/>
            </w:pPr>
            <w:r/>
            <w:r>
              <w:rPr>
                <w:sz w:val="18"/>
              </w:rPr>
              <w:t>Security and audit</w:t>
            </w:r>
          </w:p>
        </w:tc>
        <w:tc>
          <w:tcPr>
            <w:tcW w:type="dxa" w:w="5472"/>
            <w:shd w:val="clear" w:fill="F3F6FB"/>
          </w:tcPr>
          <w:p>
            <w:pPr>
              <w:spacing w:after="40"/>
            </w:pPr>
            <w:r/>
            <w:r>
              <w:rPr>
                <w:sz w:val="18"/>
              </w:rPr>
              <w:t>Authentication, roles, and the audit trail</w:t>
            </w:r>
          </w:p>
        </w:tc>
      </w:tr>
      <w:tr>
        <w:tc>
          <w:tcPr>
            <w:tcW w:type="dxa" w:w="576"/>
          </w:tcPr>
          <w:p>
            <w:pPr>
              <w:spacing w:after="40"/>
            </w:pPr>
            <w:r/>
            <w:r>
              <w:rPr>
                <w:b/>
                <w:sz w:val="18"/>
              </w:rPr>
              <w:t>11</w:t>
            </w:r>
          </w:p>
        </w:tc>
        <w:tc>
          <w:tcPr>
            <w:tcW w:type="dxa" w:w="3312"/>
          </w:tcPr>
          <w:p>
            <w:pPr>
              <w:spacing w:after="40"/>
            </w:pPr>
            <w:r/>
            <w:r>
              <w:rPr>
                <w:sz w:val="18"/>
              </w:rPr>
              <w:t>Organisations and the demo book</w:t>
            </w:r>
          </w:p>
        </w:tc>
        <w:tc>
          <w:tcPr>
            <w:tcW w:type="dxa" w:w="5472"/>
          </w:tcPr>
          <w:p>
            <w:pPr>
              <w:spacing w:after="40"/>
            </w:pPr>
            <w:r/>
            <w:r>
              <w:rPr>
                <w:sz w:val="18"/>
              </w:rPr>
              <w:t>Tenancy, sign-up, and how the demo is kept apart</w:t>
            </w:r>
          </w:p>
        </w:tc>
      </w:tr>
      <w:tr>
        <w:tc>
          <w:tcPr>
            <w:tcW w:type="dxa" w:w="576"/>
            <w:shd w:val="clear" w:fill="F3F6FB"/>
          </w:tcPr>
          <w:p>
            <w:pPr>
              <w:spacing w:after="40"/>
            </w:pPr>
            <w:r/>
            <w:r>
              <w:rPr>
                <w:b/>
                <w:sz w:val="18"/>
              </w:rPr>
              <w:t>12</w:t>
            </w:r>
          </w:p>
        </w:tc>
        <w:tc>
          <w:tcPr>
            <w:tcW w:type="dxa" w:w="3312"/>
            <w:shd w:val="clear" w:fill="F3F6FB"/>
          </w:tcPr>
          <w:p>
            <w:pPr>
              <w:spacing w:after="40"/>
            </w:pPr>
            <w:r/>
            <w:r>
              <w:rPr>
                <w:sz w:val="18"/>
              </w:rPr>
              <w:t>Brand and public site</w:t>
            </w:r>
          </w:p>
        </w:tc>
        <w:tc>
          <w:tcPr>
            <w:tcW w:type="dxa" w:w="5472"/>
            <w:shd w:val="clear" w:fill="F3F6FB"/>
          </w:tcPr>
          <w:p>
            <w:pPr>
              <w:spacing w:after="40"/>
            </w:pPr>
            <w:r/>
            <w:r>
              <w:rPr>
                <w:sz w:val="18"/>
              </w:rPr>
              <w:t>Identity, landing page and search visibility</w:t>
            </w:r>
          </w:p>
        </w:tc>
      </w:tr>
      <w:tr>
        <w:tc>
          <w:tcPr>
            <w:tcW w:type="dxa" w:w="576"/>
          </w:tcPr>
          <w:p>
            <w:pPr>
              <w:spacing w:after="40"/>
            </w:pPr>
            <w:r/>
            <w:r>
              <w:rPr>
                <w:b/>
                <w:sz w:val="18"/>
              </w:rPr>
              <w:t>13</w:t>
            </w:r>
          </w:p>
        </w:tc>
        <w:tc>
          <w:tcPr>
            <w:tcW w:type="dxa" w:w="3312"/>
          </w:tcPr>
          <w:p>
            <w:pPr>
              <w:spacing w:after="40"/>
            </w:pPr>
            <w:r/>
            <w:r>
              <w:rPr>
                <w:sz w:val="18"/>
              </w:rPr>
              <w:t>Accounting-system integrations</w:t>
            </w:r>
          </w:p>
        </w:tc>
        <w:tc>
          <w:tcPr>
            <w:tcW w:type="dxa" w:w="5472"/>
          </w:tcPr>
          <w:p>
            <w:pPr>
              <w:spacing w:after="40"/>
            </w:pPr>
            <w:r/>
            <w:r>
              <w:rPr>
                <w:sz w:val="18"/>
              </w:rPr>
              <w:t>Planned — Tally first, and the pattern it sets</w:t>
            </w:r>
          </w:p>
        </w:tc>
      </w:tr>
      <w:tr>
        <w:tc>
          <w:tcPr>
            <w:tcW w:type="dxa" w:w="576"/>
            <w:shd w:val="clear" w:fill="F3F6FB"/>
          </w:tcPr>
          <w:p>
            <w:pPr>
              <w:spacing w:after="40"/>
            </w:pPr>
            <w:r/>
            <w:r>
              <w:rPr>
                <w:b/>
                <w:sz w:val="18"/>
              </w:rPr>
              <w:t>14</w:t>
            </w:r>
          </w:p>
        </w:tc>
        <w:tc>
          <w:tcPr>
            <w:tcW w:type="dxa" w:w="3312"/>
            <w:shd w:val="clear" w:fill="F3F6FB"/>
          </w:tcPr>
          <w:p>
            <w:pPr>
              <w:spacing w:after="40"/>
            </w:pPr>
            <w:r/>
            <w:r>
              <w:rPr>
                <w:sz w:val="18"/>
              </w:rPr>
              <w:t>What is not connected yet</w:t>
            </w:r>
          </w:p>
        </w:tc>
        <w:tc>
          <w:tcPr>
            <w:tcW w:type="dxa" w:w="5472"/>
            <w:shd w:val="clear" w:fill="F3F6FB"/>
          </w:tcPr>
          <w:p>
            <w:pPr>
              <w:spacing w:after="40"/>
            </w:pPr>
            <w:r/>
            <w:r>
              <w:rPr>
                <w:sz w:val="18"/>
              </w:rPr>
              <w:t>An honest list of the gaps</w:t>
            </w:r>
          </w:p>
        </w:tc>
      </w:tr>
      <w:tr>
        <w:tc>
          <w:tcPr>
            <w:tcW w:type="dxa" w:w="576"/>
          </w:tcPr>
          <w:p>
            <w:pPr>
              <w:spacing w:after="40"/>
            </w:pPr>
            <w:r/>
            <w:r>
              <w:rPr>
                <w:b/>
                <w:sz w:val="18"/>
              </w:rPr>
              <w:t>15</w:t>
            </w:r>
          </w:p>
        </w:tc>
        <w:tc>
          <w:tcPr>
            <w:tcW w:type="dxa" w:w="3312"/>
          </w:tcPr>
          <w:p>
            <w:pPr>
              <w:spacing w:after="40"/>
            </w:pPr>
            <w:r/>
            <w:r>
              <w:rPr>
                <w:sz w:val="18"/>
              </w:rPr>
              <w:t>Running and deploying</w:t>
            </w:r>
          </w:p>
        </w:tc>
        <w:tc>
          <w:tcPr>
            <w:tcW w:type="dxa" w:w="5472"/>
          </w:tcPr>
          <w:p>
            <w:pPr>
              <w:spacing w:after="40"/>
            </w:pPr>
            <w:r/>
            <w:r>
              <w:rPr>
                <w:sz w:val="18"/>
              </w:rPr>
              <w:t>Environment, migrations, seeding</w:t>
            </w:r>
          </w:p>
        </w:tc>
      </w:tr>
      <w:tr>
        <w:tc>
          <w:tcPr>
            <w:tcW w:type="dxa" w:w="576"/>
            <w:shd w:val="clear" w:fill="F3F6FB"/>
          </w:tcPr>
          <w:p>
            <w:pPr>
              <w:spacing w:after="40"/>
            </w:pPr>
            <w:r/>
            <w:r>
              <w:rPr>
                <w:b/>
                <w:sz w:val="18"/>
              </w:rPr>
              <w:t>16</w:t>
            </w:r>
          </w:p>
        </w:tc>
        <w:tc>
          <w:tcPr>
            <w:tcW w:type="dxa" w:w="3312"/>
            <w:shd w:val="clear" w:fill="F3F6FB"/>
          </w:tcPr>
          <w:p>
            <w:pPr>
              <w:spacing w:after="40"/>
            </w:pPr>
            <w:r/>
            <w:r>
              <w:rPr>
                <w:sz w:val="18"/>
              </w:rPr>
              <w:t>Testing and verification</w:t>
            </w:r>
          </w:p>
        </w:tc>
        <w:tc>
          <w:tcPr>
            <w:tcW w:type="dxa" w:w="5472"/>
            <w:shd w:val="clear" w:fill="F3F6FB"/>
          </w:tcPr>
          <w:p>
            <w:pPr>
              <w:spacing w:after="40"/>
            </w:pPr>
            <w:r/>
            <w:r>
              <w:rPr>
                <w:sz w:val="18"/>
              </w:rPr>
              <w:t>What is checked, and how</w:t>
            </w:r>
          </w:p>
        </w:tc>
      </w:tr>
      <w:tr>
        <w:tc>
          <w:tcPr>
            <w:tcW w:type="dxa" w:w="576"/>
          </w:tcPr>
          <w:p>
            <w:pPr>
              <w:spacing w:after="40"/>
            </w:pPr>
            <w:r/>
            <w:r>
              <w:rPr>
                <w:b/>
                <w:sz w:val="18"/>
              </w:rPr>
              <w:t>17</w:t>
            </w:r>
          </w:p>
        </w:tc>
        <w:tc>
          <w:tcPr>
            <w:tcW w:type="dxa" w:w="3312"/>
          </w:tcPr>
          <w:p>
            <w:pPr>
              <w:spacing w:after="40"/>
            </w:pPr>
            <w:r/>
            <w:r>
              <w:rPr>
                <w:sz w:val="18"/>
              </w:rPr>
              <w:t>Roadmap</w:t>
            </w:r>
          </w:p>
        </w:tc>
        <w:tc>
          <w:tcPr>
            <w:tcW w:type="dxa" w:w="5472"/>
          </w:tcPr>
          <w:p>
            <w:pPr>
              <w:spacing w:after="40"/>
            </w:pPr>
            <w:r/>
            <w:r>
              <w:rPr>
                <w:sz w:val="18"/>
              </w:rPr>
              <w:t>What comes next, in order</w:t>
            </w:r>
          </w:p>
        </w:tc>
      </w:tr>
      <w:tr>
        <w:tc>
          <w:tcPr>
            <w:tcW w:type="dxa" w:w="576"/>
            <w:shd w:val="clear" w:fill="F3F6FB"/>
          </w:tcPr>
          <w:p>
            <w:pPr>
              <w:spacing w:after="40"/>
            </w:pPr>
            <w:r/>
            <w:r>
              <w:rPr>
                <w:b/>
                <w:sz w:val="18"/>
              </w:rPr>
              <w:t>A</w:t>
            </w:r>
          </w:p>
        </w:tc>
        <w:tc>
          <w:tcPr>
            <w:tcW w:type="dxa" w:w="3312"/>
            <w:shd w:val="clear" w:fill="F3F6FB"/>
          </w:tcPr>
          <w:p>
            <w:pPr>
              <w:spacing w:after="40"/>
            </w:pPr>
            <w:r/>
            <w:r>
              <w:rPr>
                <w:sz w:val="18"/>
              </w:rPr>
              <w:t>Appendix — API endpoints</w:t>
            </w:r>
          </w:p>
        </w:tc>
        <w:tc>
          <w:tcPr>
            <w:tcW w:type="dxa" w:w="5472"/>
            <w:shd w:val="clear" w:fill="F3F6FB"/>
          </w:tcPr>
          <w:p>
            <w:pPr>
              <w:spacing w:after="40"/>
            </w:pPr>
            <w:r/>
            <w:r>
              <w:rPr>
                <w:sz w:val="18"/>
              </w:rPr>
              <w:t>42 route handlers</w:t>
            </w:r>
          </w:p>
        </w:tc>
      </w:tr>
      <w:tr>
        <w:tc>
          <w:tcPr>
            <w:tcW w:type="dxa" w:w="576"/>
          </w:tcPr>
          <w:p>
            <w:pPr>
              <w:spacing w:after="40"/>
            </w:pPr>
            <w:r/>
            <w:r>
              <w:rPr>
                <w:b/>
                <w:sz w:val="18"/>
              </w:rPr>
              <w:t>B</w:t>
            </w:r>
          </w:p>
        </w:tc>
        <w:tc>
          <w:tcPr>
            <w:tcW w:type="dxa" w:w="3312"/>
          </w:tcPr>
          <w:p>
            <w:pPr>
              <w:spacing w:after="40"/>
            </w:pPr>
            <w:r/>
            <w:r>
              <w:rPr>
                <w:sz w:val="18"/>
              </w:rPr>
              <w:t>Appendix — Database tables</w:t>
            </w:r>
          </w:p>
        </w:tc>
        <w:tc>
          <w:tcPr>
            <w:tcW w:type="dxa" w:w="5472"/>
          </w:tcPr>
          <w:p>
            <w:pPr>
              <w:spacing w:after="40"/>
            </w:pPr>
            <w:r/>
            <w:r>
              <w:rPr>
                <w:sz w:val="18"/>
              </w:rPr>
              <w:t>56 tables</w:t>
            </w:r>
          </w:p>
        </w:tc>
      </w:tr>
      <w:tr>
        <w:tc>
          <w:tcPr>
            <w:tcW w:type="dxa" w:w="576"/>
            <w:shd w:val="clear" w:fill="F3F6FB"/>
          </w:tcPr>
          <w:p>
            <w:pPr>
              <w:spacing w:after="40"/>
            </w:pPr>
            <w:r/>
            <w:r>
              <w:rPr>
                <w:b/>
                <w:sz w:val="18"/>
              </w:rPr>
              <w:t>C</w:t>
            </w:r>
          </w:p>
        </w:tc>
        <w:tc>
          <w:tcPr>
            <w:tcW w:type="dxa" w:w="3312"/>
            <w:shd w:val="clear" w:fill="F3F6FB"/>
          </w:tcPr>
          <w:p>
            <w:pPr>
              <w:spacing w:after="40"/>
            </w:pPr>
            <w:r/>
            <w:r>
              <w:rPr>
                <w:sz w:val="18"/>
              </w:rPr>
              <w:t>Appendix — Reports</w:t>
            </w:r>
          </w:p>
        </w:tc>
        <w:tc>
          <w:tcPr>
            <w:tcW w:type="dxa" w:w="5472"/>
            <w:shd w:val="clear" w:fill="F3F6FB"/>
          </w:tcPr>
          <w:p>
            <w:pPr>
              <w:spacing w:after="40"/>
            </w:pPr>
            <w:r/>
            <w:r>
              <w:rPr>
                <w:sz w:val="18"/>
              </w:rPr>
              <w:t>32 reports</w:t>
            </w:r>
          </w:p>
        </w:tc>
      </w:tr>
    </w:tbl>
    <w:p>
      <w:pPr>
        <w:spacing w:after="80"/>
      </w:pPr>
    </w:p>
    <w:p>
      <w:r>
        <w:br w:type="page"/>
      </w:r>
    </w:p>
    <w:p>
      <w:pPr>
        <w:pStyle w:val="Heading1"/>
      </w:pPr>
      <w:r>
        <w:t>1. What this product is</w:t>
      </w:r>
    </w:p>
    <w:p>
      <w:r>
        <w:rPr>
          <w:b w:val="0"/>
          <w:i w:val="0"/>
        </w:rPr>
        <w:t>REKONZA AI is an accounting platform for small and medium businesses. It keeps a double-entry ledger in a relational database, computes the tax due on every transaction, prepares the statutory returns, reconciles the bank, and derives every financial statement from the journal on request.</w:t>
      </w:r>
    </w:p>
    <w:p>
      <w:r>
        <w:rPr>
          <w:b w:val="0"/>
          <w:i w:val="0"/>
        </w:rPr>
        <w:t>It is one system rather than a billing tool with an accounting add-on. Raising an invoice moves the journal entry, the tax liability, the receivable, the customer balance and every report that reads them at the same instant and inside the same database transaction. There is no overnight posting run, and no second copy of a figure to fall out of step.</w:t>
      </w:r>
    </w:p>
    <w:p>
      <w:pPr>
        <w:pStyle w:val="Heading2"/>
      </w:pPr>
      <w:r>
        <w:t>1.1  A jurisdiction-neutral core</w:t>
      </w:r>
    </w:p>
    <w:p>
      <w:r>
        <w:rPr>
          <w:b w:val="0"/>
          <w:i w:val="0"/>
        </w:rPr>
        <w:t>Accounting itself does not vary by country. Double entry, the chart of accounts, parties, documents, ageing, bank reconciliation, the audit trail and the financial statements do not change when a business crosses a border. Tax does, and so do the statutory returns that report it.</w:t>
      </w:r>
    </w:p>
    <w:p>
      <w:r>
        <w:rPr>
          <w:b w:val="0"/>
          <w:i w:val="0"/>
        </w:rPr>
        <w:t>The system is built along that seam. Everything in the first column below is shared by every business the platform serves, wherever it trades. Everything in the second is supplied by a jurisdiction module, so adding a country means writing one of those rather than reaching into the ledger.</w:t>
      </w:r>
    </w:p>
    <w:tbl>
      <w:tblPr>
        <w:tblStyle w:val="TableGrid"/>
        <w:tblW w:type="auto" w:w="0"/>
        <w:jc w:val="center"/>
        <w:tblLook w:firstColumn="1" w:firstRow="1" w:lastColumn="0" w:lastRow="0" w:noHBand="0" w:noVBand="1" w:val="04A0"/>
      </w:tblPr>
      <w:tblGrid>
        <w:gridCol w:w="4680"/>
        <w:gridCol w:w="4680"/>
      </w:tblGrid>
      <w:tr>
        <w:tc>
          <w:tcPr>
            <w:tcW w:type="dxa" w:w="4464"/>
            <w:shd w:val="clear" w:fill="002F6E"/>
          </w:tcPr>
          <w:p>
            <w:pPr>
              <w:spacing w:after="40"/>
            </w:pPr>
            <w:r/>
            <w:r>
              <w:rPr>
                <w:b/>
                <w:color w:val="FFFFFF"/>
                <w:sz w:val="17"/>
              </w:rPr>
              <w:t>Shared by every jurisdiction</w:t>
            </w:r>
          </w:p>
        </w:tc>
        <w:tc>
          <w:tcPr>
            <w:tcW w:type="dxa" w:w="4464"/>
            <w:shd w:val="clear" w:fill="002F6E"/>
          </w:tcPr>
          <w:p>
            <w:pPr>
              <w:spacing w:after="40"/>
            </w:pPr>
            <w:r/>
            <w:r>
              <w:rPr>
                <w:b/>
                <w:color w:val="FFFFFF"/>
                <w:sz w:val="17"/>
              </w:rPr>
              <w:t>Supplied per jurisdiction</w:t>
            </w:r>
          </w:p>
        </w:tc>
      </w:tr>
      <w:tr>
        <w:tc>
          <w:tcPr>
            <w:tcW w:type="dxa" w:w="4464"/>
          </w:tcPr>
          <w:p>
            <w:pPr>
              <w:spacing w:after="40"/>
            </w:pPr>
            <w:r/>
            <w:r>
              <w:rPr>
                <w:b/>
                <w:sz w:val="17"/>
              </w:rPr>
              <w:t>Double-entry ledger and posting engine</w:t>
            </w:r>
          </w:p>
        </w:tc>
        <w:tc>
          <w:tcPr>
            <w:tcW w:type="dxa" w:w="4464"/>
          </w:tcPr>
          <w:p>
            <w:pPr>
              <w:spacing w:after="40"/>
            </w:pPr>
            <w:r/>
            <w:r>
              <w:rPr>
                <w:sz w:val="17"/>
              </w:rPr>
              <w:t>Which taxes apply, and at what rate</w:t>
            </w:r>
          </w:p>
        </w:tc>
      </w:tr>
      <w:tr>
        <w:tc>
          <w:tcPr>
            <w:tcW w:type="dxa" w:w="4464"/>
            <w:shd w:val="clear" w:fill="F3F6FB"/>
          </w:tcPr>
          <w:p>
            <w:pPr>
              <w:spacing w:after="40"/>
            </w:pPr>
            <w:r/>
            <w:r>
              <w:rPr>
                <w:b/>
                <w:sz w:val="17"/>
              </w:rPr>
              <w:t>Chart of accounts and account types</w:t>
            </w:r>
          </w:p>
        </w:tc>
        <w:tc>
          <w:tcPr>
            <w:tcW w:type="dxa" w:w="4464"/>
            <w:shd w:val="clear" w:fill="F3F6FB"/>
          </w:tcPr>
          <w:p>
            <w:pPr>
              <w:spacing w:after="40"/>
            </w:pPr>
            <w:r/>
            <w:r>
              <w:rPr>
                <w:sz w:val="17"/>
              </w:rPr>
              <w:t>How a supply is classified for tax</w:t>
            </w:r>
          </w:p>
        </w:tc>
      </w:tr>
      <w:tr>
        <w:tc>
          <w:tcPr>
            <w:tcW w:type="dxa" w:w="4464"/>
          </w:tcPr>
          <w:p>
            <w:pPr>
              <w:spacing w:after="40"/>
            </w:pPr>
            <w:r/>
            <w:r>
              <w:rPr>
                <w:b/>
                <w:sz w:val="17"/>
              </w:rPr>
              <w:t>Parties, items, documents and their workflows</w:t>
            </w:r>
          </w:p>
        </w:tc>
        <w:tc>
          <w:tcPr>
            <w:tcW w:type="dxa" w:w="4464"/>
          </w:tcPr>
          <w:p>
            <w:pPr>
              <w:spacing w:after="40"/>
            </w:pPr>
            <w:r/>
            <w:r>
              <w:rPr>
                <w:sz w:val="17"/>
              </w:rPr>
              <w:t>Registration numbers and their validation</w:t>
            </w:r>
          </w:p>
        </w:tc>
      </w:tr>
      <w:tr>
        <w:tc>
          <w:tcPr>
            <w:tcW w:type="dxa" w:w="4464"/>
            <w:shd w:val="clear" w:fill="F3F6FB"/>
          </w:tcPr>
          <w:p>
            <w:pPr>
              <w:spacing w:after="40"/>
            </w:pPr>
            <w:r/>
            <w:r>
              <w:rPr>
                <w:b/>
                <w:sz w:val="17"/>
              </w:rPr>
              <w:t>Payments, allocation and bank reconciliation</w:t>
            </w:r>
          </w:p>
        </w:tc>
        <w:tc>
          <w:tcPr>
            <w:tcW w:type="dxa" w:w="4464"/>
            <w:shd w:val="clear" w:fill="F3F6FB"/>
          </w:tcPr>
          <w:p>
            <w:pPr>
              <w:spacing w:after="40"/>
            </w:pPr>
            <w:r/>
            <w:r>
              <w:rPr>
                <w:sz w:val="17"/>
              </w:rPr>
              <w:t>Statutory return formats and filing</w:t>
            </w:r>
          </w:p>
        </w:tc>
      </w:tr>
      <w:tr>
        <w:tc>
          <w:tcPr>
            <w:tcW w:type="dxa" w:w="4464"/>
          </w:tcPr>
          <w:p>
            <w:pPr>
              <w:spacing w:after="40"/>
            </w:pPr>
            <w:r/>
            <w:r>
              <w:rPr>
                <w:b/>
                <w:sz w:val="17"/>
              </w:rPr>
              <w:t>Trial balance, P&amp;L, balance sheet, cash flow, ageing</w:t>
            </w:r>
          </w:p>
        </w:tc>
        <w:tc>
          <w:tcPr>
            <w:tcW w:type="dxa" w:w="4464"/>
          </w:tcPr>
          <w:p>
            <w:pPr>
              <w:spacing w:after="40"/>
            </w:pPr>
            <w:r/>
            <w:r>
              <w:rPr>
                <w:sz w:val="17"/>
              </w:rPr>
              <w:t>Withholding rules and thresholds</w:t>
            </w:r>
          </w:p>
        </w:tc>
      </w:tr>
      <w:tr>
        <w:tc>
          <w:tcPr>
            <w:tcW w:type="dxa" w:w="4464"/>
            <w:shd w:val="clear" w:fill="F3F6FB"/>
          </w:tcPr>
          <w:p>
            <w:pPr>
              <w:spacing w:after="40"/>
            </w:pPr>
            <w:r/>
            <w:r>
              <w:rPr>
                <w:b/>
                <w:sz w:val="17"/>
              </w:rPr>
              <w:t>Audit trail, roles, period locks, numbering</w:t>
            </w:r>
          </w:p>
        </w:tc>
        <w:tc>
          <w:tcPr>
            <w:tcW w:type="dxa" w:w="4464"/>
            <w:shd w:val="clear" w:fill="F3F6FB"/>
          </w:tcPr>
          <w:p>
            <w:pPr>
              <w:spacing w:after="40"/>
            </w:pPr>
            <w:r/>
            <w:r>
              <w:rPr>
                <w:sz w:val="17"/>
              </w:rPr>
              <w:t>Statutory record-keeping obligations</w:t>
            </w:r>
          </w:p>
        </w:tc>
      </w:tr>
    </w:tbl>
    <w:p>
      <w:pPr>
        <w:spacing w:after="80"/>
      </w:pPr>
    </w:p>
    <w:p>
      <w:pPr>
        <w:pStyle w:val="Heading2"/>
      </w:pPr>
      <w:r>
        <w:t>1.2  Where it stands today</w:t>
      </w:r>
    </w:p>
    <w:tbl>
      <w:tblPr>
        <w:tblStyle w:val="TableGrid"/>
        <w:tblW w:type="auto" w:w="0"/>
        <w:jc w:val="center"/>
        <w:tblLook w:firstColumn="1" w:firstRow="1" w:lastColumn="0" w:lastRow="0" w:noHBand="0" w:noVBand="1" w:val="04A0"/>
      </w:tblPr>
      <w:tblGrid>
        <w:gridCol w:w="4680"/>
        <w:gridCol w:w="4680"/>
      </w:tblGrid>
      <w:tr>
        <w:tc>
          <w:tcPr>
            <w:tcW w:type="dxa" w:w="5184"/>
            <w:shd w:val="clear" w:fill="002F6E"/>
          </w:tcPr>
          <w:p>
            <w:pPr>
              <w:spacing w:after="40"/>
            </w:pPr>
            <w:r/>
            <w:r>
              <w:rPr>
                <w:b/>
                <w:color w:val="FFFFFF"/>
                <w:sz w:val="17"/>
              </w:rPr>
              <w:t>Capability</w:t>
            </w:r>
          </w:p>
        </w:tc>
        <w:tc>
          <w:tcPr>
            <w:tcW w:type="dxa" w:w="3744"/>
            <w:shd w:val="clear" w:fill="002F6E"/>
          </w:tcPr>
          <w:p>
            <w:pPr>
              <w:spacing w:after="40"/>
            </w:pPr>
            <w:r/>
            <w:r>
              <w:rPr>
                <w:b/>
                <w:color w:val="FFFFFF"/>
                <w:sz w:val="17"/>
              </w:rPr>
              <w:t>Status</w:t>
            </w:r>
          </w:p>
        </w:tc>
      </w:tr>
      <w:tr>
        <w:tc>
          <w:tcPr>
            <w:tcW w:type="dxa" w:w="5184"/>
          </w:tcPr>
          <w:p>
            <w:pPr>
              <w:spacing w:after="40"/>
            </w:pPr>
            <w:r/>
            <w:r>
              <w:rPr>
                <w:b/>
                <w:sz w:val="17"/>
              </w:rPr>
              <w:t>Accounting core, banking, reporting, audit</w:t>
            </w:r>
          </w:p>
        </w:tc>
        <w:tc>
          <w:tcPr>
            <w:tcW w:type="dxa" w:w="3744"/>
          </w:tcPr>
          <w:p>
            <w:pPr>
              <w:spacing w:after="40"/>
            </w:pPr>
            <w:r/>
            <w:r>
              <w:rPr>
                <w:sz w:val="17"/>
              </w:rPr>
              <w:t>Complete, and jurisdiction-neutral</w:t>
            </w:r>
          </w:p>
        </w:tc>
      </w:tr>
      <w:tr>
        <w:tc>
          <w:tcPr>
            <w:tcW w:type="dxa" w:w="5184"/>
            <w:shd w:val="clear" w:fill="F3F6FB"/>
          </w:tcPr>
          <w:p>
            <w:pPr>
              <w:spacing w:after="40"/>
            </w:pPr>
            <w:r/>
            <w:r>
              <w:rPr>
                <w:b/>
                <w:sz w:val="17"/>
              </w:rPr>
              <w:t>Cross-border sales — exports, zero-rating, special economic zones</w:t>
            </w:r>
          </w:p>
        </w:tc>
        <w:tc>
          <w:tcPr>
            <w:tcW w:type="dxa" w:w="3744"/>
            <w:shd w:val="clear" w:fill="F3F6FB"/>
          </w:tcPr>
          <w:p>
            <w:pPr>
              <w:spacing w:after="40"/>
            </w:pPr>
            <w:r/>
            <w:r>
              <w:rPr>
                <w:sz w:val="17"/>
              </w:rPr>
              <w:t>Working today; see section 7</w:t>
            </w:r>
          </w:p>
        </w:tc>
      </w:tr>
      <w:tr>
        <w:tc>
          <w:tcPr>
            <w:tcW w:type="dxa" w:w="5184"/>
          </w:tcPr>
          <w:p>
            <w:pPr>
              <w:spacing w:after="40"/>
            </w:pPr>
            <w:r/>
            <w:r>
              <w:rPr>
                <w:b/>
                <w:sz w:val="17"/>
              </w:rPr>
              <w:t>India — GST, e-invoicing, transport documents, withholding tax, small-supplier rules</w:t>
            </w:r>
          </w:p>
        </w:tc>
        <w:tc>
          <w:tcPr>
            <w:tcW w:type="dxa" w:w="3744"/>
          </w:tcPr>
          <w:p>
            <w:pPr>
              <w:spacing w:after="40"/>
            </w:pPr>
            <w:r/>
            <w:r>
              <w:rPr>
                <w:sz w:val="17"/>
              </w:rPr>
              <w:t>The first jurisdiction, fully implemented; see section 8</w:t>
            </w:r>
          </w:p>
        </w:tc>
      </w:tr>
      <w:tr>
        <w:tc>
          <w:tcPr>
            <w:tcW w:type="dxa" w:w="5184"/>
            <w:shd w:val="clear" w:fill="F3F6FB"/>
          </w:tcPr>
          <w:p>
            <w:pPr>
              <w:spacing w:after="40"/>
            </w:pPr>
            <w:r/>
            <w:r>
              <w:rPr>
                <w:b/>
                <w:sz w:val="17"/>
              </w:rPr>
              <w:t>Multi-currency with exchange rates</w:t>
            </w:r>
          </w:p>
        </w:tc>
        <w:tc>
          <w:tcPr>
            <w:tcW w:type="dxa" w:w="3744"/>
            <w:shd w:val="clear" w:fill="F3F6FB"/>
          </w:tcPr>
          <w:p>
            <w:pPr>
              <w:spacing w:after="40"/>
            </w:pPr>
            <w:r/>
            <w:r>
              <w:rPr>
                <w:sz w:val="17"/>
              </w:rPr>
              <w:t>Roadmap. The base-currency field exists; per-document rates do not</w:t>
            </w:r>
          </w:p>
        </w:tc>
      </w:tr>
      <w:tr>
        <w:tc>
          <w:tcPr>
            <w:tcW w:type="dxa" w:w="5184"/>
          </w:tcPr>
          <w:p>
            <w:pPr>
              <w:spacing w:after="40"/>
            </w:pPr>
            <w:r/>
            <w:r>
              <w:rPr>
                <w:b/>
                <w:sz w:val="17"/>
              </w:rPr>
              <w:t>Further tax jurisdictions</w:t>
            </w:r>
          </w:p>
        </w:tc>
        <w:tc>
          <w:tcPr>
            <w:tcW w:type="dxa" w:w="3744"/>
          </w:tcPr>
          <w:p>
            <w:pPr>
              <w:spacing w:after="40"/>
            </w:pPr>
            <w:r/>
            <w:r>
              <w:rPr>
                <w:sz w:val="17"/>
              </w:rPr>
              <w:t>Roadmap. The layer they plug into is built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fill="EAF2FF"/>
          </w:tcPr>
          <w:p>
            <w:pPr>
              <w:spacing w:after="40"/>
            </w:pPr>
            <w:r/>
            <w:r>
              <w:rPr>
                <w:b/>
                <w:sz w:val="19"/>
              </w:rPr>
              <w:t>How to read this document</w:t>
            </w:r>
          </w:p>
          <w:p>
            <w:pPr>
              <w:spacing w:after="20"/>
            </w:pPr>
            <w:r>
              <w:rPr>
                <w:sz w:val="19"/>
              </w:rPr>
              <w:t>Sections 2 to 6 and 9 to 12 describe the platform and apply to a business anywhere. Section 7 covers trading across borders. Section 8 covers tax, and is written against India because India is the jurisdiction implemented today — read it as the worked example of what a jurisdiction module contains, not as the boundary of the product.</w:t>
            </w:r>
          </w:p>
        </w:tc>
      </w:tr>
    </w:tbl>
    <w:p>
      <w:pPr>
        <w:spacing w:after="80"/>
      </w:pPr>
    </w:p>
    <w:p>
      <w:pPr>
        <w:pStyle w:val="Heading2"/>
      </w:pPr>
      <w:r>
        <w:t>1.3  Who it is for</w:t>
      </w:r>
    </w:p>
    <w:p>
      <w:pPr>
        <w:pStyle w:val="ListBullet"/>
        <w:spacing w:after="60"/>
        <w:ind w:left="360"/>
      </w:pPr>
      <w:r>
        <w:t>Trading and service businesses that need real books rather than an invoice generator — ones whose figures will be read by an auditor, a lender or a buyer.</w:t>
      </w:r>
    </w:p>
    <w:p>
      <w:pPr>
        <w:pStyle w:val="ListBullet"/>
        <w:spacing w:after="60"/>
        <w:ind w:left="360"/>
      </w:pPr>
      <w:r>
        <w:t>Businesses selling across borders, where the same goods are taxed one way at home, another way into a neighbouring jurisdiction, and zero-rated on export.</w:t>
      </w:r>
    </w:p>
    <w:p>
      <w:pPr>
        <w:pStyle w:val="ListBullet"/>
        <w:spacing w:after="60"/>
        <w:ind w:left="360"/>
      </w:pPr>
      <w:r>
        <w:t>Businesses holding more than one tax registration, where each registration keeps its own document number series and files its own return.</w:t>
      </w:r>
    </w:p>
    <w:p>
      <w:pPr>
        <w:pStyle w:val="ListBullet"/>
        <w:spacing w:after="60"/>
        <w:ind w:left="360"/>
      </w:pPr>
      <w:r>
        <w:t>Owners and accountants who need the books to stand up to an audit, not merely to produce an invoice.</w:t>
      </w:r>
    </w:p>
    <w:p>
      <w:pPr>
        <w:pStyle w:val="Heading2"/>
      </w:pPr>
      <w:r>
        <w:t>Scale of the build</w:t>
      </w:r>
    </w:p>
    <w:tbl>
      <w:tblPr>
        <w:tblStyle w:val="TableGrid"/>
        <w:tblW w:type="auto" w:w="0"/>
        <w:jc w:val="center"/>
        <w:tblLook w:firstColumn="1" w:firstRow="1" w:lastColumn="0" w:lastRow="0" w:noHBand="0" w:noVBand="1" w:val="04A0"/>
      </w:tblPr>
      <w:tblGrid>
        <w:gridCol w:w="4680"/>
        <w:gridCol w:w="4680"/>
      </w:tblGrid>
      <w:tr>
        <w:tc>
          <w:tcPr>
            <w:tcW w:type="dxa" w:w="5184"/>
            <w:shd w:val="clear" w:fill="002F6E"/>
          </w:tcPr>
          <w:p>
            <w:pPr>
              <w:spacing w:after="40"/>
            </w:pPr>
            <w:r/>
            <w:r>
              <w:rPr>
                <w:b/>
                <w:color w:val="FFFFFF"/>
                <w:sz w:val="18"/>
              </w:rPr>
              <w:t>Measure</w:t>
            </w:r>
          </w:p>
        </w:tc>
        <w:tc>
          <w:tcPr>
            <w:tcW w:type="dxa" w:w="2016"/>
            <w:shd w:val="clear" w:fill="002F6E"/>
          </w:tcPr>
          <w:p>
            <w:pPr>
              <w:spacing w:after="40"/>
            </w:pPr>
            <w:r/>
            <w:r>
              <w:rPr>
                <w:b/>
                <w:color w:val="FFFFFF"/>
                <w:sz w:val="18"/>
              </w:rPr>
              <w:t>Count</w:t>
            </w:r>
          </w:p>
        </w:tc>
      </w:tr>
      <w:tr>
        <w:tc>
          <w:tcPr>
            <w:tcW w:type="dxa" w:w="5184"/>
          </w:tcPr>
          <w:p>
            <w:pPr>
              <w:spacing w:after="40"/>
            </w:pPr>
            <w:r/>
            <w:r>
              <w:rPr>
                <w:b/>
                <w:sz w:val="18"/>
              </w:rPr>
              <w:t>Application screens</w:t>
            </w:r>
          </w:p>
        </w:tc>
        <w:tc>
          <w:tcPr>
            <w:tcW w:type="dxa" w:w="2016"/>
          </w:tcPr>
          <w:p>
            <w:pPr>
              <w:spacing w:after="40"/>
            </w:pPr>
            <w:r/>
            <w:r>
              <w:rPr>
                <w:sz w:val="18"/>
              </w:rPr>
              <w:t>85</w:t>
            </w:r>
          </w:p>
        </w:tc>
      </w:tr>
      <w:tr>
        <w:tc>
          <w:tcPr>
            <w:tcW w:type="dxa" w:w="5184"/>
            <w:shd w:val="clear" w:fill="F3F6FB"/>
          </w:tcPr>
          <w:p>
            <w:pPr>
              <w:spacing w:after="40"/>
            </w:pPr>
            <w:r/>
            <w:r>
              <w:rPr>
                <w:b/>
                <w:sz w:val="18"/>
              </w:rPr>
              <w:t>API route handlers</w:t>
            </w:r>
          </w:p>
        </w:tc>
        <w:tc>
          <w:tcPr>
            <w:tcW w:type="dxa" w:w="2016"/>
            <w:shd w:val="clear" w:fill="F3F6FB"/>
          </w:tcPr>
          <w:p>
            <w:pPr>
              <w:spacing w:after="40"/>
            </w:pPr>
            <w:r/>
            <w:r>
              <w:rPr>
                <w:sz w:val="18"/>
              </w:rPr>
              <w:t>42</w:t>
            </w:r>
          </w:p>
        </w:tc>
      </w:tr>
      <w:tr>
        <w:tc>
          <w:tcPr>
            <w:tcW w:type="dxa" w:w="5184"/>
          </w:tcPr>
          <w:p>
            <w:pPr>
              <w:spacing w:after="40"/>
            </w:pPr>
            <w:r/>
            <w:r>
              <w:rPr>
                <w:b/>
                <w:sz w:val="18"/>
              </w:rPr>
              <w:t>Database tables</w:t>
            </w:r>
          </w:p>
        </w:tc>
        <w:tc>
          <w:tcPr>
            <w:tcW w:type="dxa" w:w="2016"/>
          </w:tcPr>
          <w:p>
            <w:pPr>
              <w:spacing w:after="40"/>
            </w:pPr>
            <w:r/>
            <w:r>
              <w:rPr>
                <w:sz w:val="18"/>
              </w:rPr>
              <w:t>56</w:t>
            </w:r>
          </w:p>
        </w:tc>
      </w:tr>
      <w:tr>
        <w:tc>
          <w:tcPr>
            <w:tcW w:type="dxa" w:w="5184"/>
            <w:shd w:val="clear" w:fill="F3F6FB"/>
          </w:tcPr>
          <w:p>
            <w:pPr>
              <w:spacing w:after="40"/>
            </w:pPr>
            <w:r/>
            <w:r>
              <w:rPr>
                <w:b/>
                <w:sz w:val="18"/>
              </w:rPr>
              <w:t>Schema migrations applied</w:t>
            </w:r>
          </w:p>
        </w:tc>
        <w:tc>
          <w:tcPr>
            <w:tcW w:type="dxa" w:w="2016"/>
            <w:shd w:val="clear" w:fill="F3F6FB"/>
          </w:tcPr>
          <w:p>
            <w:pPr>
              <w:spacing w:after="40"/>
            </w:pPr>
            <w:r/>
            <w:r>
              <w:rPr>
                <w:sz w:val="18"/>
              </w:rPr>
              <w:t>15</w:t>
            </w:r>
          </w:p>
        </w:tc>
      </w:tr>
      <w:tr>
        <w:tc>
          <w:tcPr>
            <w:tcW w:type="dxa" w:w="5184"/>
          </w:tcPr>
          <w:p>
            <w:pPr>
              <w:spacing w:after="40"/>
            </w:pPr>
            <w:r/>
            <w:r>
              <w:rPr>
                <w:b/>
                <w:sz w:val="18"/>
              </w:rPr>
              <w:t>Financial and operational reports</w:t>
            </w:r>
          </w:p>
        </w:tc>
        <w:tc>
          <w:tcPr>
            <w:tcW w:type="dxa" w:w="2016"/>
          </w:tcPr>
          <w:p>
            <w:pPr>
              <w:spacing w:after="40"/>
            </w:pPr>
            <w:r/>
            <w:r>
              <w:rPr>
                <w:sz w:val="18"/>
              </w:rPr>
              <w:t>32</w:t>
            </w:r>
          </w:p>
        </w:tc>
      </w:tr>
      <w:tr>
        <w:tc>
          <w:tcPr>
            <w:tcW w:type="dxa" w:w="5184"/>
            <w:shd w:val="clear" w:fill="F3F6FB"/>
          </w:tcPr>
          <w:p>
            <w:pPr>
              <w:spacing w:after="40"/>
            </w:pPr>
            <w:r/>
            <w:r>
              <w:rPr>
                <w:b/>
                <w:sz w:val="18"/>
              </w:rPr>
              <w:t>Accounts in the standard chart</w:t>
            </w:r>
          </w:p>
        </w:tc>
        <w:tc>
          <w:tcPr>
            <w:tcW w:type="dxa" w:w="2016"/>
            <w:shd w:val="clear" w:fill="F3F6FB"/>
          </w:tcPr>
          <w:p>
            <w:pPr>
              <w:spacing w:after="40"/>
            </w:pPr>
            <w:r/>
            <w:r>
              <w:rPr>
                <w:sz w:val="18"/>
              </w:rPr>
              <w:t>42</w:t>
            </w:r>
          </w:p>
        </w:tc>
      </w:tr>
    </w:tbl>
    <w:p>
      <w:pPr>
        <w:spacing w:after="80"/>
      </w:pPr>
    </w:p>
    <w:p>
      <w:pPr>
        <w:pStyle w:val="Heading1"/>
      </w:pPr>
      <w:r>
        <w:t>2. Design principles</w:t>
      </w:r>
    </w:p>
    <w:p>
      <w:r>
        <w:rPr>
          <w:b w:val="0"/>
          <w:i w:val="0"/>
        </w:rPr>
        <w:t>Five rules run through the entire system. They are stated here because most of the design decisions in later sections follow from them, and because each one is enforced by the code rather than left to discipline.</w:t>
      </w:r>
    </w:p>
    <w:p>
      <w:pPr>
        <w:pStyle w:val="Heading2"/>
      </w:pPr>
      <w:r>
        <w:t>2.1  The books balance by construction</w:t>
      </w:r>
    </w:p>
    <w:p>
      <w:r>
        <w:rPr>
          <w:b w:val="0"/>
          <w:i w:val="0"/>
        </w:rPr>
        <w:t>Every document posts a balanced journal entry or it does not post at all. The posting engine sums the debits and the credits and refuses the entry if they differ — it does not write the entry and check afterwards. One module is the only writer of journal lines in the codebase, so there is no second path that could bypass the check.</w:t>
      </w:r>
    </w:p>
    <w:p>
      <w:pPr>
        <w:pStyle w:val="Heading2"/>
      </w:pPr>
      <w:r>
        <w:t>2.2  Nothing is ever edited</w:t>
      </w:r>
    </w:p>
    <w:p>
      <w:r>
        <w:rPr>
          <w:b w:val="0"/>
          <w:i w:val="0"/>
        </w:rPr>
        <w:t>A posted entry is permanent. Correcting one writes a reversing entry, and both stay visible with the correction linked to the original. Rule 11(g) of the Companies (Accounts) Rules requires accounting software used by companies in India to keep an audit trail that cannot be disabled, retained for eight years, and comparable obligations exist in most jurisdictions. The audit module therefore has an insert path and no update or delete path at all, everywhere — rather than a switch that turns it on for the countries that demand it.</w:t>
      </w:r>
    </w:p>
    <w:p>
      <w:pPr>
        <w:pStyle w:val="Heading2"/>
      </w:pPr>
      <w:r>
        <w:t>2.3  Reports are derived, never stored</w:t>
      </w:r>
    </w:p>
    <w:p>
      <w:r>
        <w:rPr>
          <w:b w:val="0"/>
          <w:i w:val="0"/>
        </w:rPr>
        <w:t>The trial balance, profit and loss, balance sheet, general ledger and ageing are all computed in SQL from the journal on each request. No total is cached, so no two reports can disagree and there is no rebuild job to forget to run. The cost is a query; the benefit is that the statements cannot silently go stale.</w:t>
      </w:r>
    </w:p>
    <w:p>
      <w:pPr>
        <w:pStyle w:val="Heading2"/>
      </w:pPr>
      <w:r>
        <w:t>2.4  Money is held in whole paise</w:t>
      </w:r>
    </w:p>
    <w:p>
      <w:r>
        <w:rPr>
          <w:b w:val="0"/>
          <w:i w:val="0"/>
        </w:rPr>
        <w:t>Every amount is an integer number of paise from the browser to the database and back. Floating-point arithmetic does not touch a rupee value anywhere, which is what stops ten thousand additions landing a few paise away from the figure they should.</w:t>
      </w:r>
    </w:p>
    <w:p>
      <w:pPr>
        <w:pStyle w:val="Heading2"/>
      </w:pPr>
      <w:r>
        <w:t>2.5  The server is the control</w:t>
      </w:r>
    </w:p>
    <w:p>
      <w:r>
        <w:rPr>
          <w:b w:val="0"/>
          <w:i w:val="0"/>
        </w:rPr>
        <w:t>Permissions are checked on the server using the same matrix the interface uses to decide which buttons to render. A hidden button is a courtesy; the route handler is what actually refuses the request. Every write goes through a service that re-validates its input regardless of what the form allowed.</w:t>
      </w:r>
    </w:p>
    <w:p>
      <w:r>
        <w:br w:type="page"/>
      </w:r>
    </w:p>
    <w:p>
      <w:pPr>
        <w:pStyle w:val="Heading1"/>
      </w:pPr>
      <w:r>
        <w:t>3. Technology and architecture</w:t>
      </w:r>
    </w:p>
    <w:p>
      <w:pPr>
        <w:pStyle w:val="Heading2"/>
      </w:pPr>
      <w:r>
        <w:t>3.1  Stack</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fill="002F6E"/>
          </w:tcPr>
          <w:p>
            <w:pPr>
              <w:spacing w:after="40"/>
            </w:pPr>
            <w:r/>
            <w:r>
              <w:rPr>
                <w:b/>
                <w:color w:val="FFFFFF"/>
                <w:sz w:val="17"/>
              </w:rPr>
              <w:t>Layer</w:t>
            </w:r>
          </w:p>
        </w:tc>
        <w:tc>
          <w:tcPr>
            <w:tcW w:type="dxa" w:w="2736"/>
            <w:shd w:val="clear" w:fill="002F6E"/>
          </w:tcPr>
          <w:p>
            <w:pPr>
              <w:spacing w:after="40"/>
            </w:pPr>
            <w:r/>
            <w:r>
              <w:rPr>
                <w:b/>
                <w:color w:val="FFFFFF"/>
                <w:sz w:val="17"/>
              </w:rPr>
              <w:t>Technology</w:t>
            </w:r>
          </w:p>
        </w:tc>
        <w:tc>
          <w:tcPr>
            <w:tcW w:type="dxa" w:w="4608"/>
            <w:shd w:val="clear" w:fill="002F6E"/>
          </w:tcPr>
          <w:p>
            <w:pPr>
              <w:spacing w:after="40"/>
            </w:pPr>
            <w:r/>
            <w:r>
              <w:rPr>
                <w:b/>
                <w:color w:val="FFFFFF"/>
                <w:sz w:val="17"/>
              </w:rPr>
              <w:t>Why</w:t>
            </w:r>
          </w:p>
        </w:tc>
      </w:tr>
      <w:tr>
        <w:tc>
          <w:tcPr>
            <w:tcW w:type="dxa" w:w="1584"/>
          </w:tcPr>
          <w:p>
            <w:pPr>
              <w:spacing w:after="40"/>
            </w:pPr>
            <w:r/>
            <w:r>
              <w:rPr>
                <w:b/>
                <w:sz w:val="17"/>
              </w:rPr>
              <w:t>Framework</w:t>
            </w:r>
          </w:p>
        </w:tc>
        <w:tc>
          <w:tcPr>
            <w:tcW w:type="dxa" w:w="2736"/>
          </w:tcPr>
          <w:p>
            <w:pPr>
              <w:spacing w:after="40"/>
            </w:pPr>
            <w:r/>
            <w:r>
              <w:rPr>
                <w:sz w:val="17"/>
              </w:rPr>
              <w:t>Next.js 15 (App Router), React 19</w:t>
            </w:r>
          </w:p>
        </w:tc>
        <w:tc>
          <w:tcPr>
            <w:tcW w:type="dxa" w:w="4608"/>
          </w:tcPr>
          <w:p>
            <w:pPr>
              <w:spacing w:after="40"/>
            </w:pPr>
            <w:r/>
            <w:r>
              <w:rPr>
                <w:sz w:val="17"/>
              </w:rPr>
              <w:t>Server and client components in one codebase; route handlers are the API</w:t>
            </w:r>
          </w:p>
        </w:tc>
      </w:tr>
      <w:tr>
        <w:tc>
          <w:tcPr>
            <w:tcW w:type="dxa" w:w="1584"/>
            <w:shd w:val="clear" w:fill="F3F6FB"/>
          </w:tcPr>
          <w:p>
            <w:pPr>
              <w:spacing w:after="40"/>
            </w:pPr>
            <w:r/>
            <w:r>
              <w:rPr>
                <w:b/>
                <w:sz w:val="17"/>
              </w:rPr>
              <w:t>Language</w:t>
            </w:r>
          </w:p>
        </w:tc>
        <w:tc>
          <w:tcPr>
            <w:tcW w:type="dxa" w:w="2736"/>
            <w:shd w:val="clear" w:fill="F3F6FB"/>
          </w:tcPr>
          <w:p>
            <w:pPr>
              <w:spacing w:after="40"/>
            </w:pPr>
            <w:r/>
            <w:r>
              <w:rPr>
                <w:sz w:val="17"/>
              </w:rPr>
              <w:t>TypeScript, strict mode</w:t>
            </w:r>
          </w:p>
        </w:tc>
        <w:tc>
          <w:tcPr>
            <w:tcW w:type="dxa" w:w="4608"/>
            <w:shd w:val="clear" w:fill="F3F6FB"/>
          </w:tcPr>
          <w:p>
            <w:pPr>
              <w:spacing w:after="40"/>
            </w:pPr>
            <w:r/>
            <w:r>
              <w:rPr>
                <w:sz w:val="17"/>
              </w:rPr>
              <w:t>The domain has many near-identical shapes; the compiler catches the mix-ups</w:t>
            </w:r>
          </w:p>
        </w:tc>
      </w:tr>
      <w:tr>
        <w:tc>
          <w:tcPr>
            <w:tcW w:type="dxa" w:w="1584"/>
          </w:tcPr>
          <w:p>
            <w:pPr>
              <w:spacing w:after="40"/>
            </w:pPr>
            <w:r/>
            <w:r>
              <w:rPr>
                <w:b/>
                <w:sz w:val="17"/>
              </w:rPr>
              <w:t>Database</w:t>
            </w:r>
          </w:p>
        </w:tc>
        <w:tc>
          <w:tcPr>
            <w:tcW w:type="dxa" w:w="2736"/>
          </w:tcPr>
          <w:p>
            <w:pPr>
              <w:spacing w:after="40"/>
            </w:pPr>
            <w:r/>
            <w:r>
              <w:rPr>
                <w:sz w:val="17"/>
              </w:rPr>
              <w:t>MySQL 8, READ COMMITTED</w:t>
            </w:r>
          </w:p>
        </w:tc>
        <w:tc>
          <w:tcPr>
            <w:tcW w:type="dxa" w:w="4608"/>
          </w:tcPr>
          <w:p>
            <w:pPr>
              <w:spacing w:after="40"/>
            </w:pPr>
            <w:r/>
            <w:r>
              <w:rPr>
                <w:sz w:val="17"/>
              </w:rPr>
              <w:t>Mature, hosted in every region, and strong enough on constraints to enforce the model</w:t>
            </w:r>
          </w:p>
        </w:tc>
      </w:tr>
      <w:tr>
        <w:tc>
          <w:tcPr>
            <w:tcW w:type="dxa" w:w="1584"/>
            <w:shd w:val="clear" w:fill="F3F6FB"/>
          </w:tcPr>
          <w:p>
            <w:pPr>
              <w:spacing w:after="40"/>
            </w:pPr>
            <w:r/>
            <w:r>
              <w:rPr>
                <w:b/>
                <w:sz w:val="17"/>
              </w:rPr>
              <w:t>Query layer</w:t>
            </w:r>
          </w:p>
        </w:tc>
        <w:tc>
          <w:tcPr>
            <w:tcW w:type="dxa" w:w="2736"/>
            <w:shd w:val="clear" w:fill="F3F6FB"/>
          </w:tcPr>
          <w:p>
            <w:pPr>
              <w:spacing w:after="40"/>
            </w:pPr>
            <w:r/>
            <w:r>
              <w:rPr>
                <w:sz w:val="17"/>
              </w:rPr>
              <w:t>Kysely (typed SQL builder)</w:t>
            </w:r>
          </w:p>
        </w:tc>
        <w:tc>
          <w:tcPr>
            <w:tcW w:type="dxa" w:w="4608"/>
            <w:shd w:val="clear" w:fill="F3F6FB"/>
          </w:tcPr>
          <w:p>
            <w:pPr>
              <w:spacing w:after="40"/>
            </w:pPr>
            <w:r/>
            <w:r>
              <w:rPr>
                <w:sz w:val="17"/>
              </w:rPr>
              <w:t>Types from the schema without an ORM hiding the SQL the reports depend on</w:t>
            </w:r>
          </w:p>
        </w:tc>
      </w:tr>
      <w:tr>
        <w:tc>
          <w:tcPr>
            <w:tcW w:type="dxa" w:w="1584"/>
          </w:tcPr>
          <w:p>
            <w:pPr>
              <w:spacing w:after="40"/>
            </w:pPr>
            <w:r/>
            <w:r>
              <w:rPr>
                <w:b/>
                <w:sz w:val="17"/>
              </w:rPr>
              <w:t>Styling</w:t>
            </w:r>
          </w:p>
        </w:tc>
        <w:tc>
          <w:tcPr>
            <w:tcW w:type="dxa" w:w="2736"/>
          </w:tcPr>
          <w:p>
            <w:pPr>
              <w:spacing w:after="40"/>
            </w:pPr>
            <w:r/>
            <w:r>
              <w:rPr>
                <w:sz w:val="17"/>
              </w:rPr>
              <w:t>Tailwind CSS v4, shadcn/ui on Base UI</w:t>
            </w:r>
          </w:p>
        </w:tc>
        <w:tc>
          <w:tcPr>
            <w:tcW w:type="dxa" w:w="4608"/>
          </w:tcPr>
          <w:p>
            <w:pPr>
              <w:spacing w:after="40"/>
            </w:pPr>
            <w:r/>
            <w:r>
              <w:rPr>
                <w:sz w:val="17"/>
              </w:rPr>
              <w:t>A dense, consistent interface without a bespoke component library to maintain</w:t>
            </w:r>
          </w:p>
        </w:tc>
      </w:tr>
      <w:tr>
        <w:tc>
          <w:tcPr>
            <w:tcW w:type="dxa" w:w="1584"/>
            <w:shd w:val="clear" w:fill="F3F6FB"/>
          </w:tcPr>
          <w:p>
            <w:pPr>
              <w:spacing w:after="40"/>
            </w:pPr>
            <w:r/>
            <w:r>
              <w:rPr>
                <w:b/>
                <w:sz w:val="17"/>
              </w:rPr>
              <w:t>Client state</w:t>
            </w:r>
          </w:p>
        </w:tc>
        <w:tc>
          <w:tcPr>
            <w:tcW w:type="dxa" w:w="2736"/>
            <w:shd w:val="clear" w:fill="F3F6FB"/>
          </w:tcPr>
          <w:p>
            <w:pPr>
              <w:spacing w:after="40"/>
            </w:pPr>
            <w:r/>
            <w:r>
              <w:rPr>
                <w:sz w:val="17"/>
              </w:rPr>
              <w:t>Zustand</w:t>
            </w:r>
          </w:p>
        </w:tc>
        <w:tc>
          <w:tcPr>
            <w:tcW w:type="dxa" w:w="4608"/>
            <w:shd w:val="clear" w:fill="F3F6FB"/>
          </w:tcPr>
          <w:p>
            <w:pPr>
              <w:spacing w:after="40"/>
            </w:pPr>
            <w:r/>
            <w:r>
              <w:rPr>
                <w:sz w:val="17"/>
              </w:rPr>
              <w:t>Holds master data the forms read synchronously; documents always come from the API</w:t>
            </w:r>
          </w:p>
        </w:tc>
      </w:tr>
      <w:tr>
        <w:tc>
          <w:tcPr>
            <w:tcW w:type="dxa" w:w="1584"/>
          </w:tcPr>
          <w:p>
            <w:pPr>
              <w:spacing w:after="40"/>
            </w:pPr>
            <w:r/>
            <w:r>
              <w:rPr>
                <w:b/>
                <w:sz w:val="17"/>
              </w:rPr>
              <w:t>Passwords</w:t>
            </w:r>
          </w:p>
        </w:tc>
        <w:tc>
          <w:tcPr>
            <w:tcW w:type="dxa" w:w="2736"/>
          </w:tcPr>
          <w:p>
            <w:pPr>
              <w:spacing w:after="40"/>
            </w:pPr>
            <w:r/>
            <w:r>
              <w:rPr>
                <w:sz w:val="17"/>
              </w:rPr>
              <w:t>@node-rs/argon2 (argon2id)</w:t>
            </w:r>
          </w:p>
        </w:tc>
        <w:tc>
          <w:tcPr>
            <w:tcW w:type="dxa" w:w="4608"/>
          </w:tcPr>
          <w:p>
            <w:pPr>
              <w:spacing w:after="40"/>
            </w:pPr>
            <w:r/>
            <w:r>
              <w:rPr>
                <w:sz w:val="17"/>
              </w:rPr>
              <w:t>The OWASP recommendation; memory cost is what defeats GPU attacks</w:t>
            </w:r>
          </w:p>
        </w:tc>
      </w:tr>
      <w:tr>
        <w:tc>
          <w:tcPr>
            <w:tcW w:type="dxa" w:w="1584"/>
            <w:shd w:val="clear" w:fill="F3F6FB"/>
          </w:tcPr>
          <w:p>
            <w:pPr>
              <w:spacing w:after="40"/>
            </w:pPr>
            <w:r/>
            <w:r>
              <w:rPr>
                <w:b/>
                <w:sz w:val="17"/>
              </w:rPr>
              <w:t>Charts</w:t>
            </w:r>
          </w:p>
        </w:tc>
        <w:tc>
          <w:tcPr>
            <w:tcW w:type="dxa" w:w="2736"/>
            <w:shd w:val="clear" w:fill="F3F6FB"/>
          </w:tcPr>
          <w:p>
            <w:pPr>
              <w:spacing w:after="40"/>
            </w:pPr>
            <w:r/>
            <w:r>
              <w:rPr>
                <w:sz w:val="17"/>
              </w:rPr>
              <w:t>Recharts</w:t>
            </w:r>
          </w:p>
        </w:tc>
        <w:tc>
          <w:tcPr>
            <w:tcW w:type="dxa" w:w="4608"/>
            <w:shd w:val="clear" w:fill="F3F6FB"/>
          </w:tcPr>
          <w:p>
            <w:pPr>
              <w:spacing w:after="40"/>
            </w:pPr>
            <w:r/>
            <w:r>
              <w:rPr>
                <w:sz w:val="17"/>
              </w:rPr>
              <w:t>Dashboard and report visuals</w:t>
            </w:r>
          </w:p>
        </w:tc>
      </w:tr>
      <w:tr>
        <w:tc>
          <w:tcPr>
            <w:tcW w:type="dxa" w:w="1584"/>
          </w:tcPr>
          <w:p>
            <w:pPr>
              <w:spacing w:after="40"/>
            </w:pPr>
            <w:r/>
            <w:r>
              <w:rPr>
                <w:b/>
                <w:sz w:val="17"/>
              </w:rPr>
              <w:t>Testing</w:t>
            </w:r>
          </w:p>
        </w:tc>
        <w:tc>
          <w:tcPr>
            <w:tcW w:type="dxa" w:w="2736"/>
          </w:tcPr>
          <w:p>
            <w:pPr>
              <w:spacing w:after="40"/>
            </w:pPr>
            <w:r/>
            <w:r>
              <w:rPr>
                <w:sz w:val="17"/>
              </w:rPr>
              <w:t>node:test, Playwright</w:t>
            </w:r>
          </w:p>
        </w:tc>
        <w:tc>
          <w:tcPr>
            <w:tcW w:type="dxa" w:w="4608"/>
          </w:tcPr>
          <w:p>
            <w:pPr>
              <w:spacing w:after="40"/>
            </w:pPr>
            <w:r/>
            <w:r>
              <w:rPr>
                <w:sz w:val="17"/>
              </w:rPr>
              <w:t>Unit and API tests, plus browser walkthroughs</w:t>
            </w:r>
          </w:p>
        </w:tc>
      </w:tr>
    </w:tbl>
    <w:p>
      <w:pPr>
        <w:spacing w:after="80"/>
      </w:pPr>
    </w:p>
    <w:p>
      <w:pPr>
        <w:pStyle w:val="Heading2"/>
      </w:pPr>
      <w:r>
        <w:t>3.2  Layering</w:t>
      </w:r>
    </w:p>
    <w:p>
      <w:r>
        <w:rPr>
          <w:b w:val="0"/>
          <w:i w:val="0"/>
        </w:rPr>
        <w:t>Each layer may only call the one below it. The rule matters most at the bottom: nothing reaches the journal except through the posting engine.</w:t>
      </w:r>
    </w:p>
    <w:p>
      <w:pPr>
        <w:spacing w:before="80" w:after="160"/>
        <w:ind w:left="432"/>
      </w:pPr>
      <w:r>
        <w:rPr>
          <w:rFonts w:ascii="Consolas" w:hAnsi="Consolas"/>
          <w:sz w:val="18"/>
        </w:rPr>
        <w:t>Screens          app/(app)/…            React components, no SQL</w:t>
        <w:br/>
        <w:t xml:space="preserve">      ↓</w:t>
        <w:br/>
        <w:t>API client       lib/api/client.ts      One typed function per endpoint</w:t>
        <w:br/>
        <w:t xml:space="preserve">      ↓  HTTP</w:t>
        <w:br/>
        <w:t>Route handlers   app/api/…              Auth, permissions, input validation</w:t>
        <w:br/>
        <w:t xml:space="preserve">      ↓</w:t>
        <w:br/>
        <w:t>Services         lib/server/services/   Business rules; one transaction each</w:t>
        <w:br/>
        <w:t xml:space="preserve">      ↓</w:t>
        <w:br/>
        <w:t>Posting engine   lib/server/ledger/     The only writer of journal lines</w:t>
        <w:br/>
        <w:t xml:space="preserve">      ↓</w:t>
        <w:br/>
        <w:t>Database         MySQL</w:t>
      </w:r>
    </w:p>
    <w:p>
      <w:pPr>
        <w:pStyle w:val="Heading2"/>
      </w:pPr>
      <w:r>
        <w:t>3.3  The path of a request</w:t>
      </w:r>
    </w:p>
    <w:p>
      <w:r>
        <w:rPr>
          <w:b w:val="0"/>
          <w:i w:val="0"/>
        </w:rPr>
        <w:t>Saving an invoice is the representative case:</w:t>
      </w:r>
    </w:p>
    <w:p>
      <w:pPr>
        <w:pStyle w:val="ListBullet"/>
        <w:spacing w:after="60"/>
        <w:ind w:left="360"/>
      </w:pPr>
      <w:r>
        <w:t>The form posts to /api/invoices with customer, lines, dates and branch.</w:t>
      </w:r>
    </w:p>
    <w:p>
      <w:pPr>
        <w:pStyle w:val="ListBullet"/>
        <w:spacing w:after="60"/>
        <w:ind w:left="360"/>
      </w:pPr>
      <w:r>
        <w:t>The route handler authenticates the session cookie, checks that the role may create in the sales module, and validates the body against a schema.</w:t>
      </w:r>
    </w:p>
    <w:p>
      <w:pPr>
        <w:pStyle w:val="ListBullet"/>
        <w:spacing w:after="60"/>
        <w:ind w:left="360"/>
      </w:pPr>
      <w:r>
        <w:t>The service opens one database transaction. Inside it: the tax is resolved from the branch state and the place of supply; the invoice number is allocated from the series for that branch and financial year; the invoice and its lines are written; the journal entry is posted; the audit row is written.</w:t>
      </w:r>
    </w:p>
    <w:p>
      <w:pPr>
        <w:pStyle w:val="ListBullet"/>
        <w:spacing w:after="60"/>
        <w:ind w:left="360"/>
      </w:pPr>
      <w:r>
        <w:t>If any step fails the whole transaction rolls back. There is no state in which the invoice exists but its journal entry does not.</w:t>
      </w:r>
    </w:p>
    <w:tbl>
      <w:tblPr>
        <w:tblStyle w:val="TableGrid"/>
        <w:tblW w:type="auto" w:w="0"/>
        <w:tblLook w:firstColumn="1" w:firstRow="1" w:lastColumn="0" w:lastRow="0" w:noHBand="0" w:noVBand="1" w:val="04A0"/>
      </w:tblPr>
      <w:tblGrid>
        <w:gridCol w:w="9360"/>
      </w:tblGrid>
      <w:tr>
        <w:tc>
          <w:tcPr>
            <w:tcW w:type="dxa" w:w="9360"/>
            <w:shd w:val="clear" w:fill="EAF2FF"/>
          </w:tcPr>
          <w:p>
            <w:pPr>
              <w:spacing w:after="40"/>
            </w:pPr>
            <w:r/>
            <w:r>
              <w:rPr>
                <w:b/>
                <w:sz w:val="19"/>
              </w:rPr>
              <w:t>Why the number is allocated inside the transaction</w:t>
            </w:r>
          </w:p>
          <w:p>
            <w:pPr>
              <w:spacing w:after="20"/>
            </w:pPr>
            <w:r>
              <w:rPr>
                <w:sz w:val="19"/>
              </w:rPr>
              <w:t>A number handed out before the document is saved leaves a gap in the series when the save fails, and a gap in a GST invoice series is a question at assessment time. Forms show a peeked number — what the next one would be — which never consumes anything.</w:t>
            </w:r>
          </w:p>
        </w:tc>
      </w:tr>
    </w:tbl>
    <w:p>
      <w:pPr>
        <w:spacing w:after="80"/>
      </w:pPr>
    </w:p>
    <w:p>
      <w:r>
        <w:br w:type="page"/>
      </w:r>
    </w:p>
    <w:p>
      <w:pPr>
        <w:pStyle w:val="Heading1"/>
      </w:pPr>
      <w:r>
        <w:t>4. The data model</w:t>
      </w:r>
    </w:p>
    <w:p>
      <w:r>
        <w:rPr>
          <w:b w:val="0"/>
          <w:i w:val="0"/>
        </w:rPr>
        <w:t>56 tables across 15 hand-numbered migrations. Migrations are applied in order and checksummed, so a file edited after it has been applied is refused rather than silently skipped.</w:t>
      </w:r>
    </w:p>
    <w:p>
      <w:pPr>
        <w:pStyle w:val="Heading2"/>
      </w:pPr>
      <w:r>
        <w:t>4.1  Areas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fill="002F6E"/>
          </w:tcPr>
          <w:p>
            <w:pPr>
              <w:spacing w:after="40"/>
            </w:pPr>
            <w:r/>
            <w:r>
              <w:rPr>
                <w:b/>
                <w:color w:val="FFFFFF"/>
                <w:sz w:val="17"/>
              </w:rPr>
              <w:t>Area</w:t>
            </w:r>
          </w:p>
        </w:tc>
        <w:tc>
          <w:tcPr>
            <w:tcW w:type="dxa" w:w="3600"/>
            <w:shd w:val="clear" w:fill="002F6E"/>
          </w:tcPr>
          <w:p>
            <w:pPr>
              <w:spacing w:after="40"/>
            </w:pPr>
            <w:r/>
            <w:r>
              <w:rPr>
                <w:b/>
                <w:color w:val="FFFFFF"/>
                <w:sz w:val="17"/>
              </w:rPr>
              <w:t>Tables</w:t>
            </w:r>
          </w:p>
        </w:tc>
        <w:tc>
          <w:tcPr>
            <w:tcW w:type="dxa" w:w="4032"/>
            <w:shd w:val="clear" w:fill="002F6E"/>
          </w:tcPr>
          <w:p>
            <w:pPr>
              <w:spacing w:after="40"/>
            </w:pPr>
            <w:r/>
            <w:r>
              <w:rPr>
                <w:b/>
                <w:color w:val="FFFFFF"/>
                <w:sz w:val="17"/>
              </w:rPr>
              <w:t>Holds</w:t>
            </w:r>
          </w:p>
        </w:tc>
      </w:tr>
      <w:tr>
        <w:tc>
          <w:tcPr>
            <w:tcW w:type="dxa" w:w="1296"/>
          </w:tcPr>
          <w:p>
            <w:pPr>
              <w:spacing w:after="40"/>
            </w:pPr>
            <w:r/>
            <w:r>
              <w:rPr>
                <w:b/>
                <w:sz w:val="17"/>
              </w:rPr>
              <w:t>Core</w:t>
            </w:r>
          </w:p>
        </w:tc>
        <w:tc>
          <w:tcPr>
            <w:tcW w:type="dxa" w:w="3600"/>
          </w:tcPr>
          <w:p>
            <w:pPr>
              <w:spacing w:after="40"/>
            </w:pPr>
            <w:r/>
            <w:r>
              <w:rPr>
                <w:sz w:val="17"/>
              </w:rPr>
              <w:t>organizations, branches, users, user_branches, sessions, audit_log</w:t>
            </w:r>
          </w:p>
        </w:tc>
        <w:tc>
          <w:tcPr>
            <w:tcW w:type="dxa" w:w="4032"/>
          </w:tcPr>
          <w:p>
            <w:pPr>
              <w:spacing w:after="40"/>
            </w:pPr>
            <w:r/>
            <w:r>
              <w:rPr>
                <w:sz w:val="17"/>
              </w:rPr>
              <w:t>The company, its GST registrations, who may sign in, and the trail</w:t>
            </w:r>
          </w:p>
        </w:tc>
      </w:tr>
      <w:tr>
        <w:tc>
          <w:tcPr>
            <w:tcW w:type="dxa" w:w="1296"/>
            <w:shd w:val="clear" w:fill="F3F6FB"/>
          </w:tcPr>
          <w:p>
            <w:pPr>
              <w:spacing w:after="40"/>
            </w:pPr>
            <w:r/>
            <w:r>
              <w:rPr>
                <w:b/>
                <w:sz w:val="17"/>
              </w:rPr>
              <w:t>Ledger</w:t>
            </w:r>
          </w:p>
        </w:tc>
        <w:tc>
          <w:tcPr>
            <w:tcW w:type="dxa" w:w="3600"/>
            <w:shd w:val="clear" w:fill="F3F6FB"/>
          </w:tcPr>
          <w:p>
            <w:pPr>
              <w:spacing w:after="40"/>
            </w:pPr>
            <w:r/>
            <w:r>
              <w:rPr>
                <w:sz w:val="17"/>
              </w:rPr>
              <w:t>accounts, journal_entries, journal_lines, number_series, sequences, transaction_locks</w:t>
            </w:r>
          </w:p>
        </w:tc>
        <w:tc>
          <w:tcPr>
            <w:tcW w:type="dxa" w:w="4032"/>
            <w:shd w:val="clear" w:fill="F3F6FB"/>
          </w:tcPr>
          <w:p>
            <w:pPr>
              <w:spacing w:after="40"/>
            </w:pPr>
            <w:r/>
            <w:r>
              <w:rPr>
                <w:sz w:val="17"/>
              </w:rPr>
              <w:t>The chart of accounts, every posting, and the period locks</w:t>
            </w:r>
          </w:p>
        </w:tc>
      </w:tr>
      <w:tr>
        <w:tc>
          <w:tcPr>
            <w:tcW w:type="dxa" w:w="1296"/>
          </w:tcPr>
          <w:p>
            <w:pPr>
              <w:spacing w:after="40"/>
            </w:pPr>
            <w:r/>
            <w:r>
              <w:rPr>
                <w:b/>
                <w:sz w:val="17"/>
              </w:rPr>
              <w:t>Masters</w:t>
            </w:r>
          </w:p>
        </w:tc>
        <w:tc>
          <w:tcPr>
            <w:tcW w:type="dxa" w:w="3600"/>
          </w:tcPr>
          <w:p>
            <w:pPr>
              <w:spacing w:after="40"/>
            </w:pPr>
            <w:r/>
            <w:r>
              <w:rPr>
                <w:sz w:val="17"/>
              </w:rPr>
              <w:t>contacts, items, hsn_codes</w:t>
            </w:r>
          </w:p>
        </w:tc>
        <w:tc>
          <w:tcPr>
            <w:tcW w:type="dxa" w:w="4032"/>
          </w:tcPr>
          <w:p>
            <w:pPr>
              <w:spacing w:after="40"/>
            </w:pPr>
            <w:r/>
            <w:r>
              <w:rPr>
                <w:sz w:val="17"/>
              </w:rPr>
              <w:t>Parties, the catalogue, and the approved HSN/SAC list</w:t>
            </w:r>
          </w:p>
        </w:tc>
      </w:tr>
      <w:tr>
        <w:tc>
          <w:tcPr>
            <w:tcW w:type="dxa" w:w="1296"/>
            <w:shd w:val="clear" w:fill="F3F6FB"/>
          </w:tcPr>
          <w:p>
            <w:pPr>
              <w:spacing w:after="40"/>
            </w:pPr>
            <w:r/>
            <w:r>
              <w:rPr>
                <w:b/>
                <w:sz w:val="17"/>
              </w:rPr>
              <w:t>Sales</w:t>
            </w:r>
          </w:p>
        </w:tc>
        <w:tc>
          <w:tcPr>
            <w:tcW w:type="dxa" w:w="3600"/>
            <w:shd w:val="clear" w:fill="F3F6FB"/>
          </w:tcPr>
          <w:p>
            <w:pPr>
              <w:spacing w:after="40"/>
            </w:pPr>
            <w:r/>
            <w:r>
              <w:rPr>
                <w:sz w:val="17"/>
              </w:rPr>
              <w:t>invoices, estimates, sales_orders, delivery_challans, credit_notes, retainer_invoices and their line tables</w:t>
            </w:r>
          </w:p>
        </w:tc>
        <w:tc>
          <w:tcPr>
            <w:tcW w:type="dxa" w:w="4032"/>
            <w:shd w:val="clear" w:fill="F3F6FB"/>
          </w:tcPr>
          <w:p>
            <w:pPr>
              <w:spacing w:after="40"/>
            </w:pPr>
            <w:r/>
            <w:r>
              <w:rPr>
                <w:sz w:val="17"/>
              </w:rPr>
              <w:t>The full quote-to-cash chain</w:t>
            </w:r>
          </w:p>
        </w:tc>
      </w:tr>
      <w:tr>
        <w:tc>
          <w:tcPr>
            <w:tcW w:type="dxa" w:w="1296"/>
          </w:tcPr>
          <w:p>
            <w:pPr>
              <w:spacing w:after="40"/>
            </w:pPr>
            <w:r/>
            <w:r>
              <w:rPr>
                <w:b/>
                <w:sz w:val="17"/>
              </w:rPr>
              <w:t>Purchases</w:t>
            </w:r>
          </w:p>
        </w:tc>
        <w:tc>
          <w:tcPr>
            <w:tcW w:type="dxa" w:w="3600"/>
          </w:tcPr>
          <w:p>
            <w:pPr>
              <w:spacing w:after="40"/>
            </w:pPr>
            <w:r/>
            <w:r>
              <w:rPr>
                <w:sz w:val="17"/>
              </w:rPr>
              <w:t>bills, expenses, purchase_orders, vendor_credits and their line tables</w:t>
            </w:r>
          </w:p>
        </w:tc>
        <w:tc>
          <w:tcPr>
            <w:tcW w:type="dxa" w:w="4032"/>
          </w:tcPr>
          <w:p>
            <w:pPr>
              <w:spacing w:after="40"/>
            </w:pPr>
            <w:r/>
            <w:r>
              <w:rPr>
                <w:sz w:val="17"/>
              </w:rPr>
              <w:t>Procure-to-pay, with input credit and TDS</w:t>
            </w:r>
          </w:p>
        </w:tc>
      </w:tr>
      <w:tr>
        <w:tc>
          <w:tcPr>
            <w:tcW w:type="dxa" w:w="1296"/>
            <w:shd w:val="clear" w:fill="F3F6FB"/>
          </w:tcPr>
          <w:p>
            <w:pPr>
              <w:spacing w:after="40"/>
            </w:pPr>
            <w:r/>
            <w:r>
              <w:rPr>
                <w:b/>
                <w:sz w:val="17"/>
              </w:rPr>
              <w:t>Money</w:t>
            </w:r>
          </w:p>
        </w:tc>
        <w:tc>
          <w:tcPr>
            <w:tcW w:type="dxa" w:w="3600"/>
            <w:shd w:val="clear" w:fill="F3F6FB"/>
          </w:tcPr>
          <w:p>
            <w:pPr>
              <w:spacing w:after="40"/>
            </w:pPr>
            <w:r/>
            <w:r>
              <w:rPr>
                <w:sz w:val="17"/>
              </w:rPr>
              <w:t>payments, payment_allocations, bank_accounts, bank_transactions, bank_statement_imports, bank_rules, bank_transfers, cheques</w:t>
            </w:r>
          </w:p>
        </w:tc>
        <w:tc>
          <w:tcPr>
            <w:tcW w:type="dxa" w:w="4032"/>
            <w:shd w:val="clear" w:fill="F3F6FB"/>
          </w:tcPr>
          <w:p>
            <w:pPr>
              <w:spacing w:after="40"/>
            </w:pPr>
            <w:r/>
            <w:r>
              <w:rPr>
                <w:sz w:val="17"/>
              </w:rPr>
              <w:t>Receipts, payments, statements and reconciliation</w:t>
            </w:r>
          </w:p>
        </w:tc>
      </w:tr>
      <w:tr>
        <w:tc>
          <w:tcPr>
            <w:tcW w:type="dxa" w:w="1296"/>
          </w:tcPr>
          <w:p>
            <w:pPr>
              <w:spacing w:after="40"/>
            </w:pPr>
            <w:r/>
            <w:r>
              <w:rPr>
                <w:b/>
                <w:sz w:val="17"/>
              </w:rPr>
              <w:t>Compliance</w:t>
            </w:r>
          </w:p>
        </w:tc>
        <w:tc>
          <w:tcPr>
            <w:tcW w:type="dxa" w:w="3600"/>
          </w:tcPr>
          <w:p>
            <w:pPr>
              <w:spacing w:after="40"/>
            </w:pPr>
            <w:r/>
            <w:r>
              <w:rPr>
                <w:sz w:val="17"/>
              </w:rPr>
              <w:t>einvoices, eway_bills, gstr2b_entries</w:t>
            </w:r>
          </w:p>
        </w:tc>
        <w:tc>
          <w:tcPr>
            <w:tcW w:type="dxa" w:w="4032"/>
          </w:tcPr>
          <w:p>
            <w:pPr>
              <w:spacing w:after="40"/>
            </w:pPr>
            <w:r/>
            <w:r>
              <w:rPr>
                <w:sz w:val="17"/>
              </w:rPr>
              <w:t>IRN queue, consignment notes, and supplier-return matching</w:t>
            </w:r>
          </w:p>
        </w:tc>
      </w:tr>
      <w:tr>
        <w:tc>
          <w:tcPr>
            <w:tcW w:type="dxa" w:w="1296"/>
            <w:shd w:val="clear" w:fill="F3F6FB"/>
          </w:tcPr>
          <w:p>
            <w:pPr>
              <w:spacing w:after="40"/>
            </w:pPr>
            <w:r/>
            <w:r>
              <w:rPr>
                <w:b/>
                <w:sz w:val="17"/>
              </w:rPr>
              <w:t>Platform</w:t>
            </w:r>
          </w:p>
        </w:tc>
        <w:tc>
          <w:tcPr>
            <w:tcW w:type="dxa" w:w="3600"/>
            <w:shd w:val="clear" w:fill="F3F6FB"/>
          </w:tcPr>
          <w:p>
            <w:pPr>
              <w:spacing w:after="40"/>
            </w:pPr>
            <w:r/>
            <w:r>
              <w:rPr>
                <w:sz w:val="17"/>
              </w:rPr>
              <w:t>settings, files, jobs, custom_fields, custom_field_values, approval_rules, workflow_rules, recurring_invoices, recurring_journals, budgets, api_tokens</w:t>
            </w:r>
          </w:p>
        </w:tc>
        <w:tc>
          <w:tcPr>
            <w:tcW w:type="dxa" w:w="4032"/>
            <w:shd w:val="clear" w:fill="F3F6FB"/>
          </w:tcPr>
          <w:p>
            <w:pPr>
              <w:spacing w:after="40"/>
            </w:pPr>
            <w:r/>
            <w:r>
              <w:rPr>
                <w:sz w:val="17"/>
              </w:rPr>
              <w:t>Configuration, automation and extension points</w:t>
            </w:r>
          </w:p>
        </w:tc>
      </w:tr>
      <w:tr>
        <w:tc>
          <w:tcPr>
            <w:tcW w:type="dxa" w:w="1296"/>
          </w:tcPr>
          <w:p>
            <w:pPr>
              <w:spacing w:after="40"/>
            </w:pPr>
            <w:r/>
            <w:r>
              <w:rPr>
                <w:b/>
                <w:sz w:val="17"/>
              </w:rPr>
              <w:t>Inventory</w:t>
            </w:r>
          </w:p>
        </w:tc>
        <w:tc>
          <w:tcPr>
            <w:tcW w:type="dxa" w:w="3600"/>
          </w:tcPr>
          <w:p>
            <w:pPr>
              <w:spacing w:after="40"/>
            </w:pPr>
            <w:r/>
            <w:r>
              <w:rPr>
                <w:sz w:val="17"/>
              </w:rPr>
              <w:t>warehouses, stock_adjustments</w:t>
            </w:r>
          </w:p>
        </w:tc>
        <w:tc>
          <w:tcPr>
            <w:tcW w:type="dxa" w:w="4032"/>
          </w:tcPr>
          <w:p>
            <w:pPr>
              <w:spacing w:after="40"/>
            </w:pPr>
            <w:r/>
            <w:r>
              <w:rPr>
                <w:sz w:val="17"/>
              </w:rPr>
              <w:t>Locations, and the movements that no document explains</w:t>
            </w:r>
          </w:p>
        </w:tc>
      </w:tr>
    </w:tbl>
    <w:p>
      <w:pPr>
        <w:spacing w:after="80"/>
      </w:pPr>
    </w:p>
    <w:p>
      <w:pPr>
        <w:pStyle w:val="Heading2"/>
      </w:pPr>
      <w:r>
        <w:t>4.2  Three decisions worth explaining</w:t>
      </w:r>
    </w:p>
    <w:p>
      <w:pPr>
        <w:pStyle w:val="Heading3"/>
      </w:pPr>
      <w:r>
        <w:t>Every table carries org_id</w:t>
      </w:r>
    </w:p>
    <w:p>
      <w:r>
        <w:rPr>
          <w:b w:val="0"/>
          <w:i w:val="0"/>
        </w:rPr>
        <w:t>The install serves many organisations from one database. The tenant key is present on all 53 business tables — everything except organizations, the migration ledger, and the user-to-branch grant table — and every query filters on it. Adding a tenant key to forty tables afterwards means rewriting every query, index and foreign key at once; the column costs eight bytes a row and saves that migration.</w:t>
      </w:r>
    </w:p>
    <w:p>
      <w:pPr>
        <w:pStyle w:val="Heading3"/>
      </w:pPr>
      <w:r>
        <w:t>A branch is a registration, not an office</w:t>
      </w:r>
    </w:p>
    <w:p>
      <w:r>
        <w:rPr>
          <w:b w:val="0"/>
          <w:i w:val="0"/>
        </w:rPr>
        <w:t>Each state a business operates in needs its own GSTIN, and each GSTIN keeps its own invoice number series. Modelling a branch as a GST registration rather than a location is what makes the numbering, the place-of-supply resolution and the branch-wise GSTR-1 fall out naturally instead of needing special cases.</w:t>
      </w:r>
    </w:p>
    <w:p>
      <w:pPr>
        <w:pStyle w:val="Heading3"/>
      </w:pPr>
      <w:r>
        <w:t>Stock on hand is not stored</w:t>
      </w:r>
    </w:p>
    <w:p>
      <w:r>
        <w:rPr>
          <w:b w:val="0"/>
          <w:i w:val="0"/>
        </w:rPr>
        <w:t>It is derived: opening quantity, plus what the bills brought in, less what the invoices sent out, plus or minus adjustments. A stored running quantity would be a second copy of a figure the documents already determine, and a stock number that disagrees with the purchase and sales history is worse than no number. What cannot be derived — damage, theft, a stocktake correction — has no document behind it, so those get a table.</w:t>
      </w:r>
    </w:p>
    <w:p>
      <w:pPr>
        <w:pStyle w:val="Heading2"/>
      </w:pPr>
      <w:r>
        <w:t>4.3  The chart of accounts</w:t>
      </w:r>
    </w:p>
    <w:p>
      <w:r>
        <w:rPr>
          <w:b w:val="0"/>
          <w:i w:val="0"/>
        </w:rPr>
        <w:t>42 accounts are installed with every new organisation, numbered so the type is readable from the code. System accounts cannot be deleted because the posting engine names them directly.</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fill="002F6E"/>
          </w:tcPr>
          <w:p>
            <w:pPr>
              <w:spacing w:after="40"/>
            </w:pPr>
            <w:r/>
            <w:r>
              <w:rPr>
                <w:b/>
                <w:color w:val="FFFFFF"/>
                <w:sz w:val="17"/>
              </w:rPr>
              <w:t>Range</w:t>
            </w:r>
          </w:p>
        </w:tc>
        <w:tc>
          <w:tcPr>
            <w:tcW w:type="dxa" w:w="1296"/>
            <w:shd w:val="clear" w:fill="002F6E"/>
          </w:tcPr>
          <w:p>
            <w:pPr>
              <w:spacing w:after="40"/>
            </w:pPr>
            <w:r/>
            <w:r>
              <w:rPr>
                <w:b/>
                <w:color w:val="FFFFFF"/>
                <w:sz w:val="17"/>
              </w:rPr>
              <w:t>Type</w:t>
            </w:r>
          </w:p>
        </w:tc>
        <w:tc>
          <w:tcPr>
            <w:tcW w:type="dxa" w:w="6336"/>
            <w:shd w:val="clear" w:fill="002F6E"/>
          </w:tcPr>
          <w:p>
            <w:pPr>
              <w:spacing w:after="40"/>
            </w:pPr>
            <w:r/>
            <w:r>
              <w:rPr>
                <w:b/>
                <w:color w:val="FFFFFF"/>
                <w:sz w:val="17"/>
              </w:rPr>
              <w:t>Examples</w:t>
            </w:r>
          </w:p>
        </w:tc>
      </w:tr>
      <w:tr>
        <w:tc>
          <w:tcPr>
            <w:tcW w:type="dxa" w:w="1296"/>
          </w:tcPr>
          <w:p>
            <w:pPr>
              <w:spacing w:after="40"/>
            </w:pPr>
            <w:r/>
            <w:r>
              <w:rPr>
                <w:b/>
                <w:sz w:val="17"/>
              </w:rPr>
              <w:t>1000–1999</w:t>
            </w:r>
          </w:p>
        </w:tc>
        <w:tc>
          <w:tcPr>
            <w:tcW w:type="dxa" w:w="1296"/>
          </w:tcPr>
          <w:p>
            <w:pPr>
              <w:spacing w:after="40"/>
            </w:pPr>
            <w:r/>
            <w:r>
              <w:rPr>
                <w:sz w:val="17"/>
              </w:rPr>
              <w:t>Assets</w:t>
            </w:r>
          </w:p>
        </w:tc>
        <w:tc>
          <w:tcPr>
            <w:tcW w:type="dxa" w:w="6336"/>
          </w:tcPr>
          <w:p>
            <w:pPr>
              <w:spacing w:after="40"/>
            </w:pPr>
            <w:r/>
            <w:r>
              <w:rPr>
                <w:sz w:val="17"/>
              </w:rPr>
              <w:t>1100 Accounts Receivable · 1290 Cash in Hand · 1310/1320/1330 Input GST · 1400 TDS Receivable</w:t>
            </w:r>
          </w:p>
        </w:tc>
      </w:tr>
      <w:tr>
        <w:tc>
          <w:tcPr>
            <w:tcW w:type="dxa" w:w="1296"/>
            <w:shd w:val="clear" w:fill="F3F6FB"/>
          </w:tcPr>
          <w:p>
            <w:pPr>
              <w:spacing w:after="40"/>
            </w:pPr>
            <w:r/>
            <w:r>
              <w:rPr>
                <w:b/>
                <w:sz w:val="17"/>
              </w:rPr>
              <w:t>2000–2999</w:t>
            </w:r>
          </w:p>
        </w:tc>
        <w:tc>
          <w:tcPr>
            <w:tcW w:type="dxa" w:w="1296"/>
            <w:shd w:val="clear" w:fill="F3F6FB"/>
          </w:tcPr>
          <w:p>
            <w:pPr>
              <w:spacing w:after="40"/>
            </w:pPr>
            <w:r/>
            <w:r>
              <w:rPr>
                <w:sz w:val="17"/>
              </w:rPr>
              <w:t>Liabilities</w:t>
            </w:r>
          </w:p>
        </w:tc>
        <w:tc>
          <w:tcPr>
            <w:tcW w:type="dxa" w:w="6336"/>
            <w:shd w:val="clear" w:fill="F3F6FB"/>
          </w:tcPr>
          <w:p>
            <w:pPr>
              <w:spacing w:after="40"/>
            </w:pPr>
            <w:r/>
            <w:r>
              <w:rPr>
                <w:sz w:val="17"/>
              </w:rPr>
              <w:t>2100 Accounts Payable · 2210/2220/2230 Output GST · 2240 RCM Payable · 2300 TDS Payable · 2400 Unearned Revenue</w:t>
            </w:r>
          </w:p>
        </w:tc>
      </w:tr>
      <w:tr>
        <w:tc>
          <w:tcPr>
            <w:tcW w:type="dxa" w:w="1296"/>
          </w:tcPr>
          <w:p>
            <w:pPr>
              <w:spacing w:after="40"/>
            </w:pPr>
            <w:r/>
            <w:r>
              <w:rPr>
                <w:b/>
                <w:sz w:val="17"/>
              </w:rPr>
              <w:t>3000–3999</w:t>
            </w:r>
          </w:p>
        </w:tc>
        <w:tc>
          <w:tcPr>
            <w:tcW w:type="dxa" w:w="1296"/>
          </w:tcPr>
          <w:p>
            <w:pPr>
              <w:spacing w:after="40"/>
            </w:pPr>
            <w:r/>
            <w:r>
              <w:rPr>
                <w:sz w:val="17"/>
              </w:rPr>
              <w:t>Equity</w:t>
            </w:r>
          </w:p>
        </w:tc>
        <w:tc>
          <w:tcPr>
            <w:tcW w:type="dxa" w:w="6336"/>
          </w:tcPr>
          <w:p>
            <w:pPr>
              <w:spacing w:after="40"/>
            </w:pPr>
            <w:r/>
            <w:r>
              <w:rPr>
                <w:sz w:val="17"/>
              </w:rPr>
              <w:t>3100 Capital · 3200 Retained Earnings · 3300 Opening Balance Equity</w:t>
            </w:r>
          </w:p>
        </w:tc>
      </w:tr>
      <w:tr>
        <w:tc>
          <w:tcPr>
            <w:tcW w:type="dxa" w:w="1296"/>
            <w:shd w:val="clear" w:fill="F3F6FB"/>
          </w:tcPr>
          <w:p>
            <w:pPr>
              <w:spacing w:after="40"/>
            </w:pPr>
            <w:r/>
            <w:r>
              <w:rPr>
                <w:b/>
                <w:sz w:val="17"/>
              </w:rPr>
              <w:t>4000–4999</w:t>
            </w:r>
          </w:p>
        </w:tc>
        <w:tc>
          <w:tcPr>
            <w:tcW w:type="dxa" w:w="1296"/>
            <w:shd w:val="clear" w:fill="F3F6FB"/>
          </w:tcPr>
          <w:p>
            <w:pPr>
              <w:spacing w:after="40"/>
            </w:pPr>
            <w:r/>
            <w:r>
              <w:rPr>
                <w:sz w:val="17"/>
              </w:rPr>
              <w:t>Income</w:t>
            </w:r>
          </w:p>
        </w:tc>
        <w:tc>
          <w:tcPr>
            <w:tcW w:type="dxa" w:w="6336"/>
            <w:shd w:val="clear" w:fill="F3F6FB"/>
          </w:tcPr>
          <w:p>
            <w:pPr>
              <w:spacing w:after="40"/>
            </w:pPr>
            <w:r/>
            <w:r>
              <w:rPr>
                <w:sz w:val="17"/>
              </w:rPr>
              <w:t>4100 Sales · 4200 Service Income · 4300 Shipping Income</w:t>
            </w:r>
          </w:p>
        </w:tc>
      </w:tr>
      <w:tr>
        <w:tc>
          <w:tcPr>
            <w:tcW w:type="dxa" w:w="1296"/>
          </w:tcPr>
          <w:p>
            <w:pPr>
              <w:spacing w:after="40"/>
            </w:pPr>
            <w:r/>
            <w:r>
              <w:rPr>
                <w:b/>
                <w:sz w:val="17"/>
              </w:rPr>
              <w:t>5000–6999</w:t>
            </w:r>
          </w:p>
        </w:tc>
        <w:tc>
          <w:tcPr>
            <w:tcW w:type="dxa" w:w="1296"/>
          </w:tcPr>
          <w:p>
            <w:pPr>
              <w:spacing w:after="40"/>
            </w:pPr>
            <w:r/>
            <w:r>
              <w:rPr>
                <w:sz w:val="17"/>
              </w:rPr>
              <w:t>Expenses</w:t>
            </w:r>
          </w:p>
        </w:tc>
        <w:tc>
          <w:tcPr>
            <w:tcW w:type="dxa" w:w="6336"/>
          </w:tcPr>
          <w:p>
            <w:pPr>
              <w:spacing w:after="40"/>
            </w:pPr>
            <w:r/>
            <w:r>
              <w:rPr>
                <w:sz w:val="17"/>
              </w:rPr>
              <w:t>5100 Cost of Goods Sold · 5200 Purchases · 6100 Rent · 6200 Salaries</w:t>
            </w:r>
          </w:p>
        </w:tc>
      </w:tr>
    </w:tbl>
    <w:p>
      <w:pPr>
        <w:spacing w:after="80"/>
      </w:pPr>
    </w:p>
    <w:p>
      <w:r>
        <w:br w:type="page"/>
      </w:r>
    </w:p>
    <w:p>
      <w:pPr>
        <w:pStyle w:val="Heading1"/>
      </w:pPr>
      <w:r>
        <w:t>5. Parties and party linking</w:t>
      </w:r>
    </w:p>
    <w:p>
      <w:r>
        <w:rPr>
          <w:b w:val="0"/>
          <w:i w:val="0"/>
        </w:rPr>
        <w:t>A party is a customer, a vendor, or both. Everything the system knows about who a business trades with lives in one table, and every document, payment and journal line that concerns a party points back at that row. This section describes that linking, because it is what makes a party balance answerable at any date rather than only today.</w:t>
      </w:r>
    </w:p>
    <w:p>
      <w:pPr>
        <w:pStyle w:val="Heading2"/>
      </w:pPr>
      <w:r>
        <w:t>5.1  One table, three roles</w:t>
      </w:r>
    </w:p>
    <w:p>
      <w:r>
        <w:rPr>
          <w:b w:val="0"/>
          <w:i w:val="0"/>
        </w:rPr>
        <w:t>The columns below are named after the implemented jurisdiction, because that is what the schema calls them. Every one of them is an instance of something a party record needs anywhere: a tax status, a registration number, a place of establishment, a withholding rule, and a payment obligation the law attaches to a class of supplier.</w:t>
      </w:r>
    </w:p>
    <w:p>
      <w:r>
        <w:rPr>
          <w:b w:val="0"/>
          <w:i w:val="0"/>
        </w:rPr>
        <w:t>Parties are held in contacts, with a kind of customer, vendor or both. A single record can be both — the same firm may buy from you and supply to you — and when it is, its receivable and its payable stay on opposite sides of the ledger rather than being netted. Netting them would hide a debt behind a credit and produce a balance sheet that understates both.</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Field</w:t>
            </w:r>
          </w:p>
        </w:tc>
        <w:tc>
          <w:tcPr>
            <w:tcW w:type="dxa" w:w="6768"/>
            <w:shd w:val="clear" w:fill="002F6E"/>
          </w:tcPr>
          <w:p>
            <w:pPr>
              <w:spacing w:after="40"/>
            </w:pPr>
            <w:r/>
            <w:r>
              <w:rPr>
                <w:b/>
                <w:color w:val="FFFFFF"/>
                <w:sz w:val="17"/>
              </w:rPr>
              <w:t>Why it exists</w:t>
            </w:r>
          </w:p>
        </w:tc>
      </w:tr>
      <w:tr>
        <w:tc>
          <w:tcPr>
            <w:tcW w:type="dxa" w:w="2160"/>
          </w:tcPr>
          <w:p>
            <w:pPr>
              <w:spacing w:after="40"/>
            </w:pPr>
            <w:r/>
            <w:r>
              <w:rPr>
                <w:b/>
                <w:sz w:val="17"/>
              </w:rPr>
              <w:t>gst_treatment</w:t>
            </w:r>
          </w:p>
        </w:tc>
        <w:tc>
          <w:tcPr>
            <w:tcW w:type="dxa" w:w="6768"/>
          </w:tcPr>
          <w:p>
            <w:pPr>
              <w:spacing w:after="40"/>
            </w:pPr>
            <w:r/>
            <w:r>
              <w:rPr>
                <w:sz w:val="17"/>
              </w:rPr>
              <w:t>Registered, unregistered, composition, overseas, SEZ, deemed export or UIN. Decides whether tax is charged, who pays it, and which GSTR-1 table the supply lands in. It drives the arithmetic, it is not a label.</w:t>
            </w:r>
          </w:p>
        </w:tc>
      </w:tr>
      <w:tr>
        <w:tc>
          <w:tcPr>
            <w:tcW w:type="dxa" w:w="2160"/>
            <w:shd w:val="clear" w:fill="F3F6FB"/>
          </w:tcPr>
          <w:p>
            <w:pPr>
              <w:spacing w:after="40"/>
            </w:pPr>
            <w:r/>
            <w:r>
              <w:rPr>
                <w:b/>
                <w:sz w:val="17"/>
              </w:rPr>
              <w:t>gstin</w:t>
            </w:r>
          </w:p>
        </w:tc>
        <w:tc>
          <w:tcPr>
            <w:tcW w:type="dxa" w:w="6768"/>
            <w:shd w:val="clear" w:fill="F3F6FB"/>
          </w:tcPr>
          <w:p>
            <w:pPr>
              <w:spacing w:after="40"/>
            </w:pPr>
            <w:r/>
            <w:r>
              <w:rPr>
                <w:sz w:val="17"/>
              </w:rPr>
              <w:t>Validated on its mod-36 check digit. Characters 3 to 12 are the party PAN, so the PAN never has to be asked for twice.</w:t>
            </w:r>
          </w:p>
        </w:tc>
      </w:tr>
      <w:tr>
        <w:tc>
          <w:tcPr>
            <w:tcW w:type="dxa" w:w="2160"/>
          </w:tcPr>
          <w:p>
            <w:pPr>
              <w:spacing w:after="40"/>
            </w:pPr>
            <w:r/>
            <w:r>
              <w:rPr>
                <w:b/>
                <w:sz w:val="17"/>
              </w:rPr>
              <w:t>state_code</w:t>
            </w:r>
          </w:p>
        </w:tc>
        <w:tc>
          <w:tcPr>
            <w:tcW w:type="dxa" w:w="6768"/>
          </w:tcPr>
          <w:p>
            <w:pPr>
              <w:spacing w:after="40"/>
            </w:pPr>
            <w:r/>
            <w:r>
              <w:rPr>
                <w:sz w:val="17"/>
              </w:rPr>
              <w:t>The first two characters of the GSTIN. Together with the branch state it decides CGST+SGST versus IGST on every document.</w:t>
            </w:r>
          </w:p>
        </w:tc>
      </w:tr>
      <w:tr>
        <w:tc>
          <w:tcPr>
            <w:tcW w:type="dxa" w:w="2160"/>
            <w:shd w:val="clear" w:fill="F3F6FB"/>
          </w:tcPr>
          <w:p>
            <w:pPr>
              <w:spacing w:after="40"/>
            </w:pPr>
            <w:r/>
            <w:r>
              <w:rPr>
                <w:b/>
                <w:sz w:val="17"/>
              </w:rPr>
              <w:t>is_msme, msme_udyam_no</w:t>
            </w:r>
          </w:p>
        </w:tc>
        <w:tc>
          <w:tcPr>
            <w:tcW w:type="dxa" w:w="6768"/>
            <w:shd w:val="clear" w:fill="F3F6FB"/>
          </w:tcPr>
          <w:p>
            <w:pPr>
              <w:spacing w:after="40"/>
            </w:pPr>
            <w:r/>
            <w:r>
              <w:rPr>
                <w:sz w:val="17"/>
              </w:rPr>
              <w:t>A registered micro or small supplier starts the Section 43B(h) clock — pay within 45 days or lose the deduction for the year. The flag has to live on the vendor, not in a spreadsheet.</w:t>
            </w:r>
          </w:p>
        </w:tc>
      </w:tr>
      <w:tr>
        <w:tc>
          <w:tcPr>
            <w:tcW w:type="dxa" w:w="2160"/>
          </w:tcPr>
          <w:p>
            <w:pPr>
              <w:spacing w:after="40"/>
            </w:pPr>
            <w:r/>
            <w:r>
              <w:rPr>
                <w:b/>
                <w:sz w:val="17"/>
              </w:rPr>
              <w:t>tds_section</w:t>
            </w:r>
          </w:p>
        </w:tc>
        <w:tc>
          <w:tcPr>
            <w:tcW w:type="dxa" w:w="6768"/>
          </w:tcPr>
          <w:p>
            <w:pPr>
              <w:spacing w:after="40"/>
            </w:pPr>
            <w:r/>
            <w:r>
              <w:rPr>
                <w:sz w:val="17"/>
              </w:rPr>
              <w:t>Which section applies to payments to this vendor. Thresholds are annual, so the system accumulates against the party across the financial year.</w:t>
            </w:r>
          </w:p>
        </w:tc>
      </w:tr>
      <w:tr>
        <w:tc>
          <w:tcPr>
            <w:tcW w:type="dxa" w:w="2160"/>
            <w:shd w:val="clear" w:fill="F3F6FB"/>
          </w:tcPr>
          <w:p>
            <w:pPr>
              <w:spacing w:after="40"/>
            </w:pPr>
            <w:r/>
            <w:r>
              <w:rPr>
                <w:b/>
                <w:sz w:val="17"/>
              </w:rPr>
              <w:t>payment_terms</w:t>
            </w:r>
          </w:p>
        </w:tc>
        <w:tc>
          <w:tcPr>
            <w:tcW w:type="dxa" w:w="6768"/>
            <w:shd w:val="clear" w:fill="F3F6FB"/>
          </w:tcPr>
          <w:p>
            <w:pPr>
              <w:spacing w:after="40"/>
            </w:pPr>
            <w:r/>
            <w:r>
              <w:rPr>
                <w:sz w:val="17"/>
              </w:rPr>
              <w:t>Sets the due date on every document raised for the party.</w:t>
            </w:r>
          </w:p>
        </w:tc>
      </w:tr>
      <w:tr>
        <w:tc>
          <w:tcPr>
            <w:tcW w:type="dxa" w:w="2160"/>
          </w:tcPr>
          <w:p>
            <w:pPr>
              <w:spacing w:after="40"/>
            </w:pPr>
            <w:r/>
            <w:r>
              <w:rPr>
                <w:b/>
                <w:sz w:val="17"/>
              </w:rPr>
              <w:t>credit_limit</w:t>
            </w:r>
          </w:p>
        </w:tc>
        <w:tc>
          <w:tcPr>
            <w:tcW w:type="dxa" w:w="6768"/>
          </w:tcPr>
          <w:p>
            <w:pPr>
              <w:spacing w:after="40"/>
            </w:pPr>
            <w:r/>
            <w:r>
              <w:rPr>
                <w:sz w:val="17"/>
              </w:rPr>
              <w:t>Warns when outstanding exceeds it.</w:t>
            </w:r>
          </w:p>
        </w:tc>
      </w:tr>
      <w:tr>
        <w:tc>
          <w:tcPr>
            <w:tcW w:type="dxa" w:w="2160"/>
            <w:shd w:val="clear" w:fill="F3F6FB"/>
          </w:tcPr>
          <w:p>
            <w:pPr>
              <w:spacing w:after="40"/>
            </w:pPr>
            <w:r/>
            <w:r>
              <w:rPr>
                <w:b/>
                <w:sz w:val="17"/>
              </w:rPr>
              <w:t>opening_balance</w:t>
            </w:r>
          </w:p>
        </w:tc>
        <w:tc>
          <w:tcPr>
            <w:tcW w:type="dxa" w:w="6768"/>
            <w:shd w:val="clear" w:fill="F3F6FB"/>
          </w:tcPr>
          <w:p>
            <w:pPr>
              <w:spacing w:after="40"/>
            </w:pPr>
            <w:r/>
            <w:r>
              <w:rPr>
                <w:sz w:val="17"/>
              </w:rPr>
              <w:t>What was owed when the books began.</w:t>
            </w:r>
          </w:p>
        </w:tc>
      </w:tr>
    </w:tbl>
    <w:p>
      <w:pPr>
        <w:spacing w:after="80"/>
      </w:pPr>
    </w:p>
    <w:p>
      <w:pPr>
        <w:pStyle w:val="Heading2"/>
      </w:pPr>
      <w:r>
        <w:t>5.2  How a party links to documents</w:t>
      </w:r>
    </w:p>
    <w:p>
      <w:r>
        <w:rPr>
          <w:b w:val="0"/>
          <w:i w:val="0"/>
        </w:rPr>
        <w:t>Fourteen tables carry a foreign key back to contacts. The relationship is enforced by the database, not by convention, so a document cannot exist without a party behind it and a party cannot be deleted out from under its history.</w:t>
      </w:r>
    </w:p>
    <w:tbl>
      <w:tblPr>
        <w:tblStyle w:val="TableGrid"/>
        <w:tblW w:type="auto" w:w="0"/>
        <w:jc w:val="center"/>
        <w:tblLook w:firstColumn="1" w:firstRow="1" w:lastColumn="0" w:lastRow="0" w:noHBand="0" w:noVBand="1" w:val="04A0"/>
      </w:tblPr>
      <w:tblGrid>
        <w:gridCol w:w="4680"/>
        <w:gridCol w:w="4680"/>
      </w:tblGrid>
      <w:tr>
        <w:tc>
          <w:tcPr>
            <w:tcW w:type="dxa" w:w="2448"/>
            <w:shd w:val="clear" w:fill="002F6E"/>
          </w:tcPr>
          <w:p>
            <w:pPr>
              <w:spacing w:after="40"/>
            </w:pPr>
            <w:r/>
            <w:r>
              <w:rPr>
                <w:b/>
                <w:color w:val="FFFFFF"/>
                <w:sz w:val="17"/>
              </w:rPr>
              <w:t>Points at a party through</w:t>
            </w:r>
          </w:p>
        </w:tc>
        <w:tc>
          <w:tcPr>
            <w:tcW w:type="dxa" w:w="6480"/>
            <w:shd w:val="clear" w:fill="002F6E"/>
          </w:tcPr>
          <w:p>
            <w:pPr>
              <w:spacing w:after="40"/>
            </w:pPr>
            <w:r/>
            <w:r>
              <w:rPr>
                <w:b/>
                <w:color w:val="FFFFFF"/>
                <w:sz w:val="17"/>
              </w:rPr>
              <w:t>Tables</w:t>
            </w:r>
          </w:p>
        </w:tc>
      </w:tr>
      <w:tr>
        <w:tc>
          <w:tcPr>
            <w:tcW w:type="dxa" w:w="2448"/>
          </w:tcPr>
          <w:p>
            <w:pPr>
              <w:spacing w:after="40"/>
            </w:pPr>
            <w:r/>
            <w:r>
              <w:rPr>
                <w:b/>
                <w:sz w:val="17"/>
              </w:rPr>
              <w:t>customer_id</w:t>
            </w:r>
          </w:p>
        </w:tc>
        <w:tc>
          <w:tcPr>
            <w:tcW w:type="dxa" w:w="6480"/>
          </w:tcPr>
          <w:p>
            <w:pPr>
              <w:spacing w:after="40"/>
            </w:pPr>
            <w:r/>
            <w:r>
              <w:rPr>
                <w:sz w:val="17"/>
              </w:rPr>
              <w:t>invoices, estimates, sales_orders, delivery_challans, credit_notes, retainer_invoices, recurring_invoices</w:t>
            </w:r>
          </w:p>
        </w:tc>
      </w:tr>
      <w:tr>
        <w:tc>
          <w:tcPr>
            <w:tcW w:type="dxa" w:w="2448"/>
            <w:shd w:val="clear" w:fill="F3F6FB"/>
          </w:tcPr>
          <w:p>
            <w:pPr>
              <w:spacing w:after="40"/>
            </w:pPr>
            <w:r/>
            <w:r>
              <w:rPr>
                <w:b/>
                <w:sz w:val="17"/>
              </w:rPr>
              <w:t>vendor_id</w:t>
            </w:r>
          </w:p>
        </w:tc>
        <w:tc>
          <w:tcPr>
            <w:tcW w:type="dxa" w:w="6480"/>
            <w:shd w:val="clear" w:fill="F3F6FB"/>
          </w:tcPr>
          <w:p>
            <w:pPr>
              <w:spacing w:after="40"/>
            </w:pPr>
            <w:r/>
            <w:r>
              <w:rPr>
                <w:sz w:val="17"/>
              </w:rPr>
              <w:t>bills, expenses, purchase_orders, vendor_credits</w:t>
            </w:r>
          </w:p>
        </w:tc>
      </w:tr>
      <w:tr>
        <w:tc>
          <w:tcPr>
            <w:tcW w:type="dxa" w:w="2448"/>
          </w:tcPr>
          <w:p>
            <w:pPr>
              <w:spacing w:after="40"/>
            </w:pPr>
            <w:r/>
            <w:r>
              <w:rPr>
                <w:b/>
                <w:sz w:val="17"/>
              </w:rPr>
              <w:t>contact_id</w:t>
            </w:r>
          </w:p>
        </w:tc>
        <w:tc>
          <w:tcPr>
            <w:tcW w:type="dxa" w:w="6480"/>
          </w:tcPr>
          <w:p>
            <w:pPr>
              <w:spacing w:after="40"/>
            </w:pPr>
            <w:r/>
            <w:r>
              <w:rPr>
                <w:sz w:val="17"/>
              </w:rPr>
              <w:t>payments, cheques, bank_rules</w:t>
            </w:r>
          </w:p>
        </w:tc>
      </w:tr>
      <w:tr>
        <w:tc>
          <w:tcPr>
            <w:tcW w:type="dxa" w:w="2448"/>
            <w:shd w:val="clear" w:fill="F3F6FB"/>
          </w:tcPr>
          <w:p>
            <w:pPr>
              <w:spacing w:after="40"/>
            </w:pPr>
            <w:r/>
            <w:r>
              <w:rPr>
                <w:b/>
                <w:sz w:val="17"/>
              </w:rPr>
              <w:t>billable_customer_id</w:t>
            </w:r>
          </w:p>
        </w:tc>
        <w:tc>
          <w:tcPr>
            <w:tcW w:type="dxa" w:w="6480"/>
            <w:shd w:val="clear" w:fill="F3F6FB"/>
          </w:tcPr>
          <w:p>
            <w:pPr>
              <w:spacing w:after="40"/>
            </w:pPr>
            <w:r/>
            <w:r>
              <w:rPr>
                <w:sz w:val="17"/>
              </w:rPr>
              <w:t>expenses — an expense to be re-billed to a client</w:t>
            </w:r>
          </w:p>
        </w:tc>
      </w:tr>
    </w:tbl>
    <w:p>
      <w:pPr>
        <w:spacing w:after="80"/>
      </w:pPr>
    </w:p>
    <w:p>
      <w:r>
        <w:rPr>
          <w:b w:val="0"/>
          <w:i w:val="0"/>
        </w:rPr>
        <w:t>journal_lines carries the party too, but without a foreign key. It is the one deliberate exception: the column is denormalised from the entry so that ledger and ageing queries need no join, and it is the reason section 5.3 works the way it does.</w:t>
      </w:r>
    </w:p>
    <w:p>
      <w:pPr>
        <w:pStyle w:val="Heading2"/>
      </w:pPr>
      <w:r>
        <w:t>5.3  The link that matters most: the journal line</w:t>
      </w:r>
    </w:p>
    <w:p>
      <w:r>
        <w:rPr>
          <w:b w:val="0"/>
          <w:i w:val="0"/>
        </w:rPr>
        <w:t>Every journal line that touches Accounts Receivable or Accounts Payable carries the party it belongs to, indexed by organisation, party and date. That single column is what turns the ledger into a subsidiary ledger per party, and it has three consequences.</w:t>
      </w:r>
    </w:p>
    <w:p>
      <w:r>
        <w:rPr>
          <w:b/>
          <w:i w:val="0"/>
        </w:rPr>
        <w:t xml:space="preserve">A party balance is a ledger fact, not a document sum. </w:t>
      </w:r>
      <w:r>
        <w:rPr>
          <w:b w:val="0"/>
          <w:i w:val="0"/>
        </w:rPr>
        <w:t>Summing the unpaid amounts on a party’s open documents tells you what they owe now. Summing their AR journal lines up to a date tells you what they owed on that date. Only the second one can answer a question about 31 March in September.</w:t>
      </w:r>
    </w:p>
    <w:p>
      <w:r>
        <w:rPr>
          <w:b/>
          <w:i w:val="0"/>
        </w:rPr>
        <w:t xml:space="preserve">Ageing ties to the control account at every date. </w:t>
      </w:r>
      <w:r>
        <w:rPr>
          <w:b w:val="0"/>
          <w:i w:val="0"/>
        </w:rPr>
        <w:t>The ageing report takes each party’s balance from the journal, filtered to the as-of date, and then spreads it across their open documents oldest first. Because the amount comes from the ledger rather than from each document’s current payment status, the ageing total equals the AR or AP control account balance on any date — not merely today. This is verified as part of the test suite.</w:t>
      </w:r>
    </w:p>
    <w:p>
      <w:r>
        <w:rPr>
          <w:b/>
          <w:i w:val="0"/>
        </w:rPr>
        <w:t xml:space="preserve">A party statement is one query. </w:t>
      </w:r>
      <w:r>
        <w:rPr>
          <w:b w:val="0"/>
          <w:i w:val="0"/>
        </w:rPr>
        <w:t>Every movement for a party, in date order, comes from the journal lines carrying that contact id — invoices, receipts, credit notes and adjustments together, with no union of six document tables and no risk of one of them being forgotten.</w:t>
      </w:r>
    </w:p>
    <w:tbl>
      <w:tblPr>
        <w:tblStyle w:val="TableGrid"/>
        <w:tblW w:type="auto" w:w="0"/>
        <w:tblLook w:firstColumn="1" w:firstRow="1" w:lastColumn="0" w:lastRow="0" w:noHBand="0" w:noVBand="1" w:val="04A0"/>
      </w:tblPr>
      <w:tblGrid>
        <w:gridCol w:w="9360"/>
      </w:tblGrid>
      <w:tr>
        <w:tc>
          <w:tcPr>
            <w:tcW w:type="dxa" w:w="9360"/>
            <w:shd w:val="clear" w:fill="FFF0F0"/>
          </w:tcPr>
          <w:p>
            <w:pPr>
              <w:spacing w:after="40"/>
            </w:pPr>
            <w:r/>
            <w:r>
              <w:rPr>
                <w:b/>
                <w:sz w:val="19"/>
              </w:rPr>
              <w:t>The bug this design avoids</w:t>
            </w:r>
          </w:p>
          <w:p>
            <w:pPr>
              <w:spacing w:after="20"/>
            </w:pPr>
            <w:r>
              <w:rPr>
                <w:sz w:val="19"/>
              </w:rPr>
              <w:t>A common implementation filters documents by date but reads today’s payment status against them. Ask that system what a customer owed on 31 March and it returns a figure that belongs to neither date — the March invoices, less the payments made since. Deriving the balance from dated journal lines is what makes the answer correct.</w:t>
            </w:r>
          </w:p>
        </w:tc>
      </w:tr>
    </w:tbl>
    <w:p>
      <w:pPr>
        <w:spacing w:after="80"/>
      </w:pPr>
    </w:p>
    <w:p>
      <w:pPr>
        <w:pStyle w:val="Heading2"/>
      </w:pPr>
      <w:r>
        <w:t>5.4  Payments and allocation</w:t>
      </w:r>
    </w:p>
    <w:p>
      <w:r>
        <w:rPr>
          <w:b w:val="0"/>
          <w:i w:val="0"/>
        </w:rPr>
        <w:t>A payment is recorded against a party first and allocated to documents second. The allocation table is polymorphic on purpose — one payment can settle an invoice, a bill, a credit note, a vendor credit or a retainer, and five nullable foreign keys would be worse than one typed pair. Anything unallocated stays on the party’s account as an advance and is offered against their next document.</w:t>
      </w:r>
    </w:p>
    <w:p>
      <w:r>
        <w:rPr>
          <w:b w:val="0"/>
          <w:i w:val="0"/>
        </w:rPr>
        <w:t>The direction is checked: a receipt cannot be allocated against a bill. Crossing the two would credit a customer for paying a supplier, and the resulting entry would balance — which is exactly what makes the mistake hard to find later.</w:t>
      </w:r>
    </w:p>
    <w:p>
      <w:pPr>
        <w:pStyle w:val="Heading2"/>
      </w:pPr>
      <w:r>
        <w:t>5.5  Creating a party from inside a document</w:t>
      </w:r>
    </w:p>
    <w:p>
      <w:r>
        <w:rPr>
          <w:b w:val="0"/>
          <w:i w:val="0"/>
        </w:rPr>
        <w:t>Pickers for customers, vendors and items carry a "New …" action that opens a dialog instead of navigating to the master form. The record is written through the same endpoint and the same validation the full form uses, and the document being filled in survives.</w:t>
      </w:r>
    </w:p>
    <w:p>
      <w:pPr>
        <w:pStyle w:val="ListBullet"/>
        <w:spacing w:after="60"/>
        <w:ind w:left="360"/>
      </w:pPr>
      <w:r>
        <w:t>The dialog asks for what the document needs — name, GST treatment, state, and for vendors the MSME and TDS questions that change what a bill does. Addresses, credit limits and opening balances stay on the master screen.</w:t>
      </w:r>
    </w:p>
    <w:p>
      <w:pPr>
        <w:pStyle w:val="ListBullet"/>
        <w:spacing w:after="60"/>
        <w:ind w:left="360"/>
      </w:pPr>
      <w:r>
        <w:t>Entering a GSTIN fills in the state from its first two characters, so the pair cannot disagree.</w:t>
      </w:r>
    </w:p>
    <w:p>
      <w:pPr>
        <w:pStyle w:val="ListBullet"/>
        <w:spacing w:after="60"/>
        <w:ind w:left="360"/>
      </w:pPr>
      <w:r>
        <w:t>The document’s own change handler runs on the result, so a new customer’s payment terms set the due date and its state sets the place of supply, exactly as if the party had been picked from the list.</w:t>
      </w:r>
    </w:p>
    <w:p>
      <w:pPr>
        <w:pStyle w:val="ListBullet"/>
        <w:spacing w:after="60"/>
        <w:ind w:left="360"/>
      </w:pPr>
      <w:r>
        <w:t>A registered party cannot be saved without a GSTIN. Someone with no GSTIN is unregistered, which is a different treatment rather than a missing field.</w:t>
      </w:r>
    </w:p>
    <w:p>
      <w:pPr>
        <w:pStyle w:val="Heading2"/>
      </w:pPr>
      <w:r>
        <w:t>5.6  What a party screen shows</w:t>
      </w:r>
    </w:p>
    <w:p>
      <w:r>
        <w:rPr>
          <w:b w:val="0"/>
          <w:i w:val="0"/>
        </w:rPr>
        <w:t>Opening a customer or vendor gives the full position in one place: receivable or payable outstanding, their documents with status and balance, payments and unapplied advances, ageing buckets, year-to-date taxable billing (which is what the TDS threshold is measured against), MSME status with the 45-day countdown where it applies, and the ledger movements behind all of it.</w:t>
      </w:r>
    </w:p>
    <w:p>
      <w:r>
        <w:br w:type="page"/>
      </w:r>
    </w:p>
    <w:p>
      <w:pPr>
        <w:pStyle w:val="Heading1"/>
      </w:pPr>
      <w:r>
        <w:t>6. Functional modules</w:t>
      </w:r>
    </w:p>
    <w:p>
      <w:r>
        <w:rPr>
          <w:b w:val="0"/>
          <w:i w:val="0"/>
        </w:rPr>
        <w:t>85 screens across nine modules. Each is listed with what it does and the accounting behind it where that is not obvious.</w:t>
      </w:r>
    </w:p>
    <w:p>
      <w:r>
        <w:rPr>
          <w:b w:val="0"/>
          <w:i w:val="0"/>
        </w:rPr>
        <w:t>Eight of the nine are the same for a business anywhere. The ninth — the tax and compliance module — is the jurisdiction module made visible: its screens are named after the returns and documents the implemented jurisdiction requires, and a second jurisdiction would add its own alongside them rather than change any of the others.</w:t>
      </w:r>
    </w:p>
    <w:p>
      <w:pPr>
        <w:pStyle w:val="Heading2"/>
      </w:pPr>
      <w:r>
        <w:t>Sales</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Customers</w:t>
            </w:r>
          </w:p>
        </w:tc>
        <w:tc>
          <w:tcPr>
            <w:tcW w:type="dxa" w:w="6768"/>
          </w:tcPr>
          <w:p>
            <w:pPr>
              <w:spacing w:after="40"/>
            </w:pPr>
            <w:r/>
            <w:r>
              <w:rPr>
                <w:sz w:val="17"/>
              </w:rPr>
              <w:t>Party master with GST treatment, credit limit, terms and full transaction history.</w:t>
            </w:r>
          </w:p>
        </w:tc>
      </w:tr>
      <w:tr>
        <w:tc>
          <w:tcPr>
            <w:tcW w:type="dxa" w:w="2160"/>
            <w:shd w:val="clear" w:fill="F3F6FB"/>
          </w:tcPr>
          <w:p>
            <w:pPr>
              <w:spacing w:after="40"/>
            </w:pPr>
            <w:r/>
            <w:r>
              <w:rPr>
                <w:b/>
                <w:sz w:val="17"/>
              </w:rPr>
              <w:t>Items</w:t>
            </w:r>
          </w:p>
        </w:tc>
        <w:tc>
          <w:tcPr>
            <w:tcW w:type="dxa" w:w="6768"/>
            <w:shd w:val="clear" w:fill="F3F6FB"/>
          </w:tcPr>
          <w:p>
            <w:pPr>
              <w:spacing w:after="40"/>
            </w:pPr>
            <w:r/>
            <w:r>
              <w:rPr>
                <w:sz w:val="17"/>
              </w:rPr>
              <w:t>Goods and services with HSN or SAC, unit, rates and both prices.</w:t>
            </w:r>
          </w:p>
        </w:tc>
      </w:tr>
      <w:tr>
        <w:tc>
          <w:tcPr>
            <w:tcW w:type="dxa" w:w="2160"/>
          </w:tcPr>
          <w:p>
            <w:pPr>
              <w:spacing w:after="40"/>
            </w:pPr>
            <w:r/>
            <w:r>
              <w:rPr>
                <w:b/>
                <w:sz w:val="17"/>
              </w:rPr>
              <w:t>Estimates</w:t>
            </w:r>
          </w:p>
        </w:tc>
        <w:tc>
          <w:tcPr>
            <w:tcW w:type="dxa" w:w="6768"/>
          </w:tcPr>
          <w:p>
            <w:pPr>
              <w:spacing w:after="40"/>
            </w:pPr>
            <w:r/>
            <w:r>
              <w:rPr>
                <w:sz w:val="17"/>
              </w:rPr>
              <w:t>Quotes, convertible to a sales order or straight to an invoice.</w:t>
            </w:r>
          </w:p>
        </w:tc>
      </w:tr>
      <w:tr>
        <w:tc>
          <w:tcPr>
            <w:tcW w:type="dxa" w:w="2160"/>
            <w:shd w:val="clear" w:fill="F3F6FB"/>
          </w:tcPr>
          <w:p>
            <w:pPr>
              <w:spacing w:after="40"/>
            </w:pPr>
            <w:r/>
            <w:r>
              <w:rPr>
                <w:b/>
                <w:sz w:val="17"/>
              </w:rPr>
              <w:t>Sales Orders</w:t>
            </w:r>
          </w:p>
        </w:tc>
        <w:tc>
          <w:tcPr>
            <w:tcW w:type="dxa" w:w="6768"/>
            <w:shd w:val="clear" w:fill="F3F6FB"/>
          </w:tcPr>
          <w:p>
            <w:pPr>
              <w:spacing w:after="40"/>
            </w:pPr>
            <w:r/>
            <w:r>
              <w:rPr>
                <w:sz w:val="17"/>
              </w:rPr>
              <w:t>Confirmed orders, tracked against what has been invoiced.</w:t>
            </w:r>
          </w:p>
        </w:tc>
      </w:tr>
      <w:tr>
        <w:tc>
          <w:tcPr>
            <w:tcW w:type="dxa" w:w="2160"/>
          </w:tcPr>
          <w:p>
            <w:pPr>
              <w:spacing w:after="40"/>
            </w:pPr>
            <w:r/>
            <w:r>
              <w:rPr>
                <w:b/>
                <w:sz w:val="17"/>
              </w:rPr>
              <w:t>Delivery Challans</w:t>
            </w:r>
          </w:p>
        </w:tc>
        <w:tc>
          <w:tcPr>
            <w:tcW w:type="dxa" w:w="6768"/>
          </w:tcPr>
          <w:p>
            <w:pPr>
              <w:spacing w:after="40"/>
            </w:pPr>
            <w:r/>
            <w:r>
              <w:rPr>
                <w:sz w:val="17"/>
              </w:rPr>
              <w:t>Goods moved without an invoice — job work, approval, exhibition.</w:t>
            </w:r>
          </w:p>
        </w:tc>
      </w:tr>
      <w:tr>
        <w:tc>
          <w:tcPr>
            <w:tcW w:type="dxa" w:w="2160"/>
            <w:shd w:val="clear" w:fill="F3F6FB"/>
          </w:tcPr>
          <w:p>
            <w:pPr>
              <w:spacing w:after="40"/>
            </w:pPr>
            <w:r/>
            <w:r>
              <w:rPr>
                <w:b/>
                <w:sz w:val="17"/>
              </w:rPr>
              <w:t>Invoices</w:t>
            </w:r>
          </w:p>
        </w:tc>
        <w:tc>
          <w:tcPr>
            <w:tcW w:type="dxa" w:w="6768"/>
            <w:shd w:val="clear" w:fill="F3F6FB"/>
          </w:tcPr>
          <w:p>
            <w:pPr>
              <w:spacing w:after="40"/>
            </w:pPr>
            <w:r/>
            <w:r>
              <w:rPr>
                <w:sz w:val="17"/>
              </w:rPr>
              <w:t>The tax invoice. Live GST resolution, discounts per line, TDS deducted by the customer, e-invoice and e-way bill status.</w:t>
            </w:r>
          </w:p>
        </w:tc>
      </w:tr>
      <w:tr>
        <w:tc>
          <w:tcPr>
            <w:tcW w:type="dxa" w:w="2160"/>
          </w:tcPr>
          <w:p>
            <w:pPr>
              <w:spacing w:after="40"/>
            </w:pPr>
            <w:r/>
            <w:r>
              <w:rPr>
                <w:b/>
                <w:sz w:val="17"/>
              </w:rPr>
              <w:t>Retainer Invoices</w:t>
            </w:r>
          </w:p>
        </w:tc>
        <w:tc>
          <w:tcPr>
            <w:tcW w:type="dxa" w:w="6768"/>
          </w:tcPr>
          <w:p>
            <w:pPr>
              <w:spacing w:after="40"/>
            </w:pPr>
            <w:r/>
            <w:r>
              <w:rPr>
                <w:sz w:val="17"/>
              </w:rPr>
              <w:t>Advances taken against future work. Held as unearned revenue and applied to invoices later; a retainer can only be applied once the money has actually arrived.</w:t>
            </w:r>
          </w:p>
        </w:tc>
      </w:tr>
      <w:tr>
        <w:tc>
          <w:tcPr>
            <w:tcW w:type="dxa" w:w="2160"/>
            <w:shd w:val="clear" w:fill="F3F6FB"/>
          </w:tcPr>
          <w:p>
            <w:pPr>
              <w:spacing w:after="40"/>
            </w:pPr>
            <w:r/>
            <w:r>
              <w:rPr>
                <w:b/>
                <w:sz w:val="17"/>
              </w:rPr>
              <w:t>Payments Received</w:t>
            </w:r>
          </w:p>
        </w:tc>
        <w:tc>
          <w:tcPr>
            <w:tcW w:type="dxa" w:w="6768"/>
            <w:shd w:val="clear" w:fill="F3F6FB"/>
          </w:tcPr>
          <w:p>
            <w:pPr>
              <w:spacing w:after="40"/>
            </w:pPr>
            <w:r/>
            <w:r>
              <w:rPr>
                <w:sz w:val="17"/>
              </w:rPr>
              <w:t>Receipts with allocation across open invoices, advances left on account, and TDS the customer withheld.</w:t>
            </w:r>
          </w:p>
        </w:tc>
      </w:tr>
      <w:tr>
        <w:tc>
          <w:tcPr>
            <w:tcW w:type="dxa" w:w="2160"/>
          </w:tcPr>
          <w:p>
            <w:pPr>
              <w:spacing w:after="40"/>
            </w:pPr>
            <w:r/>
            <w:r>
              <w:rPr>
                <w:b/>
                <w:sz w:val="17"/>
              </w:rPr>
              <w:t>Credit Notes</w:t>
            </w:r>
          </w:p>
        </w:tc>
        <w:tc>
          <w:tcPr>
            <w:tcW w:type="dxa" w:w="6768"/>
          </w:tcPr>
          <w:p>
            <w:pPr>
              <w:spacing w:after="40"/>
            </w:pPr>
            <w:r/>
            <w:r>
              <w:rPr>
                <w:sz w:val="17"/>
              </w:rPr>
              <w:t>Returns and corrections, with the output tax reversed.</w:t>
            </w:r>
          </w:p>
        </w:tc>
      </w:tr>
      <w:tr>
        <w:tc>
          <w:tcPr>
            <w:tcW w:type="dxa" w:w="2160"/>
            <w:shd w:val="clear" w:fill="F3F6FB"/>
          </w:tcPr>
          <w:p>
            <w:pPr>
              <w:spacing w:after="40"/>
            </w:pPr>
            <w:r/>
            <w:r>
              <w:rPr>
                <w:b/>
                <w:sz w:val="17"/>
              </w:rPr>
              <w:t>Recurring Invoices</w:t>
            </w:r>
          </w:p>
        </w:tc>
        <w:tc>
          <w:tcPr>
            <w:tcW w:type="dxa" w:w="6768"/>
            <w:shd w:val="clear" w:fill="F3F6FB"/>
          </w:tcPr>
          <w:p>
            <w:pPr>
              <w:spacing w:after="40"/>
            </w:pPr>
            <w:r/>
            <w:r>
              <w:rPr>
                <w:sz w:val="17"/>
              </w:rPr>
              <w:t>Profiles that generate on a schedule.</w:t>
            </w:r>
          </w:p>
        </w:tc>
      </w:tr>
    </w:tbl>
    <w:p>
      <w:pPr>
        <w:spacing w:after="80"/>
      </w:pPr>
    </w:p>
    <w:p>
      <w:pPr>
        <w:pStyle w:val="Heading2"/>
      </w:pPr>
      <w:r>
        <w:t>Purchases</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Vendors</w:t>
            </w:r>
          </w:p>
        </w:tc>
        <w:tc>
          <w:tcPr>
            <w:tcW w:type="dxa" w:w="6768"/>
          </w:tcPr>
          <w:p>
            <w:pPr>
              <w:spacing w:after="40"/>
            </w:pPr>
            <w:r/>
            <w:r>
              <w:rPr>
                <w:sz w:val="17"/>
              </w:rPr>
              <w:t>Party master with MSME registration, TDS section and composition status.</w:t>
            </w:r>
          </w:p>
        </w:tc>
      </w:tr>
      <w:tr>
        <w:tc>
          <w:tcPr>
            <w:tcW w:type="dxa" w:w="2160"/>
            <w:shd w:val="clear" w:fill="F3F6FB"/>
          </w:tcPr>
          <w:p>
            <w:pPr>
              <w:spacing w:after="40"/>
            </w:pPr>
            <w:r/>
            <w:r>
              <w:rPr>
                <w:b/>
                <w:sz w:val="17"/>
              </w:rPr>
              <w:t>Purchase Orders</w:t>
            </w:r>
          </w:p>
        </w:tc>
        <w:tc>
          <w:tcPr>
            <w:tcW w:type="dxa" w:w="6768"/>
            <w:shd w:val="clear" w:fill="F3F6FB"/>
          </w:tcPr>
          <w:p>
            <w:pPr>
              <w:spacing w:after="40"/>
            </w:pPr>
            <w:r/>
            <w:r>
              <w:rPr>
                <w:sz w:val="17"/>
              </w:rPr>
              <w:t>Orders placed, tracked against bills received.</w:t>
            </w:r>
          </w:p>
        </w:tc>
      </w:tr>
      <w:tr>
        <w:tc>
          <w:tcPr>
            <w:tcW w:type="dxa" w:w="2160"/>
          </w:tcPr>
          <w:p>
            <w:pPr>
              <w:spacing w:after="40"/>
            </w:pPr>
            <w:r/>
            <w:r>
              <w:rPr>
                <w:b/>
                <w:sz w:val="17"/>
              </w:rPr>
              <w:t>Bills</w:t>
            </w:r>
          </w:p>
        </w:tc>
        <w:tc>
          <w:tcPr>
            <w:tcW w:type="dxa" w:w="6768"/>
          </w:tcPr>
          <w:p>
            <w:pPr>
              <w:spacing w:after="40"/>
            </w:pPr>
            <w:r/>
            <w:r>
              <w:rPr>
                <w:sz w:val="17"/>
              </w:rPr>
              <w:t>Supplier invoices with input credit eligibility per line, reverse charge, and TDS computed against the annual threshold for that vendor.</w:t>
            </w:r>
          </w:p>
        </w:tc>
      </w:tr>
      <w:tr>
        <w:tc>
          <w:tcPr>
            <w:tcW w:type="dxa" w:w="2160"/>
            <w:shd w:val="clear" w:fill="F3F6FB"/>
          </w:tcPr>
          <w:p>
            <w:pPr>
              <w:spacing w:after="40"/>
            </w:pPr>
            <w:r/>
            <w:r>
              <w:rPr>
                <w:b/>
                <w:sz w:val="17"/>
              </w:rPr>
              <w:t>Expenses</w:t>
            </w:r>
          </w:p>
        </w:tc>
        <w:tc>
          <w:tcPr>
            <w:tcW w:type="dxa" w:w="6768"/>
            <w:shd w:val="clear" w:fill="F3F6FB"/>
          </w:tcPr>
          <w:p>
            <w:pPr>
              <w:spacing w:after="40"/>
            </w:pPr>
            <w:r/>
            <w:r>
              <w:rPr>
                <w:sz w:val="17"/>
              </w:rPr>
              <w:t>Direct costs with no supplier bill, optionally re-billable to a client.</w:t>
            </w:r>
          </w:p>
        </w:tc>
      </w:tr>
      <w:tr>
        <w:tc>
          <w:tcPr>
            <w:tcW w:type="dxa" w:w="2160"/>
          </w:tcPr>
          <w:p>
            <w:pPr>
              <w:spacing w:after="40"/>
            </w:pPr>
            <w:r/>
            <w:r>
              <w:rPr>
                <w:b/>
                <w:sz w:val="17"/>
              </w:rPr>
              <w:t>Payments Made</w:t>
            </w:r>
          </w:p>
        </w:tc>
        <w:tc>
          <w:tcPr>
            <w:tcW w:type="dxa" w:w="6768"/>
          </w:tcPr>
          <w:p>
            <w:pPr>
              <w:spacing w:after="40"/>
            </w:pPr>
            <w:r/>
            <w:r>
              <w:rPr>
                <w:sz w:val="17"/>
              </w:rPr>
              <w:t>Payment runs with allocation, and TDS withheld at source.</w:t>
            </w:r>
          </w:p>
        </w:tc>
      </w:tr>
      <w:tr>
        <w:tc>
          <w:tcPr>
            <w:tcW w:type="dxa" w:w="2160"/>
            <w:shd w:val="clear" w:fill="F3F6FB"/>
          </w:tcPr>
          <w:p>
            <w:pPr>
              <w:spacing w:after="40"/>
            </w:pPr>
            <w:r/>
            <w:r>
              <w:rPr>
                <w:b/>
                <w:sz w:val="17"/>
              </w:rPr>
              <w:t>Vendor Credits</w:t>
            </w:r>
          </w:p>
        </w:tc>
        <w:tc>
          <w:tcPr>
            <w:tcW w:type="dxa" w:w="6768"/>
            <w:shd w:val="clear" w:fill="F3F6FB"/>
          </w:tcPr>
          <w:p>
            <w:pPr>
              <w:spacing w:after="40"/>
            </w:pPr>
            <w:r/>
            <w:r>
              <w:rPr>
                <w:sz w:val="17"/>
              </w:rPr>
              <w:t>Supplier credit notes, with the input credit given back.</w:t>
            </w:r>
          </w:p>
        </w:tc>
      </w:tr>
      <w:tr>
        <w:tc>
          <w:tcPr>
            <w:tcW w:type="dxa" w:w="2160"/>
          </w:tcPr>
          <w:p>
            <w:pPr>
              <w:spacing w:after="40"/>
            </w:pPr>
            <w:r/>
            <w:r>
              <w:rPr>
                <w:b/>
                <w:sz w:val="17"/>
              </w:rPr>
              <w:t>MSME 45-Day Tracker</w:t>
            </w:r>
          </w:p>
        </w:tc>
        <w:tc>
          <w:tcPr>
            <w:tcW w:type="dxa" w:w="6768"/>
          </w:tcPr>
          <w:p>
            <w:pPr>
              <w:spacing w:after="40"/>
            </w:pPr>
            <w:r/>
            <w:r>
              <w:rPr>
                <w:sz w:val="17"/>
              </w:rPr>
              <w:t>Unpaid micro and small supplier bills with a countdown to the Section 43B(h) deadline.</w:t>
            </w:r>
          </w:p>
        </w:tc>
      </w:tr>
    </w:tbl>
    <w:p>
      <w:pPr>
        <w:spacing w:after="80"/>
      </w:pPr>
    </w:p>
    <w:p>
      <w:pPr>
        <w:pStyle w:val="Heading2"/>
      </w:pPr>
      <w:r>
        <w:t>Banking</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Accounts</w:t>
            </w:r>
          </w:p>
        </w:tc>
        <w:tc>
          <w:tcPr>
            <w:tcW w:type="dxa" w:w="6768"/>
          </w:tcPr>
          <w:p>
            <w:pPr>
              <w:spacing w:after="40"/>
            </w:pPr>
            <w:r/>
            <w:r>
              <w:rPr>
                <w:sz w:val="17"/>
              </w:rPr>
              <w:t>Bank, cash, card, wallet and clearing accounts, each tied to a ledger account so a statement can be compared with the books.</w:t>
            </w:r>
          </w:p>
        </w:tc>
      </w:tr>
      <w:tr>
        <w:tc>
          <w:tcPr>
            <w:tcW w:type="dxa" w:w="2160"/>
            <w:shd w:val="clear" w:fill="F3F6FB"/>
          </w:tcPr>
          <w:p>
            <w:pPr>
              <w:spacing w:after="40"/>
            </w:pPr>
            <w:r/>
            <w:r>
              <w:rPr>
                <w:b/>
                <w:sz w:val="17"/>
              </w:rPr>
              <w:t>Reconcile</w:t>
            </w:r>
          </w:p>
        </w:tc>
        <w:tc>
          <w:tcPr>
            <w:tcW w:type="dxa" w:w="6768"/>
            <w:shd w:val="clear" w:fill="F3F6FB"/>
          </w:tcPr>
          <w:p>
            <w:pPr>
              <w:spacing w:after="40"/>
            </w:pPr>
            <w:r/>
            <w:r>
              <w:rPr>
                <w:sz w:val="17"/>
              </w:rPr>
              <w:t>Two-pane workspace: statement lines against the books, with suggested matches, split and create-inline, and a running difference that has to reach zero.</w:t>
            </w:r>
          </w:p>
        </w:tc>
      </w:tr>
      <w:tr>
        <w:tc>
          <w:tcPr>
            <w:tcW w:type="dxa" w:w="2160"/>
          </w:tcPr>
          <w:p>
            <w:pPr>
              <w:spacing w:after="40"/>
            </w:pPr>
            <w:r/>
            <w:r>
              <w:rPr>
                <w:b/>
                <w:sz w:val="17"/>
              </w:rPr>
              <w:t>Imports</w:t>
            </w:r>
          </w:p>
        </w:tc>
        <w:tc>
          <w:tcPr>
            <w:tcW w:type="dxa" w:w="6768"/>
          </w:tcPr>
          <w:p>
            <w:pPr>
              <w:spacing w:after="40"/>
            </w:pPr>
            <w:r/>
            <w:r>
              <w:rPr>
                <w:sz w:val="17"/>
              </w:rPr>
              <w:t>Statement import with duplicate detection across re-imports.</w:t>
            </w:r>
          </w:p>
        </w:tc>
      </w:tr>
      <w:tr>
        <w:tc>
          <w:tcPr>
            <w:tcW w:type="dxa" w:w="2160"/>
            <w:shd w:val="clear" w:fill="F3F6FB"/>
          </w:tcPr>
          <w:p>
            <w:pPr>
              <w:spacing w:after="40"/>
            </w:pPr>
            <w:r/>
            <w:r>
              <w:rPr>
                <w:b/>
                <w:sz w:val="17"/>
              </w:rPr>
              <w:t>Rules</w:t>
            </w:r>
          </w:p>
        </w:tc>
        <w:tc>
          <w:tcPr>
            <w:tcW w:type="dxa" w:w="6768"/>
            <w:shd w:val="clear" w:fill="F3F6FB"/>
          </w:tcPr>
          <w:p>
            <w:pPr>
              <w:spacing w:after="40"/>
            </w:pPr>
            <w:r/>
            <w:r>
              <w:rPr>
                <w:sz w:val="17"/>
              </w:rPr>
              <w:t>Patterns that categorise the transactions that repeat every month.</w:t>
            </w:r>
          </w:p>
        </w:tc>
      </w:tr>
      <w:tr>
        <w:tc>
          <w:tcPr>
            <w:tcW w:type="dxa" w:w="2160"/>
          </w:tcPr>
          <w:p>
            <w:pPr>
              <w:spacing w:after="40"/>
            </w:pPr>
            <w:r/>
            <w:r>
              <w:rPr>
                <w:b/>
                <w:sz w:val="17"/>
              </w:rPr>
              <w:t>Transfers</w:t>
            </w:r>
          </w:p>
        </w:tc>
        <w:tc>
          <w:tcPr>
            <w:tcW w:type="dxa" w:w="6768"/>
          </w:tcPr>
          <w:p>
            <w:pPr>
              <w:spacing w:after="40"/>
            </w:pPr>
            <w:r/>
            <w:r>
              <w:rPr>
                <w:sz w:val="17"/>
              </w:rPr>
              <w:t>Movements between own accounts, which are not income or expense.</w:t>
            </w:r>
          </w:p>
        </w:tc>
      </w:tr>
      <w:tr>
        <w:tc>
          <w:tcPr>
            <w:tcW w:type="dxa" w:w="2160"/>
            <w:shd w:val="clear" w:fill="F3F6FB"/>
          </w:tcPr>
          <w:p>
            <w:pPr>
              <w:spacing w:after="40"/>
            </w:pPr>
            <w:r/>
            <w:r>
              <w:rPr>
                <w:b/>
                <w:sz w:val="17"/>
              </w:rPr>
              <w:t>Cheques &amp; PDCs</w:t>
            </w:r>
          </w:p>
        </w:tc>
        <w:tc>
          <w:tcPr>
            <w:tcW w:type="dxa" w:w="6768"/>
            <w:shd w:val="clear" w:fill="F3F6FB"/>
          </w:tcPr>
          <w:p>
            <w:pPr>
              <w:spacing w:after="40"/>
            </w:pPr>
            <w:r/>
            <w:r>
              <w:rPr>
                <w:sz w:val="17"/>
              </w:rPr>
              <w:t>Cheques issued and received, with maturity dates. Nothing posts until one clears.</w:t>
            </w:r>
          </w:p>
        </w:tc>
      </w:tr>
    </w:tbl>
    <w:p>
      <w:pPr>
        <w:spacing w:after="80"/>
      </w:pPr>
    </w:p>
    <w:p>
      <w:pPr>
        <w:pStyle w:val="Heading2"/>
      </w:pPr>
      <w:r>
        <w:t>Accountant</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Manual Journals</w:t>
            </w:r>
          </w:p>
        </w:tc>
        <w:tc>
          <w:tcPr>
            <w:tcW w:type="dxa" w:w="6768"/>
          </w:tcPr>
          <w:p>
            <w:pPr>
              <w:spacing w:after="40"/>
            </w:pPr>
            <w:r/>
            <w:r>
              <w:rPr>
                <w:sz w:val="17"/>
              </w:rPr>
              <w:t>Direct entries for what no document explains — depreciation, provisions, corrections.</w:t>
            </w:r>
          </w:p>
        </w:tc>
      </w:tr>
      <w:tr>
        <w:tc>
          <w:tcPr>
            <w:tcW w:type="dxa" w:w="2160"/>
            <w:shd w:val="clear" w:fill="F3F6FB"/>
          </w:tcPr>
          <w:p>
            <w:pPr>
              <w:spacing w:after="40"/>
            </w:pPr>
            <w:r/>
            <w:r>
              <w:rPr>
                <w:b/>
                <w:sz w:val="17"/>
              </w:rPr>
              <w:t>Chart of Accounts</w:t>
            </w:r>
          </w:p>
        </w:tc>
        <w:tc>
          <w:tcPr>
            <w:tcW w:type="dxa" w:w="6768"/>
            <w:shd w:val="clear" w:fill="F3F6FB"/>
          </w:tcPr>
          <w:p>
            <w:pPr>
              <w:spacing w:after="40"/>
            </w:pPr>
            <w:r/>
            <w:r>
              <w:rPr>
                <w:sz w:val="17"/>
              </w:rPr>
              <w:t>The account tree, with system accounts protected.</w:t>
            </w:r>
          </w:p>
        </w:tc>
      </w:tr>
      <w:tr>
        <w:tc>
          <w:tcPr>
            <w:tcW w:type="dxa" w:w="2160"/>
          </w:tcPr>
          <w:p>
            <w:pPr>
              <w:spacing w:after="40"/>
            </w:pPr>
            <w:r/>
            <w:r>
              <w:rPr>
                <w:b/>
                <w:sz w:val="17"/>
              </w:rPr>
              <w:t>Opening Balances</w:t>
            </w:r>
          </w:p>
        </w:tc>
        <w:tc>
          <w:tcPr>
            <w:tcW w:type="dxa" w:w="6768"/>
          </w:tcPr>
          <w:p>
            <w:pPr>
              <w:spacing w:after="40"/>
            </w:pPr>
            <w:r/>
            <w:r>
              <w:rPr>
                <w:sz w:val="17"/>
              </w:rPr>
              <w:t>What was carried forward when the books began.</w:t>
            </w:r>
          </w:p>
        </w:tc>
      </w:tr>
      <w:tr>
        <w:tc>
          <w:tcPr>
            <w:tcW w:type="dxa" w:w="2160"/>
            <w:shd w:val="clear" w:fill="F3F6FB"/>
          </w:tcPr>
          <w:p>
            <w:pPr>
              <w:spacing w:after="40"/>
            </w:pPr>
            <w:r/>
            <w:r>
              <w:rPr>
                <w:b/>
                <w:sz w:val="17"/>
              </w:rPr>
              <w:t>Budgets</w:t>
            </w:r>
          </w:p>
        </w:tc>
        <w:tc>
          <w:tcPr>
            <w:tcW w:type="dxa" w:w="6768"/>
            <w:shd w:val="clear" w:fill="F3F6FB"/>
          </w:tcPr>
          <w:p>
            <w:pPr>
              <w:spacing w:after="40"/>
            </w:pPr>
            <w:r/>
            <w:r>
              <w:rPr>
                <w:sz w:val="17"/>
              </w:rPr>
              <w:t>Targets per account, per branch, per period, against actuals.</w:t>
            </w:r>
          </w:p>
        </w:tc>
      </w:tr>
      <w:tr>
        <w:tc>
          <w:tcPr>
            <w:tcW w:type="dxa" w:w="2160"/>
          </w:tcPr>
          <w:p>
            <w:pPr>
              <w:spacing w:after="40"/>
            </w:pPr>
            <w:r/>
            <w:r>
              <w:rPr>
                <w:b/>
                <w:sz w:val="17"/>
              </w:rPr>
              <w:t>Recurring Journals</w:t>
            </w:r>
          </w:p>
        </w:tc>
        <w:tc>
          <w:tcPr>
            <w:tcW w:type="dxa" w:w="6768"/>
          </w:tcPr>
          <w:p>
            <w:pPr>
              <w:spacing w:after="40"/>
            </w:pPr>
            <w:r/>
            <w:r>
              <w:rPr>
                <w:sz w:val="17"/>
              </w:rPr>
              <w:t>Entries that repeat monthly, such as depreciation.</w:t>
            </w:r>
          </w:p>
        </w:tc>
      </w:tr>
      <w:tr>
        <w:tc>
          <w:tcPr>
            <w:tcW w:type="dxa" w:w="2160"/>
            <w:shd w:val="clear" w:fill="F3F6FB"/>
          </w:tcPr>
          <w:p>
            <w:pPr>
              <w:spacing w:after="40"/>
            </w:pPr>
            <w:r/>
            <w:r>
              <w:rPr>
                <w:b/>
                <w:sz w:val="17"/>
              </w:rPr>
              <w:t>Period Close</w:t>
            </w:r>
          </w:p>
        </w:tc>
        <w:tc>
          <w:tcPr>
            <w:tcW w:type="dxa" w:w="6768"/>
            <w:shd w:val="clear" w:fill="F3F6FB"/>
          </w:tcPr>
          <w:p>
            <w:pPr>
              <w:spacing w:after="40"/>
            </w:pPr>
            <w:r/>
            <w:r>
              <w:rPr>
                <w:sz w:val="17"/>
              </w:rPr>
              <w:t>The checklist before a period is declared final.</w:t>
            </w:r>
          </w:p>
        </w:tc>
      </w:tr>
      <w:tr>
        <w:tc>
          <w:tcPr>
            <w:tcW w:type="dxa" w:w="2160"/>
          </w:tcPr>
          <w:p>
            <w:pPr>
              <w:spacing w:after="40"/>
            </w:pPr>
            <w:r/>
            <w:r>
              <w:rPr>
                <w:b/>
                <w:sz w:val="17"/>
              </w:rPr>
              <w:t>Transaction Locking</w:t>
            </w:r>
          </w:p>
        </w:tc>
        <w:tc>
          <w:tcPr>
            <w:tcW w:type="dxa" w:w="6768"/>
          </w:tcPr>
          <w:p>
            <w:pPr>
              <w:spacing w:after="40"/>
            </w:pPr>
            <w:r/>
            <w:r>
              <w:rPr>
                <w:sz w:val="17"/>
              </w:rPr>
              <w:t>Per-module lock dates. Sales are usually finalised before purchases, so one blunt lock for the whole book makes everyone wait for the slowest module.</w:t>
            </w:r>
          </w:p>
        </w:tc>
      </w:tr>
      <w:tr>
        <w:tc>
          <w:tcPr>
            <w:tcW w:type="dxa" w:w="2160"/>
            <w:shd w:val="clear" w:fill="F3F6FB"/>
          </w:tcPr>
          <w:p>
            <w:pPr>
              <w:spacing w:after="40"/>
            </w:pPr>
            <w:r/>
            <w:r>
              <w:rPr>
                <w:b/>
                <w:sz w:val="17"/>
              </w:rPr>
              <w:t>Audit Trail</w:t>
            </w:r>
          </w:p>
        </w:tc>
        <w:tc>
          <w:tcPr>
            <w:tcW w:type="dxa" w:w="6768"/>
            <w:shd w:val="clear" w:fill="F3F6FB"/>
          </w:tcPr>
          <w:p>
            <w:pPr>
              <w:spacing w:after="40"/>
            </w:pPr>
            <w:r/>
            <w:r>
              <w:rPr>
                <w:sz w:val="17"/>
              </w:rPr>
              <w:t>Every create, change, approval and void, with actor, time and address.</w:t>
            </w:r>
          </w:p>
        </w:tc>
      </w:tr>
    </w:tbl>
    <w:p>
      <w:pPr>
        <w:spacing w:after="80"/>
      </w:pPr>
    </w:p>
    <w:p>
      <w:pPr>
        <w:pStyle w:val="Heading2"/>
      </w:pPr>
      <w:r>
        <w:t>GST &amp; Taxes</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E-Invoices</w:t>
            </w:r>
          </w:p>
        </w:tc>
        <w:tc>
          <w:tcPr>
            <w:tcW w:type="dxa" w:w="6768"/>
          </w:tcPr>
          <w:p>
            <w:pPr>
              <w:spacing w:after="40"/>
            </w:pPr>
            <w:r/>
            <w:r>
              <w:rPr>
                <w:sz w:val="17"/>
              </w:rPr>
              <w:t>The IRN queue, ordered by urgency, with the 30-day reporting window counted down per invoice.</w:t>
            </w:r>
          </w:p>
        </w:tc>
      </w:tr>
      <w:tr>
        <w:tc>
          <w:tcPr>
            <w:tcW w:type="dxa" w:w="2160"/>
            <w:shd w:val="clear" w:fill="F3F6FB"/>
          </w:tcPr>
          <w:p>
            <w:pPr>
              <w:spacing w:after="40"/>
            </w:pPr>
            <w:r/>
            <w:r>
              <w:rPr>
                <w:b/>
                <w:sz w:val="17"/>
              </w:rPr>
              <w:t>E-Way Bills</w:t>
            </w:r>
          </w:p>
        </w:tc>
        <w:tc>
          <w:tcPr>
            <w:tcW w:type="dxa" w:w="6768"/>
            <w:shd w:val="clear" w:fill="F3F6FB"/>
          </w:tcPr>
          <w:p>
            <w:pPr>
              <w:spacing w:after="40"/>
            </w:pPr>
            <w:r/>
            <w:r>
              <w:rPr>
                <w:sz w:val="17"/>
              </w:rPr>
              <w:t>Consignments above ₹50,000, with validity of one day per 200 km.</w:t>
            </w:r>
          </w:p>
        </w:tc>
      </w:tr>
      <w:tr>
        <w:tc>
          <w:tcPr>
            <w:tcW w:type="dxa" w:w="2160"/>
          </w:tcPr>
          <w:p>
            <w:pPr>
              <w:spacing w:after="40"/>
            </w:pPr>
            <w:r/>
            <w:r>
              <w:rPr>
                <w:b/>
                <w:sz w:val="17"/>
              </w:rPr>
              <w:t>GSTR-1</w:t>
            </w:r>
          </w:p>
        </w:tc>
        <w:tc>
          <w:tcPr>
            <w:tcW w:type="dxa" w:w="6768"/>
          </w:tcPr>
          <w:p>
            <w:pPr>
              <w:spacing w:after="40"/>
            </w:pPr>
            <w:r/>
            <w:r>
              <w:rPr>
                <w:sz w:val="17"/>
              </w:rPr>
              <w:t>Outward supplies section by section — B2B, B2C large and small, exports, credit notes, HSN summary — with the portal JSON.</w:t>
            </w:r>
          </w:p>
        </w:tc>
      </w:tr>
      <w:tr>
        <w:tc>
          <w:tcPr>
            <w:tcW w:type="dxa" w:w="2160"/>
            <w:shd w:val="clear" w:fill="F3F6FB"/>
          </w:tcPr>
          <w:p>
            <w:pPr>
              <w:spacing w:after="40"/>
            </w:pPr>
            <w:r/>
            <w:r>
              <w:rPr>
                <w:b/>
                <w:sz w:val="17"/>
              </w:rPr>
              <w:t>GSTR-3B</w:t>
            </w:r>
          </w:p>
        </w:tc>
        <w:tc>
          <w:tcPr>
            <w:tcW w:type="dxa" w:w="6768"/>
            <w:shd w:val="clear" w:fill="F3F6FB"/>
          </w:tcPr>
          <w:p>
            <w:pPr>
              <w:spacing w:after="40"/>
            </w:pPr>
            <w:r/>
            <w:r>
              <w:rPr>
                <w:sz w:val="17"/>
              </w:rPr>
              <w:t>The summary return, with the input credit set-off applied in the order Section 49A prescribes: integrated credit first, and against integrated tax before the others.</w:t>
            </w:r>
          </w:p>
        </w:tc>
      </w:tr>
      <w:tr>
        <w:tc>
          <w:tcPr>
            <w:tcW w:type="dxa" w:w="2160"/>
          </w:tcPr>
          <w:p>
            <w:pPr>
              <w:spacing w:after="40"/>
            </w:pPr>
            <w:r/>
            <w:r>
              <w:rPr>
                <w:b/>
                <w:sz w:val="17"/>
              </w:rPr>
              <w:t>ITC Reconciliation</w:t>
            </w:r>
          </w:p>
        </w:tc>
        <w:tc>
          <w:tcPr>
            <w:tcW w:type="dxa" w:w="6768"/>
          </w:tcPr>
          <w:p>
            <w:pPr>
              <w:spacing w:after="40"/>
            </w:pPr>
            <w:r/>
            <w:r>
              <w:rPr>
                <w:sz w:val="17"/>
              </w:rPr>
              <w:t>Purchase register against GSTR-2B, in four buckets: matched, mismatched, missing in 2B, and missing in the books.</w:t>
            </w:r>
          </w:p>
        </w:tc>
      </w:tr>
      <w:tr>
        <w:tc>
          <w:tcPr>
            <w:tcW w:type="dxa" w:w="2160"/>
            <w:shd w:val="clear" w:fill="F3F6FB"/>
          </w:tcPr>
          <w:p>
            <w:pPr>
              <w:spacing w:after="40"/>
            </w:pPr>
            <w:r/>
            <w:r>
              <w:rPr>
                <w:b/>
                <w:sz w:val="17"/>
              </w:rPr>
              <w:t>TDS &amp; TCS</w:t>
            </w:r>
          </w:p>
        </w:tc>
        <w:tc>
          <w:tcPr>
            <w:tcW w:type="dxa" w:w="6768"/>
            <w:shd w:val="clear" w:fill="F3F6FB"/>
          </w:tcPr>
          <w:p>
            <w:pPr>
              <w:spacing w:after="40"/>
            </w:pPr>
            <w:r/>
            <w:r>
              <w:rPr>
                <w:sz w:val="17"/>
              </w:rPr>
              <w:t>Deductions by section, measured against annual thresholds.</w:t>
            </w:r>
          </w:p>
        </w:tc>
      </w:tr>
    </w:tbl>
    <w:p>
      <w:pPr>
        <w:spacing w:after="80"/>
      </w:pPr>
    </w:p>
    <w:p>
      <w:pPr>
        <w:pStyle w:val="Heading2"/>
      </w:pPr>
      <w:r>
        <w:t>Inventory</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Stock on Hand</w:t>
            </w:r>
          </w:p>
        </w:tc>
        <w:tc>
          <w:tcPr>
            <w:tcW w:type="dxa" w:w="6768"/>
          </w:tcPr>
          <w:p>
            <w:pPr>
              <w:spacing w:after="40"/>
            </w:pPr>
            <w:r/>
            <w:r>
              <w:rPr>
                <w:sz w:val="17"/>
              </w:rPr>
              <w:t>Derived from documents; never stored.</w:t>
            </w:r>
          </w:p>
        </w:tc>
      </w:tr>
      <w:tr>
        <w:tc>
          <w:tcPr>
            <w:tcW w:type="dxa" w:w="2160"/>
            <w:shd w:val="clear" w:fill="F3F6FB"/>
          </w:tcPr>
          <w:p>
            <w:pPr>
              <w:spacing w:after="40"/>
            </w:pPr>
            <w:r/>
            <w:r>
              <w:rPr>
                <w:b/>
                <w:sz w:val="17"/>
              </w:rPr>
              <w:t>Adjustments</w:t>
            </w:r>
          </w:p>
        </w:tc>
        <w:tc>
          <w:tcPr>
            <w:tcW w:type="dxa" w:w="6768"/>
            <w:shd w:val="clear" w:fill="F3F6FB"/>
          </w:tcPr>
          <w:p>
            <w:pPr>
              <w:spacing w:after="40"/>
            </w:pPr>
            <w:r/>
            <w:r>
              <w:rPr>
                <w:sz w:val="17"/>
              </w:rPr>
              <w:t>Damage, theft, stocktake corrections — the movements no document explains.</w:t>
            </w:r>
          </w:p>
        </w:tc>
      </w:tr>
      <w:tr>
        <w:tc>
          <w:tcPr>
            <w:tcW w:type="dxa" w:w="2160"/>
          </w:tcPr>
          <w:p>
            <w:pPr>
              <w:spacing w:after="40"/>
            </w:pPr>
            <w:r/>
            <w:r>
              <w:rPr>
                <w:b/>
                <w:sz w:val="17"/>
              </w:rPr>
              <w:t>Warehouses</w:t>
            </w:r>
          </w:p>
        </w:tc>
        <w:tc>
          <w:tcPr>
            <w:tcW w:type="dxa" w:w="6768"/>
          </w:tcPr>
          <w:p>
            <w:pPr>
              <w:spacing w:after="40"/>
            </w:pPr>
            <w:r/>
            <w:r>
              <w:rPr>
                <w:sz w:val="17"/>
              </w:rPr>
              <w:t>Locations, optionally tied to a branch.</w:t>
            </w:r>
          </w:p>
        </w:tc>
      </w:tr>
    </w:tbl>
    <w:p>
      <w:pPr>
        <w:spacing w:after="80"/>
      </w:pPr>
    </w:p>
    <w:p>
      <w:pPr>
        <w:pStyle w:val="Heading2"/>
      </w:pPr>
      <w:r>
        <w:t>Reports</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32 reports</w:t>
            </w:r>
          </w:p>
        </w:tc>
        <w:tc>
          <w:tcPr>
            <w:tcW w:type="dxa" w:w="6768"/>
          </w:tcPr>
          <w:p>
            <w:pPr>
              <w:spacing w:after="40"/>
            </w:pPr>
            <w:r/>
            <w:r>
              <w:rPr>
                <w:sz w:val="17"/>
              </w:rPr>
              <w:t>Trial balance, profit and loss, balance sheet, cash flow, general ledger, day book, journal report, AR and AP ageing with detail, sales and purchase registers, party balances, business ratios, time-to-get-paid, and the document-level registers. Every figure is computed from the journal on request and every report is exportable.</w:t>
            </w:r>
          </w:p>
        </w:tc>
      </w:tr>
    </w:tbl>
    <w:p>
      <w:pPr>
        <w:spacing w:after="80"/>
      </w:pPr>
    </w:p>
    <w:p>
      <w:pPr>
        <w:pStyle w:val="Heading2"/>
      </w:pPr>
      <w:r>
        <w:t>Settings</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Organisation</w:t>
            </w:r>
          </w:p>
        </w:tc>
        <w:tc>
          <w:tcPr>
            <w:tcW w:type="dxa" w:w="6768"/>
          </w:tcPr>
          <w:p>
            <w:pPr>
              <w:spacing w:after="40"/>
            </w:pPr>
            <w:r/>
            <w:r>
              <w:rPr>
                <w:sz w:val="17"/>
              </w:rPr>
              <w:t>Name, PAN, registration type, financial year.</w:t>
            </w:r>
          </w:p>
        </w:tc>
      </w:tr>
      <w:tr>
        <w:tc>
          <w:tcPr>
            <w:tcW w:type="dxa" w:w="2160"/>
            <w:shd w:val="clear" w:fill="F3F6FB"/>
          </w:tcPr>
          <w:p>
            <w:pPr>
              <w:spacing w:after="40"/>
            </w:pPr>
            <w:r/>
            <w:r>
              <w:rPr>
                <w:b/>
                <w:sz w:val="17"/>
              </w:rPr>
              <w:t>HSN &amp; SAC Codes</w:t>
            </w:r>
          </w:p>
        </w:tc>
        <w:tc>
          <w:tcPr>
            <w:tcW w:type="dxa" w:w="6768"/>
            <w:shd w:val="clear" w:fill="F3F6FB"/>
          </w:tcPr>
          <w:p>
            <w:pPr>
              <w:spacing w:after="40"/>
            </w:pPr>
            <w:r/>
            <w:r>
              <w:rPr>
                <w:sz w:val="17"/>
              </w:rPr>
              <w:t>The approved list. Invoice lines may pick from here and nowhere else, because GSTR-1 Table 12 is validated against the official master and a code that does not exist bounces the whole return rather than one line.</w:t>
            </w:r>
          </w:p>
        </w:tc>
      </w:tr>
      <w:tr>
        <w:tc>
          <w:tcPr>
            <w:tcW w:type="dxa" w:w="2160"/>
          </w:tcPr>
          <w:p>
            <w:pPr>
              <w:spacing w:after="40"/>
            </w:pPr>
            <w:r/>
            <w:r>
              <w:rPr>
                <w:b/>
                <w:sz w:val="17"/>
              </w:rPr>
              <w:t>Numbering, custom fields, automation, integrations</w:t>
            </w:r>
          </w:p>
        </w:tc>
        <w:tc>
          <w:tcPr>
            <w:tcW w:type="dxa" w:w="6768"/>
          </w:tcPr>
          <w:p>
            <w:pPr>
              <w:spacing w:after="40"/>
            </w:pPr>
            <w:r/>
            <w:r>
              <w:rPr>
                <w:sz w:val="17"/>
              </w:rPr>
              <w:t>Configuration and extension points.</w:t>
            </w:r>
          </w:p>
        </w:tc>
      </w:tr>
    </w:tbl>
    <w:p>
      <w:pPr>
        <w:spacing w:after="80"/>
      </w:pPr>
    </w:p>
    <w:p>
      <w:pPr>
        <w:pStyle w:val="Heading2"/>
      </w:pPr>
      <w:r>
        <w:t>Other</w:t>
      </w:r>
    </w:p>
    <w:tbl>
      <w:tblPr>
        <w:tblStyle w:val="TableGrid"/>
        <w:tblW w:type="auto" w:w="0"/>
        <w:jc w:val="center"/>
        <w:tblLook w:firstColumn="1" w:firstRow="1" w:lastColumn="0" w:lastRow="0" w:noHBand="0" w:noVBand="1" w:val="04A0"/>
      </w:tblPr>
      <w:tblGrid>
        <w:gridCol w:w="4680"/>
        <w:gridCol w:w="4680"/>
      </w:tblGrid>
      <w:tr>
        <w:tc>
          <w:tcPr>
            <w:tcW w:type="dxa" w:w="2160"/>
            <w:shd w:val="clear" w:fill="002F6E"/>
          </w:tcPr>
          <w:p>
            <w:pPr>
              <w:spacing w:after="40"/>
            </w:pPr>
            <w:r/>
            <w:r>
              <w:rPr>
                <w:b/>
                <w:color w:val="FFFFFF"/>
                <w:sz w:val="17"/>
              </w:rPr>
              <w:t>Screen</w:t>
            </w:r>
          </w:p>
        </w:tc>
        <w:tc>
          <w:tcPr>
            <w:tcW w:type="dxa" w:w="6768"/>
            <w:shd w:val="clear" w:fill="002F6E"/>
          </w:tcPr>
          <w:p>
            <w:pPr>
              <w:spacing w:after="40"/>
            </w:pPr>
            <w:r/>
            <w:r>
              <w:rPr>
                <w:b/>
                <w:color w:val="FFFFFF"/>
                <w:sz w:val="17"/>
              </w:rPr>
              <w:t>What it does</w:t>
            </w:r>
          </w:p>
        </w:tc>
      </w:tr>
      <w:tr>
        <w:tc>
          <w:tcPr>
            <w:tcW w:type="dxa" w:w="2160"/>
          </w:tcPr>
          <w:p>
            <w:pPr>
              <w:spacing w:after="40"/>
            </w:pPr>
            <w:r/>
            <w:r>
              <w:rPr>
                <w:b/>
                <w:sz w:val="17"/>
              </w:rPr>
              <w:t>Dashboard</w:t>
            </w:r>
          </w:p>
        </w:tc>
        <w:tc>
          <w:tcPr>
            <w:tcW w:type="dxa" w:w="6768"/>
          </w:tcPr>
          <w:p>
            <w:pPr>
              <w:spacing w:after="40"/>
            </w:pPr>
            <w:r/>
            <w:r>
              <w:rPr>
                <w:sz w:val="17"/>
              </w:rPr>
              <w:t>Cash, receivables, payables, profit, sales performance, and the two deadlines that cost money — invoices without an IRN, and MSME bills nearing day 45.</w:t>
            </w:r>
          </w:p>
        </w:tc>
      </w:tr>
      <w:tr>
        <w:tc>
          <w:tcPr>
            <w:tcW w:type="dxa" w:w="2160"/>
            <w:shd w:val="clear" w:fill="F3F6FB"/>
          </w:tcPr>
          <w:p>
            <w:pPr>
              <w:spacing w:after="40"/>
            </w:pPr>
            <w:r/>
            <w:r>
              <w:rPr>
                <w:b/>
                <w:sz w:val="17"/>
              </w:rPr>
              <w:t>AI Assistant</w:t>
            </w:r>
          </w:p>
        </w:tc>
        <w:tc>
          <w:tcPr>
            <w:tcW w:type="dxa" w:w="6768"/>
            <w:shd w:val="clear" w:fill="F3F6FB"/>
          </w:tcPr>
          <w:p>
            <w:pPr>
              <w:spacing w:after="40"/>
            </w:pPr>
            <w:r/>
            <w:r>
              <w:rPr>
                <w:sz w:val="17"/>
              </w:rPr>
              <w:t>Questions answered against the ledger, and checks run over the books.</w:t>
            </w:r>
          </w:p>
        </w:tc>
      </w:tr>
      <w:tr>
        <w:tc>
          <w:tcPr>
            <w:tcW w:type="dxa" w:w="2160"/>
          </w:tcPr>
          <w:p>
            <w:pPr>
              <w:spacing w:after="40"/>
            </w:pPr>
            <w:r/>
            <w:r>
              <w:rPr>
                <w:b/>
                <w:sz w:val="17"/>
              </w:rPr>
              <w:t>Customer Portal</w:t>
            </w:r>
          </w:p>
        </w:tc>
        <w:tc>
          <w:tcPr>
            <w:tcW w:type="dxa" w:w="6768"/>
          </w:tcPr>
          <w:p>
            <w:pPr>
              <w:spacing w:after="40"/>
            </w:pPr>
            <w:r/>
            <w:r>
              <w:rPr>
                <w:sz w:val="17"/>
              </w:rPr>
              <w:t>The customer-facing view of their own invoices and balance. Currently a signed-in preview — see section 13.</w:t>
            </w:r>
          </w:p>
        </w:tc>
      </w:tr>
    </w:tbl>
    <w:p>
      <w:pPr>
        <w:spacing w:after="80"/>
      </w:pPr>
    </w:p>
    <w:p>
      <w:r>
        <w:br w:type="page"/>
      </w:r>
    </w:p>
    <w:p>
      <w:pPr>
        <w:pStyle w:val="Heading1"/>
      </w:pPr>
      <w:r>
        <w:t>7. Trading internationally</w:t>
      </w:r>
    </w:p>
    <w:p>
      <w:r>
        <w:rPr>
          <w:b w:val="0"/>
          <w:i w:val="0"/>
        </w:rPr>
        <w:t>A business that sells beyond its own borders is taxed three different ways on the same goods: one rate at home, another into a neighbouring jurisdiction under the same tax system, and nothing at all on a genuine export. Getting that wrong is not a rounding error — it is either tax charged that should not have been, or tax not charged that will be demanded later with interest.</w:t>
      </w:r>
    </w:p>
    <w:p>
      <w:pPr>
        <w:pStyle w:val="Heading2"/>
      </w:pPr>
      <w:r>
        <w:t>7.1  What is working today</w:t>
      </w:r>
    </w:p>
    <w:p>
      <w:r>
        <w:rPr>
          <w:b w:val="0"/>
          <w:i w:val="0"/>
        </w:rPr>
        <w:t>Cross-border sales are handled end to end. The supply type is resolved from where the seller is registered, where the goods or services are supplied, and what kind of party the customer is — and everything downstream follows from that one answer.</w:t>
      </w:r>
    </w:p>
    <w:tbl>
      <w:tblPr>
        <w:tblStyle w:val="TableGrid"/>
        <w:tblW w:type="auto" w:w="0"/>
        <w:jc w:val="center"/>
        <w:tblLook w:firstColumn="1" w:firstRow="1" w:lastColumn="0" w:lastRow="0" w:noHBand="0" w:noVBand="1" w:val="04A0"/>
      </w:tblPr>
      <w:tblGrid>
        <w:gridCol w:w="3120"/>
        <w:gridCol w:w="3120"/>
        <w:gridCol w:w="3120"/>
      </w:tblGrid>
      <w:tr>
        <w:tc>
          <w:tcPr>
            <w:tcW w:type="dxa" w:w="3312"/>
            <w:shd w:val="clear" w:fill="002F6E"/>
          </w:tcPr>
          <w:p>
            <w:pPr>
              <w:spacing w:after="40"/>
            </w:pPr>
            <w:r/>
            <w:r>
              <w:rPr>
                <w:b/>
                <w:color w:val="FFFFFF"/>
                <w:sz w:val="17"/>
              </w:rPr>
              <w:t>Situation</w:t>
            </w:r>
          </w:p>
        </w:tc>
        <w:tc>
          <w:tcPr>
            <w:tcW w:type="dxa" w:w="2160"/>
            <w:shd w:val="clear" w:fill="002F6E"/>
          </w:tcPr>
          <w:p>
            <w:pPr>
              <w:spacing w:after="40"/>
            </w:pPr>
            <w:r/>
            <w:r>
              <w:rPr>
                <w:b/>
                <w:color w:val="FFFFFF"/>
                <w:sz w:val="17"/>
              </w:rPr>
              <w:t>Treatment</w:t>
            </w:r>
          </w:p>
        </w:tc>
        <w:tc>
          <w:tcPr>
            <w:tcW w:type="dxa" w:w="3456"/>
            <w:shd w:val="clear" w:fill="002F6E"/>
          </w:tcPr>
          <w:p>
            <w:pPr>
              <w:spacing w:after="40"/>
            </w:pPr>
            <w:r/>
            <w:r>
              <w:rPr>
                <w:b/>
                <w:color w:val="FFFFFF"/>
                <w:sz w:val="17"/>
              </w:rPr>
              <w:t>Effect on the books</w:t>
            </w:r>
          </w:p>
        </w:tc>
      </w:tr>
      <w:tr>
        <w:tc>
          <w:tcPr>
            <w:tcW w:type="dxa" w:w="3312"/>
          </w:tcPr>
          <w:p>
            <w:pPr>
              <w:spacing w:after="40"/>
            </w:pPr>
            <w:r/>
            <w:r>
              <w:rPr>
                <w:b/>
                <w:sz w:val="17"/>
              </w:rPr>
              <w:t>Customer in the same tax jurisdiction as the selling registration</w:t>
            </w:r>
          </w:p>
        </w:tc>
        <w:tc>
          <w:tcPr>
            <w:tcW w:type="dxa" w:w="2160"/>
          </w:tcPr>
          <w:p>
            <w:pPr>
              <w:spacing w:after="40"/>
            </w:pPr>
            <w:r/>
            <w:r>
              <w:rPr>
                <w:sz w:val="17"/>
              </w:rPr>
              <w:t>Domestic supply</w:t>
            </w:r>
          </w:p>
        </w:tc>
        <w:tc>
          <w:tcPr>
            <w:tcW w:type="dxa" w:w="3456"/>
          </w:tcPr>
          <w:p>
            <w:pPr>
              <w:spacing w:after="40"/>
            </w:pPr>
            <w:r/>
            <w:r>
              <w:rPr>
                <w:sz w:val="17"/>
              </w:rPr>
              <w:t>Tax split between the two domestic components</w:t>
            </w:r>
          </w:p>
        </w:tc>
      </w:tr>
      <w:tr>
        <w:tc>
          <w:tcPr>
            <w:tcW w:type="dxa" w:w="3312"/>
            <w:shd w:val="clear" w:fill="F3F6FB"/>
          </w:tcPr>
          <w:p>
            <w:pPr>
              <w:spacing w:after="40"/>
            </w:pPr>
            <w:r/>
            <w:r>
              <w:rPr>
                <w:b/>
                <w:sz w:val="17"/>
              </w:rPr>
              <w:t>Customer in a different jurisdiction under the same tax system</w:t>
            </w:r>
          </w:p>
        </w:tc>
        <w:tc>
          <w:tcPr>
            <w:tcW w:type="dxa" w:w="2160"/>
            <w:shd w:val="clear" w:fill="F3F6FB"/>
          </w:tcPr>
          <w:p>
            <w:pPr>
              <w:spacing w:after="40"/>
            </w:pPr>
            <w:r/>
            <w:r>
              <w:rPr>
                <w:sz w:val="17"/>
              </w:rPr>
              <w:t>Interstate supply</w:t>
            </w:r>
          </w:p>
        </w:tc>
        <w:tc>
          <w:tcPr>
            <w:tcW w:type="dxa" w:w="3456"/>
            <w:shd w:val="clear" w:fill="F3F6FB"/>
          </w:tcPr>
          <w:p>
            <w:pPr>
              <w:spacing w:after="40"/>
            </w:pPr>
            <w:r/>
            <w:r>
              <w:rPr>
                <w:sz w:val="17"/>
              </w:rPr>
              <w:t>A single combined tax at the full rate</w:t>
            </w:r>
          </w:p>
        </w:tc>
      </w:tr>
      <w:tr>
        <w:tc>
          <w:tcPr>
            <w:tcW w:type="dxa" w:w="3312"/>
          </w:tcPr>
          <w:p>
            <w:pPr>
              <w:spacing w:after="40"/>
            </w:pPr>
            <w:r/>
            <w:r>
              <w:rPr>
                <w:b/>
                <w:sz w:val="17"/>
              </w:rPr>
              <w:t>Overseas customer, exemption undertaking held</w:t>
            </w:r>
          </w:p>
        </w:tc>
        <w:tc>
          <w:tcPr>
            <w:tcW w:type="dxa" w:w="2160"/>
          </w:tcPr>
          <w:p>
            <w:pPr>
              <w:spacing w:after="40"/>
            </w:pPr>
            <w:r/>
            <w:r>
              <w:rPr>
                <w:sz w:val="17"/>
              </w:rPr>
              <w:t>Export, zero-rated</w:t>
            </w:r>
          </w:p>
        </w:tc>
        <w:tc>
          <w:tcPr>
            <w:tcW w:type="dxa" w:w="3456"/>
          </w:tcPr>
          <w:p>
            <w:pPr>
              <w:spacing w:after="40"/>
            </w:pPr>
            <w:r/>
            <w:r>
              <w:rPr>
                <w:sz w:val="17"/>
              </w:rPr>
              <w:t>No tax charged; the supply is still reported</w:t>
            </w:r>
          </w:p>
        </w:tc>
      </w:tr>
      <w:tr>
        <w:tc>
          <w:tcPr>
            <w:tcW w:type="dxa" w:w="3312"/>
            <w:shd w:val="clear" w:fill="F3F6FB"/>
          </w:tcPr>
          <w:p>
            <w:pPr>
              <w:spacing w:after="40"/>
            </w:pPr>
            <w:r/>
            <w:r>
              <w:rPr>
                <w:b/>
                <w:sz w:val="17"/>
              </w:rPr>
              <w:t>Overseas customer, no undertaking</w:t>
            </w:r>
          </w:p>
        </w:tc>
        <w:tc>
          <w:tcPr>
            <w:tcW w:type="dxa" w:w="2160"/>
            <w:shd w:val="clear" w:fill="F3F6FB"/>
          </w:tcPr>
          <w:p>
            <w:pPr>
              <w:spacing w:after="40"/>
            </w:pPr>
            <w:r/>
            <w:r>
              <w:rPr>
                <w:sz w:val="17"/>
              </w:rPr>
              <w:t>Export with tax</w:t>
            </w:r>
          </w:p>
        </w:tc>
        <w:tc>
          <w:tcPr>
            <w:tcW w:type="dxa" w:w="3456"/>
            <w:shd w:val="clear" w:fill="F3F6FB"/>
          </w:tcPr>
          <w:p>
            <w:pPr>
              <w:spacing w:after="40"/>
            </w:pPr>
            <w:r/>
            <w:r>
              <w:rPr>
                <w:sz w:val="17"/>
              </w:rPr>
              <w:t>Tax charged and reclaimable as a refund</w:t>
            </w:r>
          </w:p>
        </w:tc>
      </w:tr>
      <w:tr>
        <w:tc>
          <w:tcPr>
            <w:tcW w:type="dxa" w:w="3312"/>
          </w:tcPr>
          <w:p>
            <w:pPr>
              <w:spacing w:after="40"/>
            </w:pPr>
            <w:r/>
            <w:r>
              <w:rPr>
                <w:b/>
                <w:sz w:val="17"/>
              </w:rPr>
              <w:t>Special economic zone unit or developer</w:t>
            </w:r>
          </w:p>
        </w:tc>
        <w:tc>
          <w:tcPr>
            <w:tcW w:type="dxa" w:w="2160"/>
          </w:tcPr>
          <w:p>
            <w:pPr>
              <w:spacing w:after="40"/>
            </w:pPr>
            <w:r/>
            <w:r>
              <w:rPr>
                <w:sz w:val="17"/>
              </w:rPr>
              <w:t>Treated as an export</w:t>
            </w:r>
          </w:p>
        </w:tc>
        <w:tc>
          <w:tcPr>
            <w:tcW w:type="dxa" w:w="3456"/>
          </w:tcPr>
          <w:p>
            <w:pPr>
              <w:spacing w:after="40"/>
            </w:pPr>
            <w:r/>
            <w:r>
              <w:rPr>
                <w:sz w:val="17"/>
              </w:rPr>
              <w:t>Zero-rated, reported separately</w:t>
            </w:r>
          </w:p>
        </w:tc>
      </w:tr>
      <w:tr>
        <w:tc>
          <w:tcPr>
            <w:tcW w:type="dxa" w:w="3312"/>
            <w:shd w:val="clear" w:fill="F3F6FB"/>
          </w:tcPr>
          <w:p>
            <w:pPr>
              <w:spacing w:after="40"/>
            </w:pPr>
            <w:r/>
            <w:r>
              <w:rPr>
                <w:b/>
                <w:sz w:val="17"/>
              </w:rPr>
              <w:t>Overseas supplier, reverse charge applies</w:t>
            </w:r>
          </w:p>
        </w:tc>
        <w:tc>
          <w:tcPr>
            <w:tcW w:type="dxa" w:w="2160"/>
            <w:shd w:val="clear" w:fill="F3F6FB"/>
          </w:tcPr>
          <w:p>
            <w:pPr>
              <w:spacing w:after="40"/>
            </w:pPr>
            <w:r/>
            <w:r>
              <w:rPr>
                <w:sz w:val="17"/>
              </w:rPr>
              <w:t>Buyer accounts for the tax</w:t>
            </w:r>
          </w:p>
        </w:tc>
        <w:tc>
          <w:tcPr>
            <w:tcW w:type="dxa" w:w="3456"/>
            <w:shd w:val="clear" w:fill="F3F6FB"/>
          </w:tcPr>
          <w:p>
            <w:pPr>
              <w:spacing w:after="40"/>
            </w:pPr>
            <w:r/>
            <w:r>
              <w:rPr>
                <w:sz w:val="17"/>
              </w:rPr>
              <w:t>Liability and credit posted together</w:t>
            </w:r>
          </w:p>
        </w:tc>
      </w:tr>
    </w:tbl>
    <w:p>
      <w:pPr>
        <w:spacing w:after="80"/>
      </w:pPr>
    </w:p>
    <w:p>
      <w:r>
        <w:rPr>
          <w:b w:val="0"/>
          <w:i w:val="0"/>
        </w:rPr>
        <w:t>The party record carries the treatment, so it is applied consistently rather than being decided per invoice. An overseas customer never has domestic tax charged to it by accident, and a zero-rated export still appears in the return — omitting it is as much a filing error as charging the wrong rate.</w:t>
      </w:r>
    </w:p>
    <w:p>
      <w:pPr>
        <w:pStyle w:val="Heading2"/>
      </w:pPr>
      <w:r>
        <w:t>7.2  Multiple registrations</w:t>
      </w:r>
    </w:p>
    <w:p>
      <w:r>
        <w:rPr>
          <w:b w:val="0"/>
          <w:i w:val="0"/>
        </w:rPr>
        <w:t>A business trading in several jurisdictions usually holds a separate tax registration in each, and those registrations are not interchangeable: each files its own return and each numbers its own documents. The system models a registration rather than an office, which is what makes the numbering, the supply-type resolution and the per-registration return fall out naturally instead of needing special cases.</w:t>
      </w:r>
    </w:p>
    <w:p>
      <w:pPr>
        <w:pStyle w:val="ListBullet"/>
        <w:spacing w:after="60"/>
        <w:ind w:left="360"/>
      </w:pPr>
      <w:r>
        <w:t>Each registration keeps its own document series, restarting at one each financial year.</w:t>
      </w:r>
    </w:p>
    <w:p>
      <w:pPr>
        <w:pStyle w:val="ListBullet"/>
        <w:spacing w:after="60"/>
        <w:ind w:left="360"/>
      </w:pPr>
      <w:r>
        <w:t>A user may be granted access to one registration or several; a document can only be raised under one they hold.</w:t>
      </w:r>
    </w:p>
    <w:p>
      <w:pPr>
        <w:pStyle w:val="ListBullet"/>
        <w:spacing w:after="60"/>
        <w:ind w:left="360"/>
      </w:pPr>
      <w:r>
        <w:t>Returns, ageing and the statements can be read for one registration or for the business as a whole.</w:t>
      </w:r>
    </w:p>
    <w:p>
      <w:pPr>
        <w:pStyle w:val="Heading2"/>
      </w:pPr>
      <w:r>
        <w:t>7.3  Currency</w:t>
      </w:r>
    </w:p>
    <w:p>
      <w:r>
        <w:rPr>
          <w:b w:val="0"/>
          <w:i w:val="0"/>
        </w:rPr>
        <w:t>The organisation has a base currency, and the ledger is kept in it. Every amount in the database, on every report and in every total is that one currency, which is what allows the trial balance to be summed at all — a ledger holding mixed currencies without conversion does not balance in any of them.</w:t>
      </w:r>
    </w:p>
    <w:tbl>
      <w:tblPr>
        <w:tblStyle w:val="TableGrid"/>
        <w:tblW w:type="auto" w:w="0"/>
        <w:tblLook w:firstColumn="1" w:firstRow="1" w:lastColumn="0" w:lastRow="0" w:noHBand="0" w:noVBand="1" w:val="04A0"/>
      </w:tblPr>
      <w:tblGrid>
        <w:gridCol w:w="9360"/>
      </w:tblGrid>
      <w:tr>
        <w:tc>
          <w:tcPr>
            <w:tcW w:type="dxa" w:w="9360"/>
            <w:shd w:val="clear" w:fill="FFF6E5"/>
          </w:tcPr>
          <w:p>
            <w:pPr>
              <w:spacing w:after="40"/>
            </w:pPr>
            <w:r/>
            <w:r>
              <w:rPr>
                <w:b/>
                <w:sz w:val="19"/>
              </w:rPr>
              <w:t>Multi-currency is on the roadmap, and is not built</w:t>
            </w:r>
          </w:p>
          <w:p>
            <w:pPr>
              <w:spacing w:after="20"/>
            </w:pPr>
            <w:r>
              <w:rPr>
                <w:sz w:val="19"/>
              </w:rPr>
              <w:t>Invoicing a customer in a currency other than the base one requires an exchange rate on the document, a realised gain or loss when it is settled at a different rate, and a revaluation of open balances at period end. The base-currency field exists; none of that machinery does. A business exporting today invoices in its base currency, which is common practice but not universal. Section 17 places this first on the roadmap.</w:t>
            </w:r>
          </w:p>
        </w:tc>
      </w:tr>
    </w:tbl>
    <w:p>
      <w:pPr>
        <w:spacing w:after="80"/>
      </w:pPr>
    </w:p>
    <w:p>
      <w:pPr>
        <w:pStyle w:val="Heading2"/>
      </w:pPr>
      <w:r>
        <w:t>7.4  Adding a jurisdiction</w:t>
      </w:r>
    </w:p>
    <w:p>
      <w:r>
        <w:rPr>
          <w:b w:val="0"/>
          <w:i w:val="0"/>
        </w:rPr>
        <w:t>The work of supporting a new country is contained. What has to be written is a tax module answering a fixed set of questions; what does not have to be touched is the ledger, the documents, the reports or the audit trail.</w:t>
      </w:r>
    </w:p>
    <w:tbl>
      <w:tblPr>
        <w:tblStyle w:val="TableGrid"/>
        <w:tblW w:type="auto" w:w="0"/>
        <w:jc w:val="center"/>
        <w:tblLook w:firstColumn="1" w:firstRow="1" w:lastColumn="0" w:lastRow="0" w:noHBand="0" w:noVBand="1" w:val="04A0"/>
      </w:tblPr>
      <w:tblGrid>
        <w:gridCol w:w="4680"/>
        <w:gridCol w:w="4680"/>
      </w:tblGrid>
      <w:tr>
        <w:tc>
          <w:tcPr>
            <w:tcW w:type="dxa" w:w="3456"/>
            <w:shd w:val="clear" w:fill="002F6E"/>
          </w:tcPr>
          <w:p>
            <w:pPr>
              <w:spacing w:after="40"/>
            </w:pPr>
            <w:r/>
            <w:r>
              <w:rPr>
                <w:b/>
                <w:color w:val="FFFFFF"/>
                <w:sz w:val="17"/>
              </w:rPr>
              <w:t>A jurisdiction module supplies</w:t>
            </w:r>
          </w:p>
        </w:tc>
        <w:tc>
          <w:tcPr>
            <w:tcW w:type="dxa" w:w="5472"/>
            <w:shd w:val="clear" w:fill="002F6E"/>
          </w:tcPr>
          <w:p>
            <w:pPr>
              <w:spacing w:after="40"/>
            </w:pPr>
            <w:r/>
            <w:r>
              <w:rPr>
                <w:b/>
                <w:color w:val="FFFFFF"/>
                <w:sz w:val="17"/>
              </w:rPr>
              <w:t>Example from the implemented one</w:t>
            </w:r>
          </w:p>
        </w:tc>
      </w:tr>
      <w:tr>
        <w:tc>
          <w:tcPr>
            <w:tcW w:type="dxa" w:w="3456"/>
          </w:tcPr>
          <w:p>
            <w:pPr>
              <w:spacing w:after="40"/>
            </w:pPr>
            <w:r/>
            <w:r>
              <w:rPr>
                <w:b/>
                <w:sz w:val="17"/>
              </w:rPr>
              <w:t>The taxes that exist and their components</w:t>
            </w:r>
          </w:p>
        </w:tc>
        <w:tc>
          <w:tcPr>
            <w:tcW w:type="dxa" w:w="5472"/>
          </w:tcPr>
          <w:p>
            <w:pPr>
              <w:spacing w:after="40"/>
            </w:pPr>
            <w:r/>
            <w:r>
              <w:rPr>
                <w:sz w:val="17"/>
              </w:rPr>
              <w:t>India: a central and a state component domestically, a single integrated tax across state lines</w:t>
            </w:r>
          </w:p>
        </w:tc>
      </w:tr>
      <w:tr>
        <w:tc>
          <w:tcPr>
            <w:tcW w:type="dxa" w:w="3456"/>
            <w:shd w:val="clear" w:fill="F3F6FB"/>
          </w:tcPr>
          <w:p>
            <w:pPr>
              <w:spacing w:after="40"/>
            </w:pPr>
            <w:r/>
            <w:r>
              <w:rPr>
                <w:b/>
                <w:sz w:val="17"/>
              </w:rPr>
              <w:t>How a supply is classified</w:t>
            </w:r>
          </w:p>
        </w:tc>
        <w:tc>
          <w:tcPr>
            <w:tcW w:type="dxa" w:w="5472"/>
            <w:shd w:val="clear" w:fill="F3F6FB"/>
          </w:tcPr>
          <w:p>
            <w:pPr>
              <w:spacing w:after="40"/>
            </w:pPr>
            <w:r/>
            <w:r>
              <w:rPr>
                <w:sz w:val="17"/>
              </w:rPr>
              <w:t>By the seller’s registration, the place of supply and the customer’s status</w:t>
            </w:r>
          </w:p>
        </w:tc>
      </w:tr>
      <w:tr>
        <w:tc>
          <w:tcPr>
            <w:tcW w:type="dxa" w:w="3456"/>
          </w:tcPr>
          <w:p>
            <w:pPr>
              <w:spacing w:after="40"/>
            </w:pPr>
            <w:r/>
            <w:r>
              <w:rPr>
                <w:b/>
                <w:sz w:val="17"/>
              </w:rPr>
              <w:t>The registration number format and its validation</w:t>
            </w:r>
          </w:p>
        </w:tc>
        <w:tc>
          <w:tcPr>
            <w:tcW w:type="dxa" w:w="5472"/>
          </w:tcPr>
          <w:p>
            <w:pPr>
              <w:spacing w:after="40"/>
            </w:pPr>
            <w:r/>
            <w:r>
              <w:rPr>
                <w:sz w:val="17"/>
              </w:rPr>
              <w:t>A 15-character identifier with an embedded jurisdiction code and a check digit</w:t>
            </w:r>
          </w:p>
        </w:tc>
      </w:tr>
      <w:tr>
        <w:tc>
          <w:tcPr>
            <w:tcW w:type="dxa" w:w="3456"/>
            <w:shd w:val="clear" w:fill="F3F6FB"/>
          </w:tcPr>
          <w:p>
            <w:pPr>
              <w:spacing w:after="40"/>
            </w:pPr>
            <w:r/>
            <w:r>
              <w:rPr>
                <w:b/>
                <w:sz w:val="17"/>
              </w:rPr>
              <w:t>The product classification scheme</w:t>
            </w:r>
          </w:p>
        </w:tc>
        <w:tc>
          <w:tcPr>
            <w:tcW w:type="dxa" w:w="5472"/>
            <w:shd w:val="clear" w:fill="F3F6FB"/>
          </w:tcPr>
          <w:p>
            <w:pPr>
              <w:spacing w:after="40"/>
            </w:pPr>
            <w:r/>
            <w:r>
              <w:rPr>
                <w:sz w:val="17"/>
              </w:rPr>
              <w:t>Tariff codes for goods and service codes for services, from an approved list</w:t>
            </w:r>
          </w:p>
        </w:tc>
      </w:tr>
      <w:tr>
        <w:tc>
          <w:tcPr>
            <w:tcW w:type="dxa" w:w="3456"/>
          </w:tcPr>
          <w:p>
            <w:pPr>
              <w:spacing w:after="40"/>
            </w:pPr>
            <w:r/>
            <w:r>
              <w:rPr>
                <w:b/>
                <w:sz w:val="17"/>
              </w:rPr>
              <w:t>Which input tax may be recovered, and which is blocked</w:t>
            </w:r>
          </w:p>
        </w:tc>
        <w:tc>
          <w:tcPr>
            <w:tcW w:type="dxa" w:w="5472"/>
          </w:tcPr>
          <w:p>
            <w:pPr>
              <w:spacing w:after="40"/>
            </w:pPr>
            <w:r/>
            <w:r>
              <w:rPr>
                <w:sz w:val="17"/>
              </w:rPr>
              <w:t>Blocked categories become part of the cost rather than an asset</w:t>
            </w:r>
          </w:p>
        </w:tc>
      </w:tr>
      <w:tr>
        <w:tc>
          <w:tcPr>
            <w:tcW w:type="dxa" w:w="3456"/>
            <w:shd w:val="clear" w:fill="F3F6FB"/>
          </w:tcPr>
          <w:p>
            <w:pPr>
              <w:spacing w:after="40"/>
            </w:pPr>
            <w:r/>
            <w:r>
              <w:rPr>
                <w:b/>
                <w:sz w:val="17"/>
              </w:rPr>
              <w:t>Withholding rules and their thresholds</w:t>
            </w:r>
          </w:p>
        </w:tc>
        <w:tc>
          <w:tcPr>
            <w:tcW w:type="dxa" w:w="5472"/>
            <w:shd w:val="clear" w:fill="F3F6FB"/>
          </w:tcPr>
          <w:p>
            <w:pPr>
              <w:spacing w:after="40"/>
            </w:pPr>
            <w:r/>
            <w:r>
              <w:rPr>
                <w:sz w:val="17"/>
              </w:rPr>
              <w:t>Section-based withholding measured against an annual limit per supplier</w:t>
            </w:r>
          </w:p>
        </w:tc>
      </w:tr>
      <w:tr>
        <w:tc>
          <w:tcPr>
            <w:tcW w:type="dxa" w:w="3456"/>
          </w:tcPr>
          <w:p>
            <w:pPr>
              <w:spacing w:after="40"/>
            </w:pPr>
            <w:r/>
            <w:r>
              <w:rPr>
                <w:b/>
                <w:sz w:val="17"/>
              </w:rPr>
              <w:t>The statutory returns and their formats</w:t>
            </w:r>
          </w:p>
        </w:tc>
        <w:tc>
          <w:tcPr>
            <w:tcW w:type="dxa" w:w="5472"/>
          </w:tcPr>
          <w:p>
            <w:pPr>
              <w:spacing w:after="40"/>
            </w:pPr>
            <w:r/>
            <w:r>
              <w:rPr>
                <w:sz w:val="17"/>
              </w:rPr>
              <w:t>Two monthly returns and a supplier-matching statement</w:t>
            </w:r>
          </w:p>
        </w:tc>
      </w:tr>
      <w:tr>
        <w:tc>
          <w:tcPr>
            <w:tcW w:type="dxa" w:w="3456"/>
            <w:shd w:val="clear" w:fill="F3F6FB"/>
          </w:tcPr>
          <w:p>
            <w:pPr>
              <w:spacing w:after="40"/>
            </w:pPr>
            <w:r/>
            <w:r>
              <w:rPr>
                <w:b/>
                <w:sz w:val="17"/>
              </w:rPr>
              <w:t>Statutory deadlines that carry a penalty</w:t>
            </w:r>
          </w:p>
        </w:tc>
        <w:tc>
          <w:tcPr>
            <w:tcW w:type="dxa" w:w="5472"/>
            <w:shd w:val="clear" w:fill="F3F6FB"/>
          </w:tcPr>
          <w:p>
            <w:pPr>
              <w:spacing w:after="40"/>
            </w:pPr>
            <w:r/>
            <w:r>
              <w:rPr>
                <w:sz w:val="17"/>
              </w:rPr>
              <w:t>A 30-day reporting window, and a 45-day payment obligation to small suppliers</w:t>
            </w:r>
          </w:p>
        </w:tc>
      </w:tr>
    </w:tbl>
    <w:p>
      <w:pPr>
        <w:spacing w:after="80"/>
      </w:pPr>
    </w:p>
    <w:p>
      <w:r>
        <w:rPr>
          <w:b w:val="0"/>
          <w:i w:val="0"/>
        </w:rPr>
        <w:t>The candidates most often asked for are value added tax regimes — the Gulf states, the United Kingdom, the European Union — and sales tax in the United States. The first group maps closely onto what is already built, because the structure of the questions is the same. United States sales tax differs more, being levied by thousands of local authorities rather than nationally, and would need a rate service behind it.</w:t>
      </w:r>
    </w:p>
    <w:p>
      <w:r>
        <w:br w:type="page"/>
      </w:r>
    </w:p>
    <w:p>
      <w:pPr>
        <w:pStyle w:val="Heading1"/>
      </w:pPr>
      <w:r>
        <w:t>8. Tax compliance by jurisdiction</w:t>
      </w:r>
    </w:p>
    <w:tbl>
      <w:tblPr>
        <w:tblStyle w:val="TableGrid"/>
        <w:tblW w:type="auto" w:w="0"/>
        <w:tblLook w:firstColumn="1" w:firstRow="1" w:lastColumn="0" w:lastRow="0" w:noHBand="0" w:noVBand="1" w:val="04A0"/>
      </w:tblPr>
      <w:tblGrid>
        <w:gridCol w:w="9360"/>
      </w:tblGrid>
      <w:tr>
        <w:tc>
          <w:tcPr>
            <w:tcW w:type="dxa" w:w="9360"/>
            <w:shd w:val="clear" w:fill="EAF2FF"/>
          </w:tcPr>
          <w:p>
            <w:pPr>
              <w:spacing w:after="40"/>
            </w:pPr>
            <w:r/>
            <w:r>
              <w:rPr>
                <w:b/>
                <w:sz w:val="19"/>
              </w:rPr>
              <w:t>India is the implemented jurisdiction</w:t>
            </w:r>
          </w:p>
          <w:p>
            <w:pPr>
              <w:spacing w:after="20"/>
            </w:pPr>
            <w:r>
              <w:rPr>
                <w:sz w:val="19"/>
              </w:rPr>
              <w:t>This section describes the tax module that exists today. It is deliberately specific, because a jurisdiction module is specific by nature — the value of reading it is seeing the depth a module goes to, which is the standard any further jurisdiction is held to.</w:t>
            </w:r>
          </w:p>
        </w:tc>
      </w:tr>
    </w:tbl>
    <w:p>
      <w:pPr>
        <w:spacing w:after="80"/>
      </w:pPr>
    </w:p>
    <w:p>
      <w:pPr>
        <w:pStyle w:val="Heading2"/>
      </w:pPr>
      <w:r>
        <w:t>8.1  Supply resolution</w:t>
      </w:r>
    </w:p>
    <w:p>
      <w:r>
        <w:rPr>
          <w:b w:val="0"/>
          <w:i w:val="0"/>
        </w:rPr>
        <w:t>The engine answers one question first: what kind of supply is this? The seller’s registration, the place of supply and the customer’s tax status decide it, and everything else follows.</w:t>
      </w:r>
    </w:p>
    <w:tbl>
      <w:tblPr>
        <w:tblStyle w:val="TableGrid"/>
        <w:tblW w:type="auto" w:w="0"/>
        <w:jc w:val="center"/>
        <w:tblLook w:firstColumn="1" w:firstRow="1" w:lastColumn="0" w:lastRow="0" w:noHBand="0" w:noVBand="1" w:val="04A0"/>
      </w:tblPr>
      <w:tblGrid>
        <w:gridCol w:w="4680"/>
        <w:gridCol w:w="4680"/>
      </w:tblGrid>
      <w:tr>
        <w:tc>
          <w:tcPr>
            <w:tcW w:type="dxa" w:w="3744"/>
            <w:shd w:val="clear" w:fill="002F6E"/>
          </w:tcPr>
          <w:p>
            <w:pPr>
              <w:spacing w:after="40"/>
            </w:pPr>
            <w:r/>
            <w:r>
              <w:rPr>
                <w:b/>
                <w:color w:val="FFFFFF"/>
                <w:sz w:val="17"/>
              </w:rPr>
              <w:t>Situation</w:t>
            </w:r>
          </w:p>
        </w:tc>
        <w:tc>
          <w:tcPr>
            <w:tcW w:type="dxa" w:w="5184"/>
            <w:shd w:val="clear" w:fill="002F6E"/>
          </w:tcPr>
          <w:p>
            <w:pPr>
              <w:spacing w:after="40"/>
            </w:pPr>
            <w:r/>
            <w:r>
              <w:rPr>
                <w:b/>
                <w:color w:val="FFFFFF"/>
                <w:sz w:val="17"/>
              </w:rPr>
              <w:t>Result</w:t>
            </w:r>
          </w:p>
        </w:tc>
      </w:tr>
      <w:tr>
        <w:tc>
          <w:tcPr>
            <w:tcW w:type="dxa" w:w="3744"/>
          </w:tcPr>
          <w:p>
            <w:pPr>
              <w:spacing w:after="40"/>
            </w:pPr>
            <w:r/>
            <w:r>
              <w:rPr>
                <w:b/>
                <w:sz w:val="17"/>
              </w:rPr>
              <w:t>Registration state equals place of supply</w:t>
            </w:r>
          </w:p>
        </w:tc>
        <w:tc>
          <w:tcPr>
            <w:tcW w:type="dxa" w:w="5184"/>
          </w:tcPr>
          <w:p>
            <w:pPr>
              <w:spacing w:after="40"/>
            </w:pPr>
            <w:r/>
            <w:r>
              <w:rPr>
                <w:sz w:val="17"/>
              </w:rPr>
              <w:t>Intra-state — CGST + SGST, half each</w:t>
            </w:r>
          </w:p>
        </w:tc>
      </w:tr>
      <w:tr>
        <w:tc>
          <w:tcPr>
            <w:tcW w:type="dxa" w:w="3744"/>
            <w:shd w:val="clear" w:fill="F3F6FB"/>
          </w:tcPr>
          <w:p>
            <w:pPr>
              <w:spacing w:after="40"/>
            </w:pPr>
            <w:r/>
            <w:r>
              <w:rPr>
                <w:b/>
                <w:sz w:val="17"/>
              </w:rPr>
              <w:t>Different states</w:t>
            </w:r>
          </w:p>
        </w:tc>
        <w:tc>
          <w:tcPr>
            <w:tcW w:type="dxa" w:w="5184"/>
            <w:shd w:val="clear" w:fill="F3F6FB"/>
          </w:tcPr>
          <w:p>
            <w:pPr>
              <w:spacing w:after="40"/>
            </w:pPr>
            <w:r/>
            <w:r>
              <w:rPr>
                <w:sz w:val="17"/>
              </w:rPr>
              <w:t>Inter-state — a single IGST at the full rate</w:t>
            </w:r>
          </w:p>
        </w:tc>
      </w:tr>
      <w:tr>
        <w:tc>
          <w:tcPr>
            <w:tcW w:type="dxa" w:w="3744"/>
          </w:tcPr>
          <w:p>
            <w:pPr>
              <w:spacing w:after="40"/>
            </w:pPr>
            <w:r/>
            <w:r>
              <w:rPr>
                <w:b/>
                <w:sz w:val="17"/>
              </w:rPr>
              <w:t>Overseas customer, LUT held</w:t>
            </w:r>
          </w:p>
        </w:tc>
        <w:tc>
          <w:tcPr>
            <w:tcW w:type="dxa" w:w="5184"/>
          </w:tcPr>
          <w:p>
            <w:pPr>
              <w:spacing w:after="40"/>
            </w:pPr>
            <w:r/>
            <w:r>
              <w:rPr>
                <w:sz w:val="17"/>
              </w:rPr>
              <w:t>Export — zero-rated, no tax charged</w:t>
            </w:r>
          </w:p>
        </w:tc>
      </w:tr>
      <w:tr>
        <w:tc>
          <w:tcPr>
            <w:tcW w:type="dxa" w:w="3744"/>
            <w:shd w:val="clear" w:fill="F3F6FB"/>
          </w:tcPr>
          <w:p>
            <w:pPr>
              <w:spacing w:after="40"/>
            </w:pPr>
            <w:r/>
            <w:r>
              <w:rPr>
                <w:b/>
                <w:sz w:val="17"/>
              </w:rPr>
              <w:t>Overseas customer, no LUT</w:t>
            </w:r>
          </w:p>
        </w:tc>
        <w:tc>
          <w:tcPr>
            <w:tcW w:type="dxa" w:w="5184"/>
            <w:shd w:val="clear" w:fill="F3F6FB"/>
          </w:tcPr>
          <w:p>
            <w:pPr>
              <w:spacing w:after="40"/>
            </w:pPr>
            <w:r/>
            <w:r>
              <w:rPr>
                <w:sz w:val="17"/>
              </w:rPr>
              <w:t>Export with tax, refundable</w:t>
            </w:r>
          </w:p>
        </w:tc>
      </w:tr>
      <w:tr>
        <w:tc>
          <w:tcPr>
            <w:tcW w:type="dxa" w:w="3744"/>
          </w:tcPr>
          <w:p>
            <w:pPr>
              <w:spacing w:after="40"/>
            </w:pPr>
            <w:r/>
            <w:r>
              <w:rPr>
                <w:b/>
                <w:sz w:val="17"/>
              </w:rPr>
              <w:t>SEZ unit or developer</w:t>
            </w:r>
          </w:p>
        </w:tc>
        <w:tc>
          <w:tcPr>
            <w:tcW w:type="dxa" w:w="5184"/>
          </w:tcPr>
          <w:p>
            <w:pPr>
              <w:spacing w:after="40"/>
            </w:pPr>
            <w:r/>
            <w:r>
              <w:rPr>
                <w:sz w:val="17"/>
              </w:rPr>
              <w:t>Treated as an export</w:t>
            </w:r>
          </w:p>
        </w:tc>
      </w:tr>
      <w:tr>
        <w:tc>
          <w:tcPr>
            <w:tcW w:type="dxa" w:w="3744"/>
            <w:shd w:val="clear" w:fill="F3F6FB"/>
          </w:tcPr>
          <w:p>
            <w:pPr>
              <w:spacing w:after="40"/>
            </w:pPr>
            <w:r/>
            <w:r>
              <w:rPr>
                <w:b/>
                <w:sz w:val="17"/>
              </w:rPr>
              <w:t>Unregistered vendor, notified supply</w:t>
            </w:r>
          </w:p>
        </w:tc>
        <w:tc>
          <w:tcPr>
            <w:tcW w:type="dxa" w:w="5184"/>
            <w:shd w:val="clear" w:fill="F3F6FB"/>
          </w:tcPr>
          <w:p>
            <w:pPr>
              <w:spacing w:after="40"/>
            </w:pPr>
            <w:r/>
            <w:r>
              <w:rPr>
                <w:sz w:val="17"/>
              </w:rPr>
              <w:t>Reverse charge — the buyer pays the tax and claims it back</w:t>
            </w:r>
          </w:p>
        </w:tc>
      </w:tr>
      <w:tr>
        <w:tc>
          <w:tcPr>
            <w:tcW w:type="dxa" w:w="3744"/>
          </w:tcPr>
          <w:p>
            <w:pPr>
              <w:spacing w:after="40"/>
            </w:pPr>
            <w:r/>
            <w:r>
              <w:rPr>
                <w:b/>
                <w:sz w:val="17"/>
              </w:rPr>
              <w:t>Composition dealer</w:t>
            </w:r>
          </w:p>
        </w:tc>
        <w:tc>
          <w:tcPr>
            <w:tcW w:type="dxa" w:w="5184"/>
          </w:tcPr>
          <w:p>
            <w:pPr>
              <w:spacing w:after="40"/>
            </w:pPr>
            <w:r/>
            <w:r>
              <w:rPr>
                <w:sz w:val="17"/>
              </w:rPr>
              <w:t>No tax charged, and no input credit available to the buyer</w:t>
            </w:r>
          </w:p>
        </w:tc>
      </w:tr>
    </w:tbl>
    <w:p>
      <w:pPr>
        <w:spacing w:after="80"/>
      </w:pPr>
    </w:p>
    <w:p>
      <w:r>
        <w:rPr>
          <w:b w:val="0"/>
          <w:i w:val="0"/>
        </w:rPr>
        <w:t>Registration numbers are validated on format and on the mod-36 check digit, not merely on length. The same engine is used by the invoice form, the API and the return preparation, so the figure on the screen and the figure in the return cannot disagree.</w:t>
      </w:r>
    </w:p>
    <w:p>
      <w:pPr>
        <w:pStyle w:val="Heading2"/>
      </w:pPr>
      <w:r>
        <w:t>8.2  Input tax credit</w:t>
      </w:r>
    </w:p>
    <w:p>
      <w:r>
        <w:rPr>
          <w:b w:val="0"/>
          <w:i w:val="0"/>
        </w:rPr>
        <w:t>Credit is tracked per line, not per bill. Section 17(5) blocks it on motor vehicles, food and beverages, club memberships, works contracts for immovable property and personal consumption — and where it is blocked the tax becomes part of the cost rather than an asset. Reverse-charge purchases post both sides: the liability to pay the tax, and the credit for having paid it.</w:t>
      </w:r>
    </w:p>
    <w:p>
      <w:pPr>
        <w:pStyle w:val="Heading2"/>
      </w:pPr>
      <w:r>
        <w:t>8.3  Returns</w:t>
      </w:r>
    </w:p>
    <w:p>
      <w:pPr>
        <w:pStyle w:val="ListBullet"/>
        <w:spacing w:after="60"/>
        <w:ind w:left="360"/>
      </w:pPr>
      <w:r>
        <w:t>GSTR-1 is prepared section by section, with the HSN summary that Table 12 requires, and exported as portal JSON.</w:t>
      </w:r>
    </w:p>
    <w:p>
      <w:pPr>
        <w:pStyle w:val="ListBullet"/>
        <w:spacing w:after="60"/>
        <w:ind w:left="360"/>
      </w:pPr>
      <w:r>
        <w:t>GSTR-3B applies the set-off order Section 49A prescribes: integrated credit is used first, and against integrated tax before central or state tax.</w:t>
      </w:r>
    </w:p>
    <w:p>
      <w:pPr>
        <w:pStyle w:val="ListBullet"/>
        <w:spacing w:after="60"/>
        <w:ind w:left="360"/>
      </w:pPr>
      <w:r>
        <w:t>GSTR-2B reconciliation compares the purchase register against what suppliers filed, in four buckets, because credit claimed on an invoice a supplier never filed is credit that will be reversed with interest.</w:t>
      </w:r>
    </w:p>
    <w:p>
      <w:pPr>
        <w:pStyle w:val="Heading2"/>
      </w:pPr>
      <w:r>
        <w:t>8.4  E-invoicing and e-way bills</w:t>
      </w:r>
    </w:p>
    <w:p>
      <w:r>
        <w:rPr>
          <w:b w:val="0"/>
          <w:i w:val="0"/>
        </w:rPr>
        <w:t>A B2B invoice above the turnover threshold is not legally valid without an IRN, and the reporting window is 30 days from the invoice date — after which the portal refuses it and the invoice must be cancelled and reissued. The queue is therefore ordered by urgency and the countdown is shown per invoice rather than buried.</w:t>
      </w:r>
    </w:p>
    <w:p>
      <w:r>
        <w:rPr>
          <w:b w:val="0"/>
          <w:i w:val="0"/>
        </w:rPr>
        <w:t>An e-way bill is required for a consignment of goods worth more than ₹50,000 that moves. Validity is one day per 200 km with a minimum of one day, counted from generation. Services never need one, because nothing travels.</w:t>
      </w:r>
    </w:p>
    <w:p>
      <w:pPr>
        <w:pStyle w:val="Heading2"/>
      </w:pPr>
      <w:r>
        <w:t>8.5  Withholding tax and the small-supplier rule</w:t>
      </w:r>
    </w:p>
    <w:p>
      <w:r>
        <w:rPr>
          <w:b w:val="0"/>
          <w:i w:val="0"/>
        </w:rPr>
        <w:t>TDS thresholds are annual, so the system accumulates taxable billing per vendor across the financial year and begins withholding when the threshold is crossed — at the rate the vendor’s PAN status earns, which is materially higher without one. Section 194C, for example, applies at ₹30,000 for a single payment or ₹1,00,000 across the year.</w:t>
      </w:r>
    </w:p>
    <w:p>
      <w:r>
        <w:rPr>
          <w:b w:val="0"/>
          <w:i w:val="0"/>
        </w:rPr>
        <w:t>Section 43B(h) disallows an expense entirely if a registered micro or small supplier is not paid within 45 days — the deduction returns only in the year the payment is actually made. The tracker counts those days from the bill date on every unpaid MSME bill and warns from day 38.</w:t>
      </w:r>
    </w:p>
    <w:p>
      <w:r>
        <w:br w:type="page"/>
      </w:r>
    </w:p>
    <w:p>
      <w:pPr>
        <w:pStyle w:val="Heading1"/>
      </w:pPr>
      <w:r>
        <w:t>9. Money and arithmetic</w:t>
      </w:r>
    </w:p>
    <w:p>
      <w:r>
        <w:rPr>
          <w:b w:val="0"/>
          <w:i w:val="0"/>
        </w:rPr>
        <w:t>Amounts are stored as DECIMAL(19,4) in MySQL and handled as integer paise everywhere else. Rates and quantities use DECIMAL(19,6). Conversion happens at exactly two points — reading from the database and writing to it — and between them the arithmetic is on integers and strings.</w:t>
      </w:r>
    </w:p>
    <w:p>
      <w:r>
        <w:rPr>
          <w:b w:val="0"/>
          <w:i w:val="0"/>
        </w:rPr>
        <w:t>Rounding is half-up at the minor unit. Where a jurisdiction requires the document total to be rounded to a whole major unit — as India does — the difference is posted to a rounding account rather than absorbed, because the printed invoice has to show it.</w:t>
      </w:r>
    </w:p>
    <w:p>
      <w:r>
        <w:rPr>
          <w:b w:val="0"/>
          <w:i w:val="0"/>
        </w:rPr>
        <w:t>Number formatting follows the locale rather than a fixed pattern. The same amount reads as ₹12,34,567.00 under Indian grouping and 1,234,567.00 under the grouping used almost everywhere else; the stored value is identical, and only the presentation differs.</w:t>
      </w:r>
    </w:p>
    <w:tbl>
      <w:tblPr>
        <w:tblStyle w:val="TableGrid"/>
        <w:tblW w:type="auto" w:w="0"/>
        <w:tblLook w:firstColumn="1" w:firstRow="1" w:lastColumn="0" w:lastRow="0" w:noHBand="0" w:noVBand="1" w:val="04A0"/>
      </w:tblPr>
      <w:tblGrid>
        <w:gridCol w:w="9360"/>
      </w:tblGrid>
      <w:tr>
        <w:tc>
          <w:tcPr>
            <w:tcW w:type="dxa" w:w="9360"/>
            <w:shd w:val="clear" w:fill="EAF2FF"/>
          </w:tcPr>
          <w:p>
            <w:pPr>
              <w:spacing w:after="40"/>
            </w:pPr>
            <w:r/>
            <w:r>
              <w:rPr>
                <w:b/>
                <w:sz w:val="19"/>
              </w:rPr>
              <w:t>Why this is not over-engineering</w:t>
            </w:r>
          </w:p>
          <w:p>
            <w:pPr>
              <w:spacing w:after="20"/>
            </w:pPr>
            <w:r>
              <w:rPr>
                <w:sz w:val="19"/>
              </w:rPr>
              <w:t>A floating-point rupee is accurate to about fifteen significant digits, which sounds like plenty until a year of lines is summed and the trial balance is out by four paise. It will still balance to a human reading the report, and it will not balance to the constraint that refuses unbalanced entries — so the failure appears as a rejected save weeks later, with no obvious cause.</w:t>
            </w:r>
          </w:p>
        </w:tc>
      </w:tr>
    </w:tbl>
    <w:p>
      <w:pPr>
        <w:spacing w:after="80"/>
      </w:pPr>
    </w:p>
    <w:p>
      <w:pPr>
        <w:pStyle w:val="Heading1"/>
      </w:pPr>
      <w:r>
        <w:t>10. Security and audit</w:t>
      </w:r>
    </w:p>
    <w:p>
      <w:pPr>
        <w:pStyle w:val="Heading2"/>
      </w:pPr>
      <w:r>
        <w:t>10.1  Authentication</w:t>
      </w:r>
    </w:p>
    <w:p>
      <w:pPr>
        <w:pStyle w:val="ListBullet"/>
        <w:spacing w:after="60"/>
        <w:ind w:left="360"/>
      </w:pPr>
      <w:r>
        <w:t>Passwords are hashed with argon2id at the OWASP minimum — 19 MiB of memory, two iterations, one lane. The cost is encoded in the hash, so raising it later keeps old hashes verifying.</w:t>
      </w:r>
    </w:p>
    <w:p>
      <w:pPr>
        <w:pStyle w:val="ListBullet"/>
        <w:spacing w:after="60"/>
        <w:ind w:left="360"/>
      </w:pPr>
      <w:r>
        <w:t>Sessions are rows in a table, not self-contained tokens. When an administrator disables a user or somebody signs out, access stops immediately on every device — which a JWT cannot do without a revocation list, which is a sessions table with extra steps.</w:t>
      </w:r>
    </w:p>
    <w:p>
      <w:pPr>
        <w:pStyle w:val="ListBullet"/>
        <w:spacing w:after="60"/>
        <w:ind w:left="360"/>
      </w:pPr>
      <w:r>
        <w:t>The cookie carries a random 256-bit token; what is stored is its SHA-256, so a database leak does not hand over live sessions. The cookie is httpOnly, sameSite=lax and secure.</w:t>
      </w:r>
    </w:p>
    <w:p>
      <w:pPr>
        <w:pStyle w:val="ListBullet"/>
        <w:spacing w:after="60"/>
        <w:ind w:left="360"/>
      </w:pPr>
      <w:r>
        <w:t>An account locks for fifteen minutes after eight consecutive failures. A sign-in against an unknown email burns the same amount of time as a real one, so the form cannot be used to enumerate addresses.</w:t>
      </w:r>
    </w:p>
    <w:p>
      <w:pPr>
        <w:pStyle w:val="Heading2"/>
      </w:pPr>
      <w:r>
        <w:t>10.2  Roles</w:t>
      </w:r>
    </w:p>
    <w:tbl>
      <w:tblPr>
        <w:tblStyle w:val="TableGrid"/>
        <w:tblW w:type="auto" w:w="0"/>
        <w:jc w:val="center"/>
        <w:tblLook w:firstColumn="1" w:firstRow="1" w:lastColumn="0" w:lastRow="0" w:noHBand="0" w:noVBand="1" w:val="04A0"/>
      </w:tblPr>
      <w:tblGrid>
        <w:gridCol w:w="4680"/>
        <w:gridCol w:w="4680"/>
      </w:tblGrid>
      <w:tr>
        <w:tc>
          <w:tcPr>
            <w:tcW w:type="dxa" w:w="1584"/>
            <w:shd w:val="clear" w:fill="002F6E"/>
          </w:tcPr>
          <w:p>
            <w:pPr>
              <w:spacing w:after="40"/>
            </w:pPr>
            <w:r/>
            <w:r>
              <w:rPr>
                <w:b/>
                <w:color w:val="FFFFFF"/>
                <w:sz w:val="18"/>
              </w:rPr>
              <w:t>Role</w:t>
            </w:r>
          </w:p>
        </w:tc>
        <w:tc>
          <w:tcPr>
            <w:tcW w:type="dxa" w:w="7344"/>
            <w:shd w:val="clear" w:fill="002F6E"/>
          </w:tcPr>
          <w:p>
            <w:pPr>
              <w:spacing w:after="40"/>
            </w:pPr>
            <w:r/>
            <w:r>
              <w:rPr>
                <w:b/>
                <w:color w:val="FFFFFF"/>
                <w:sz w:val="18"/>
              </w:rPr>
              <w:t>May do</w:t>
            </w:r>
          </w:p>
        </w:tc>
      </w:tr>
      <w:tr>
        <w:tc>
          <w:tcPr>
            <w:tcW w:type="dxa" w:w="1584"/>
          </w:tcPr>
          <w:p>
            <w:pPr>
              <w:spacing w:after="40"/>
            </w:pPr>
            <w:r/>
            <w:r>
              <w:rPr>
                <w:b/>
                <w:sz w:val="18"/>
              </w:rPr>
              <w:t>Admin</w:t>
            </w:r>
          </w:p>
        </w:tc>
        <w:tc>
          <w:tcPr>
            <w:tcW w:type="dxa" w:w="7344"/>
          </w:tcPr>
          <w:p>
            <w:pPr>
              <w:spacing w:after="40"/>
            </w:pPr>
            <w:r/>
            <w:r>
              <w:rPr>
                <w:sz w:val="18"/>
              </w:rPr>
              <w:t>Everything, including settings, period locks and user management</w:t>
            </w:r>
          </w:p>
        </w:tc>
      </w:tr>
      <w:tr>
        <w:tc>
          <w:tcPr>
            <w:tcW w:type="dxa" w:w="1584"/>
            <w:shd w:val="clear" w:fill="F3F6FB"/>
          </w:tcPr>
          <w:p>
            <w:pPr>
              <w:spacing w:after="40"/>
            </w:pPr>
            <w:r/>
            <w:r>
              <w:rPr>
                <w:b/>
                <w:sz w:val="18"/>
              </w:rPr>
              <w:t>Accountant</w:t>
            </w:r>
          </w:p>
        </w:tc>
        <w:tc>
          <w:tcPr>
            <w:tcW w:type="dxa" w:w="7344"/>
            <w:shd w:val="clear" w:fill="F3F6FB"/>
          </w:tcPr>
          <w:p>
            <w:pPr>
              <w:spacing w:after="40"/>
            </w:pPr>
            <w:r/>
            <w:r>
              <w:rPr>
                <w:sz w:val="18"/>
              </w:rPr>
              <w:t>Sales, purchases, banking, journals and GST; reads settings</w:t>
            </w:r>
          </w:p>
        </w:tc>
      </w:tr>
      <w:tr>
        <w:tc>
          <w:tcPr>
            <w:tcW w:type="dxa" w:w="1584"/>
          </w:tcPr>
          <w:p>
            <w:pPr>
              <w:spacing w:after="40"/>
            </w:pPr>
            <w:r/>
            <w:r>
              <w:rPr>
                <w:b/>
                <w:sz w:val="18"/>
              </w:rPr>
              <w:t>Sales</w:t>
            </w:r>
          </w:p>
        </w:tc>
        <w:tc>
          <w:tcPr>
            <w:tcW w:type="dxa" w:w="7344"/>
          </w:tcPr>
          <w:p>
            <w:pPr>
              <w:spacing w:after="40"/>
            </w:pPr>
            <w:r/>
            <w:r>
              <w:rPr>
                <w:sz w:val="18"/>
              </w:rPr>
              <w:t>Quotes and invoices; purchase costs and margins stay hidden</w:t>
            </w:r>
          </w:p>
        </w:tc>
      </w:tr>
      <w:tr>
        <w:tc>
          <w:tcPr>
            <w:tcW w:type="dxa" w:w="1584"/>
            <w:shd w:val="clear" w:fill="F3F6FB"/>
          </w:tcPr>
          <w:p>
            <w:pPr>
              <w:spacing w:after="40"/>
            </w:pPr>
            <w:r/>
            <w:r>
              <w:rPr>
                <w:b/>
                <w:sz w:val="18"/>
              </w:rPr>
              <w:t>Staff</w:t>
            </w:r>
          </w:p>
        </w:tc>
        <w:tc>
          <w:tcPr>
            <w:tcW w:type="dxa" w:w="7344"/>
            <w:shd w:val="clear" w:fill="F3F6FB"/>
          </w:tcPr>
          <w:p>
            <w:pPr>
              <w:spacing w:after="40"/>
            </w:pPr>
            <w:r/>
            <w:r>
              <w:rPr>
                <w:sz w:val="18"/>
              </w:rPr>
              <w:t>Create in sales and purchases; no approval or void</w:t>
            </w:r>
          </w:p>
        </w:tc>
      </w:tr>
      <w:tr>
        <w:tc>
          <w:tcPr>
            <w:tcW w:type="dxa" w:w="1584"/>
          </w:tcPr>
          <w:p>
            <w:pPr>
              <w:spacing w:after="40"/>
            </w:pPr>
            <w:r/>
            <w:r>
              <w:rPr>
                <w:b/>
                <w:sz w:val="18"/>
              </w:rPr>
              <w:t>Viewer</w:t>
            </w:r>
          </w:p>
        </w:tc>
        <w:tc>
          <w:tcPr>
            <w:tcW w:type="dxa" w:w="7344"/>
          </w:tcPr>
          <w:p>
            <w:pPr>
              <w:spacing w:after="40"/>
            </w:pPr>
            <w:r/>
            <w:r>
              <w:rPr>
                <w:sz w:val="18"/>
              </w:rPr>
              <w:t>Read-only across the book — for auditors</w:t>
            </w:r>
          </w:p>
        </w:tc>
      </w:tr>
    </w:tbl>
    <w:p>
      <w:pPr>
        <w:spacing w:after="80"/>
      </w:pPr>
    </w:p>
    <w:p>
      <w:r>
        <w:rPr>
          <w:b w:val="0"/>
          <w:i w:val="0"/>
        </w:rPr>
        <w:t>One permission matrix is shared by the interface and the API. The interface uses it to decide what to render; the route handler uses it to decide whether to answer. Keeping one copy means the two cannot drift apart about what a role may do.</w:t>
      </w:r>
    </w:p>
    <w:p>
      <w:pPr>
        <w:pStyle w:val="Heading2"/>
      </w:pPr>
      <w:r>
        <w:t>10.3  The audit trail</w:t>
      </w:r>
    </w:p>
    <w:p>
      <w:r>
        <w:rPr>
          <w:b w:val="0"/>
          <w:i w:val="0"/>
        </w:rPr>
        <w:t>Every create, change, approval, void, sign-in, import and export is recorded with the actor, the time to the millisecond, the target, the IP address and the user agent. The module has an insert path and no update or delete path anywhere in the codebase, and there is no setting that turns it off — because Rule 11(g) does not permit one.</w:t>
      </w:r>
    </w:p>
    <w:p>
      <w:r>
        <w:br w:type="page"/>
      </w:r>
    </w:p>
    <w:p>
      <w:pPr>
        <w:pStyle w:val="Heading1"/>
      </w:pPr>
      <w:r>
        <w:t>11. Organisations and the demo book</w:t>
      </w:r>
    </w:p>
    <w:p>
      <w:pPr>
        <w:pStyle w:val="Heading2"/>
      </w:pPr>
      <w:r>
        <w:t>11.1  Sign-up</w:t>
      </w:r>
    </w:p>
    <w:p>
      <w:r>
        <w:rPr>
          <w:b w:val="0"/>
          <w:i w:val="0"/>
        </w:rPr>
        <w:t>Anyone can create an organisation from the public site. It is created together with its first GST registration and its owner inside a single transaction, and the owner is signed in immediately.</w:t>
      </w:r>
    </w:p>
    <w:p>
      <w:r>
        <w:rPr>
          <w:b w:val="0"/>
          <w:i w:val="0"/>
        </w:rPr>
        <w:t>A new book gets the standard chart of accounts, a Cash in Hand account so the first receipt can be recorded before any bank is connected, and numbering that starts at one for the current financial year. Nothing else — no sample customers, no demo invoices. A book that starts with somebody else’s data is not your book, and the first person to notice is the auditor.</w:t>
      </w:r>
    </w:p>
    <w:p>
      <w:r>
        <w:rPr>
          <w:b w:val="0"/>
          <w:i w:val="0"/>
        </w:rPr>
        <w:t>If a GSTIN is given it is checked against its own check digit and against the state chosen, because a mismatch between the two would put CGST+SGST where IGST belongs on every invoice that business ever raises. A business with no GSTIN is recorded as unregistered rather than being refused, since plenty trade below the registration threshold.</w:t>
      </w:r>
    </w:p>
    <w:p>
      <w:pPr>
        <w:pStyle w:val="Heading2"/>
      </w:pPr>
      <w:r>
        <w:t>11.2  The demo book</w:t>
      </w:r>
    </w:p>
    <w:p>
      <w:r>
        <w:rPr>
          <w:b w:val="0"/>
          <w:i w:val="0"/>
        </w:rPr>
        <w:t>The demo organisation is a real row carrying an is_demo flag, and that flag is the whole mechanism:</w:t>
      </w:r>
    </w:p>
    <w:p>
      <w:pPr>
        <w:pStyle w:val="ListBullet"/>
        <w:spacing w:after="60"/>
        <w:ind w:left="360"/>
      </w:pPr>
      <w:r>
        <w:t>The one-click door on the sign-in page can only ever open onto an organisation with it set. It takes no input that names an organisation, so it cannot be pointed at a customer ledger.</w:t>
      </w:r>
    </w:p>
    <w:p>
      <w:pPr>
        <w:pStyle w:val="ListBullet"/>
        <w:spacing w:after="60"/>
        <w:ind w:left="360"/>
      </w:pPr>
      <w:r>
        <w:t>The banner reading "Demo book · nothing here is filed with any portal" appears only where it is set. On a real book that space stays empty, because a permanent demo label over somebody’s actual ledger teaches them to distrust what the screen says.</w:t>
      </w:r>
    </w:p>
    <w:p>
      <w:pPr>
        <w:pStyle w:val="ListBullet"/>
        <w:spacing w:after="60"/>
        <w:ind w:left="360"/>
      </w:pPr>
      <w:r>
        <w:t>The seed script’s rebuild deletes only organisations with it set, scoped by org_id, so a customer ledger is never in range.</w:t>
      </w:r>
    </w:p>
    <w:p>
      <w:r>
        <w:rPr>
          <w:b w:val="0"/>
          <w:i w:val="0"/>
        </w:rPr>
        <w:t>Nothing that comes through the sign-up form can set the flag. It defaults to off, which is the safe direction for a default to fail in.</w:t>
      </w:r>
    </w:p>
    <w:p>
      <w:pPr>
        <w:pStyle w:val="Heading1"/>
      </w:pPr>
      <w:r>
        <w:t>12. Brand and public site</w:t>
      </w:r>
    </w:p>
    <w:p>
      <w:pPr>
        <w:pStyle w:val="Heading2"/>
      </w:pPr>
      <w:r>
        <w:t>12.1  Identity</w:t>
      </w:r>
    </w:p>
    <w:p>
      <w:r>
        <w:rPr>
          <w:b w:val="0"/>
          <w:i w:val="0"/>
        </w:rPr>
        <w:t>One module holds the name, the tagline and the artwork, so they cannot drift apart between the sidebar, the sign-in screen, the landing page and the page metadata. Every image is derived from one master file by a script, including the dark-theme variants — which are made by repainting the navy rather than filtering the whole image, because a filter would take the teal and blue of the glyph with it.</w:t>
      </w:r>
    </w:p>
    <w:tbl>
      <w:tblPr>
        <w:tblStyle w:val="TableGrid"/>
        <w:tblW w:type="auto" w:w="0"/>
        <w:jc w:val="center"/>
        <w:tblLook w:firstColumn="1" w:firstRow="1" w:lastColumn="0" w:lastRow="0" w:noHBand="0" w:noVBand="1" w:val="04A0"/>
      </w:tblPr>
      <w:tblGrid>
        <w:gridCol w:w="4680"/>
        <w:gridCol w:w="4680"/>
      </w:tblGrid>
      <w:tr>
        <w:tc>
          <w:tcPr>
            <w:tcW w:type="dxa" w:w="2016"/>
            <w:shd w:val="clear" w:fill="002F6E"/>
          </w:tcPr>
          <w:p>
            <w:pPr>
              <w:spacing w:after="40"/>
            </w:pPr>
            <w:r/>
            <w:r>
              <w:rPr>
                <w:b/>
                <w:color w:val="FFFFFF"/>
                <w:sz w:val="18"/>
              </w:rPr>
              <w:t>Element</w:t>
            </w:r>
          </w:p>
        </w:tc>
        <w:tc>
          <w:tcPr>
            <w:tcW w:type="dxa" w:w="6912"/>
            <w:shd w:val="clear" w:fill="002F6E"/>
          </w:tcPr>
          <w:p>
            <w:pPr>
              <w:spacing w:after="40"/>
            </w:pPr>
            <w:r/>
            <w:r>
              <w:rPr>
                <w:b/>
                <w:color w:val="FFFFFF"/>
                <w:sz w:val="18"/>
              </w:rPr>
              <w:t>Value</w:t>
            </w:r>
          </w:p>
        </w:tc>
      </w:tr>
      <w:tr>
        <w:tc>
          <w:tcPr>
            <w:tcW w:type="dxa" w:w="2016"/>
          </w:tcPr>
          <w:p>
            <w:pPr>
              <w:spacing w:after="40"/>
            </w:pPr>
            <w:r/>
            <w:r>
              <w:rPr>
                <w:b/>
                <w:sz w:val="18"/>
              </w:rPr>
              <w:t>Name</w:t>
            </w:r>
          </w:p>
        </w:tc>
        <w:tc>
          <w:tcPr>
            <w:tcW w:type="dxa" w:w="6912"/>
          </w:tcPr>
          <w:p>
            <w:pPr>
              <w:spacing w:after="40"/>
            </w:pPr>
            <w:r/>
            <w:r>
              <w:rPr>
                <w:sz w:val="18"/>
              </w:rPr>
              <w:t>REKONZA AI</w:t>
            </w:r>
          </w:p>
        </w:tc>
      </w:tr>
      <w:tr>
        <w:tc>
          <w:tcPr>
            <w:tcW w:type="dxa" w:w="2016"/>
            <w:shd w:val="clear" w:fill="F3F6FB"/>
          </w:tcPr>
          <w:p>
            <w:pPr>
              <w:spacing w:after="40"/>
            </w:pPr>
            <w:r/>
            <w:r>
              <w:rPr>
                <w:b/>
                <w:sz w:val="18"/>
              </w:rPr>
              <w:t>Tagline</w:t>
            </w:r>
          </w:p>
        </w:tc>
        <w:tc>
          <w:tcPr>
            <w:tcW w:type="dxa" w:w="6912"/>
            <w:shd w:val="clear" w:fill="F3F6FB"/>
          </w:tcPr>
          <w:p>
            <w:pPr>
              <w:spacing w:after="40"/>
            </w:pPr>
            <w:r/>
            <w:r>
              <w:rPr>
                <w:sz w:val="18"/>
              </w:rPr>
              <w:t>Books. Made Smarter.</w:t>
            </w:r>
          </w:p>
        </w:tc>
      </w:tr>
      <w:tr>
        <w:tc>
          <w:tcPr>
            <w:tcW w:type="dxa" w:w="2016"/>
          </w:tcPr>
          <w:p>
            <w:pPr>
              <w:spacing w:after="40"/>
            </w:pPr>
            <w:r/>
            <w:r>
              <w:rPr>
                <w:b/>
                <w:sz w:val="18"/>
              </w:rPr>
              <w:t>Navy</w:t>
            </w:r>
          </w:p>
        </w:tc>
        <w:tc>
          <w:tcPr>
            <w:tcW w:type="dxa" w:w="6912"/>
          </w:tcPr>
          <w:p>
            <w:pPr>
              <w:spacing w:after="40"/>
            </w:pPr>
            <w:r/>
            <w:r>
              <w:rPr>
                <w:sz w:val="18"/>
              </w:rPr>
              <w:t>#002F6E</w:t>
            </w:r>
          </w:p>
        </w:tc>
      </w:tr>
      <w:tr>
        <w:tc>
          <w:tcPr>
            <w:tcW w:type="dxa" w:w="2016"/>
            <w:shd w:val="clear" w:fill="F3F6FB"/>
          </w:tcPr>
          <w:p>
            <w:pPr>
              <w:spacing w:after="40"/>
            </w:pPr>
            <w:r/>
            <w:r>
              <w:rPr>
                <w:b/>
                <w:sz w:val="18"/>
              </w:rPr>
              <w:t>Blue</w:t>
            </w:r>
          </w:p>
        </w:tc>
        <w:tc>
          <w:tcPr>
            <w:tcW w:type="dxa" w:w="6912"/>
            <w:shd w:val="clear" w:fill="F3F6FB"/>
          </w:tcPr>
          <w:p>
            <w:pPr>
              <w:spacing w:after="40"/>
            </w:pPr>
            <w:r/>
            <w:r>
              <w:rPr>
                <w:sz w:val="18"/>
              </w:rPr>
              <w:t>#0A7CFF</w:t>
            </w:r>
          </w:p>
        </w:tc>
      </w:tr>
      <w:tr>
        <w:tc>
          <w:tcPr>
            <w:tcW w:type="dxa" w:w="2016"/>
          </w:tcPr>
          <w:p>
            <w:pPr>
              <w:spacing w:after="40"/>
            </w:pPr>
            <w:r/>
            <w:r>
              <w:rPr>
                <w:b/>
                <w:sz w:val="18"/>
              </w:rPr>
              <w:t>Teal</w:t>
            </w:r>
          </w:p>
        </w:tc>
        <w:tc>
          <w:tcPr>
            <w:tcW w:type="dxa" w:w="6912"/>
          </w:tcPr>
          <w:p>
            <w:pPr>
              <w:spacing w:after="40"/>
            </w:pPr>
            <w:r/>
            <w:r>
              <w:rPr>
                <w:sz w:val="18"/>
              </w:rPr>
              <w:t>#00CFC0</w:t>
            </w:r>
          </w:p>
        </w:tc>
      </w:tr>
      <w:tr>
        <w:tc>
          <w:tcPr>
            <w:tcW w:type="dxa" w:w="2016"/>
            <w:shd w:val="clear" w:fill="F3F6FB"/>
          </w:tcPr>
          <w:p>
            <w:pPr>
              <w:spacing w:after="40"/>
            </w:pPr>
            <w:r/>
            <w:r>
              <w:rPr>
                <w:b/>
                <w:sz w:val="18"/>
              </w:rPr>
              <w:t>Typeface</w:t>
            </w:r>
          </w:p>
        </w:tc>
        <w:tc>
          <w:tcPr>
            <w:tcW w:type="dxa" w:w="6912"/>
            <w:shd w:val="clear" w:fill="F3F6FB"/>
          </w:tcPr>
          <w:p>
            <w:pPr>
              <w:spacing w:after="40"/>
            </w:pPr>
            <w:r/>
            <w:r>
              <w:rPr>
                <w:sz w:val="18"/>
              </w:rPr>
              <w:t>IBM Plex Sans, with IBM Plex Mono for figures and codes</w:t>
            </w:r>
          </w:p>
        </w:tc>
      </w:tr>
    </w:tbl>
    <w:p>
      <w:pPr>
        <w:spacing w:after="80"/>
      </w:pPr>
    </w:p>
    <w:p>
      <w:pPr>
        <w:pStyle w:val="Heading2"/>
      </w:pPr>
      <w:r>
        <w:t>12.2  The public site</w:t>
      </w:r>
    </w:p>
    <w:p>
      <w:r>
        <w:rPr>
          <w:b w:val="0"/>
          <w:i w:val="0"/>
        </w:rPr>
        <w:t>The landing page is a static server component with no session read, so it renders immediately for a visitor and for a crawler. It carries the product claims the code can stand behind, a real screenshot of the application in both themes, and a plain statement of what is not connected — an accounting product that oversells on its landing page has already told its first lie.</w:t>
      </w:r>
    </w:p>
    <w:p>
      <w:r>
        <w:rPr>
          <w:b w:val="0"/>
          <w:i w:val="0"/>
        </w:rPr>
        <w:t>Search visibility is complete: canonical URLs, an Open Graph card, a Twitter card, robots.txt excluding every authenticated route, a sitemap, a web app manifest, and JSON-LD describing the organisation, the site and the software. The sign-in and sign-up pages carry their own titles so no two indexed pages share one.</w:t>
      </w:r>
    </w:p>
    <w:p>
      <w:r>
        <w:br w:type="page"/>
      </w:r>
    </w:p>
    <w:p>
      <w:pPr>
        <w:pStyle w:val="Heading1"/>
      </w:pPr>
      <w:r>
        <w:t>13. Accounting-system integrations</w:t>
      </w:r>
    </w:p>
    <w:p>
      <w:r>
        <w:rPr>
          <w:b w:val="0"/>
          <w:i w:val="0"/>
        </w:rPr>
        <w:t>Very few businesses replace their accounting system in one step. Most run a new one alongside the incumbent for a year, and their accountant or auditor keeps working in whatever they already know. An integration that hands over a period cleanly is therefore not a convenience — it is what makes adoption possible at all.</w:t>
      </w:r>
    </w:p>
    <w:p>
      <w:r>
        <w:rPr>
          <w:b w:val="0"/>
          <w:i w:val="0"/>
        </w:rPr>
        <w:t>Each market has a different incumbent: Tally across India, QuickBooks and Xero across the English-speaking markets, DATEV in Germany, and others besides. They differ in their wire formats and in how they are reached, but the problem is the same one every time — map our parties, accounts and vouchers onto theirs, transfer a closed period, and prove the two ledgers agree afterwards. Tally is described here in full because it is the first to be built and because it is the hardest of them: it is desktop software, which the others are not. The rules in 13.4 are written to outlast it.</w:t>
      </w:r>
    </w:p>
    <w:tbl>
      <w:tblPr>
        <w:tblStyle w:val="TableGrid"/>
        <w:tblW w:type="auto" w:w="0"/>
        <w:tblLook w:firstColumn="1" w:firstRow="1" w:lastColumn="0" w:lastRow="0" w:noHBand="0" w:noVBand="1" w:val="04A0"/>
      </w:tblPr>
      <w:tblGrid>
        <w:gridCol w:w="9360"/>
      </w:tblGrid>
      <w:tr>
        <w:tc>
          <w:tcPr>
            <w:tcW w:type="dxa" w:w="9360"/>
            <w:shd w:val="clear" w:fill="FFF6E5"/>
          </w:tcPr>
          <w:p>
            <w:pPr>
              <w:spacing w:after="40"/>
            </w:pPr>
            <w:r/>
            <w:r>
              <w:rPr>
                <w:b/>
                <w:sz w:val="19"/>
              </w:rPr>
              <w:t>Status: planned, not built</w:t>
            </w:r>
          </w:p>
          <w:p>
            <w:pPr>
              <w:spacing w:after="20"/>
            </w:pPr>
            <w:r>
              <w:rPr>
                <w:sz w:val="19"/>
              </w:rPr>
              <w:t>No Tally code exists in the current build. This section records the design intent and the mapping so that the data model can be checked against it now, while changing the model is still cheap. Nothing in this section should be read as a description of working software.</w:t>
            </w:r>
          </w:p>
        </w:tc>
      </w:tr>
    </w:tbl>
    <w:p>
      <w:pPr>
        <w:spacing w:after="80"/>
      </w:pPr>
    </w:p>
    <w:p>
      <w:pPr>
        <w:pStyle w:val="Heading2"/>
      </w:pPr>
      <w:r>
        <w:t>13.1  Why Tally comes first</w:t>
      </w:r>
    </w:p>
    <w:p>
      <w:r>
        <w:rPr>
          <w:b w:val="0"/>
          <w:i w:val="0"/>
        </w:rPr>
        <w:t>Tally is where most accountants and auditors in the Indian market already work, and India is the jurisdiction the product implements today. A business running REKONZA AI day to day will still be asked for a Tally company by its chartered accountant at year end, and re-keying a year of vouchers is both expensive and a source of differences nobody can explain. The integration exists to make that hand-off a transfer rather than a transcription.</w:t>
      </w:r>
    </w:p>
    <w:p>
      <w:pPr>
        <w:pStyle w:val="Heading2"/>
      </w:pPr>
      <w:r>
        <w:t>13.2  Shape of the integration</w:t>
      </w:r>
    </w:p>
    <w:p>
      <w:r>
        <w:rPr>
          <w:b w:val="0"/>
          <w:i w:val="0"/>
        </w:rPr>
        <w:t>Tally Prime is desktop software. It exposes an XML request-response interface over HTTP on the local machine — port 9000 by default — which is reachable from the same network but not from a hosted application. The integration therefore needs a small local agent installed alongside Tally: it authenticates outward to REKONZA AI, pulls what is due to be sent, and posts it into Tally over that local interface. No inbound port is opened on the customer network.</w:t>
      </w:r>
    </w:p>
    <w:p>
      <w:pPr>
        <w:spacing w:before="80" w:after="160"/>
        <w:ind w:left="432"/>
      </w:pPr>
      <w:r>
        <w:rPr>
          <w:rFonts w:ascii="Consolas" w:hAnsi="Consolas"/>
          <w:sz w:val="18"/>
        </w:rPr>
        <w:t>REKONZA AI (hosted)        Bridge agent (customer PC)        Tally Prime</w:t>
        <w:br/>
        <w:t xml:space="preserve">  export queue      ──▶      polls, authenticates      ──▶     XML on :9000</w:t>
        <w:br/>
        <w:t xml:space="preserve">  status per record ◀──      reports success/failure   ◀──     voucher GUID</w:t>
      </w:r>
    </w:p>
    <w:p>
      <w:pPr>
        <w:pStyle w:val="Heading2"/>
      </w:pPr>
      <w:r>
        <w:t>13.3  What maps to what</w:t>
      </w:r>
    </w:p>
    <w:p>
      <w:r>
        <w:rPr>
          <w:b w:val="0"/>
          <w:i w:val="0"/>
        </w:rPr>
        <w:t>The mapping is direct because both systems are double-entry underneath. The one real difference is that Tally models a party as a ledger account under a group, where this system holds the party in a master table and posts to a single control account with the party on the line. That is the translation the bridge performs, and it is why section 5 matters here.</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fill="002F6E"/>
          </w:tcPr>
          <w:p>
            <w:pPr>
              <w:spacing w:after="40"/>
            </w:pPr>
            <w:r/>
            <w:r>
              <w:rPr>
                <w:b/>
                <w:color w:val="FFFFFF"/>
                <w:sz w:val="17"/>
              </w:rPr>
              <w:t>REKONZA AI</w:t>
            </w:r>
          </w:p>
        </w:tc>
        <w:tc>
          <w:tcPr>
            <w:tcW w:type="dxa" w:w="2448"/>
            <w:shd w:val="clear" w:fill="002F6E"/>
          </w:tcPr>
          <w:p>
            <w:pPr>
              <w:spacing w:after="40"/>
            </w:pPr>
            <w:r/>
            <w:r>
              <w:rPr>
                <w:b/>
                <w:color w:val="FFFFFF"/>
                <w:sz w:val="17"/>
              </w:rPr>
              <w:t>Tally</w:t>
            </w:r>
          </w:p>
        </w:tc>
        <w:tc>
          <w:tcPr>
            <w:tcW w:type="dxa" w:w="4032"/>
            <w:shd w:val="clear" w:fill="002F6E"/>
          </w:tcPr>
          <w:p>
            <w:pPr>
              <w:spacing w:after="40"/>
            </w:pPr>
            <w:r/>
            <w:r>
              <w:rPr>
                <w:b/>
                <w:color w:val="FFFFFF"/>
                <w:sz w:val="17"/>
              </w:rPr>
              <w:t>Notes</w:t>
            </w:r>
          </w:p>
        </w:tc>
      </w:tr>
      <w:tr>
        <w:tc>
          <w:tcPr>
            <w:tcW w:type="dxa" w:w="2448"/>
          </w:tcPr>
          <w:p>
            <w:pPr>
              <w:spacing w:after="40"/>
            </w:pPr>
            <w:r/>
            <w:r>
              <w:rPr>
                <w:b/>
                <w:sz w:val="17"/>
              </w:rPr>
              <w:t>Organisation</w:t>
            </w:r>
          </w:p>
        </w:tc>
        <w:tc>
          <w:tcPr>
            <w:tcW w:type="dxa" w:w="2448"/>
          </w:tcPr>
          <w:p>
            <w:pPr>
              <w:spacing w:after="40"/>
            </w:pPr>
            <w:r/>
            <w:r>
              <w:rPr>
                <w:sz w:val="17"/>
              </w:rPr>
              <w:t>Company</w:t>
            </w:r>
          </w:p>
        </w:tc>
        <w:tc>
          <w:tcPr>
            <w:tcW w:type="dxa" w:w="4032"/>
          </w:tcPr>
          <w:p>
            <w:pPr>
              <w:spacing w:after="40"/>
            </w:pPr>
            <w:r/>
            <w:r>
              <w:rPr>
                <w:sz w:val="17"/>
              </w:rPr>
              <w:t>One company per organisation and financial year</w:t>
            </w:r>
          </w:p>
        </w:tc>
      </w:tr>
      <w:tr>
        <w:tc>
          <w:tcPr>
            <w:tcW w:type="dxa" w:w="2448"/>
            <w:shd w:val="clear" w:fill="F3F6FB"/>
          </w:tcPr>
          <w:p>
            <w:pPr>
              <w:spacing w:after="40"/>
            </w:pPr>
            <w:r/>
            <w:r>
              <w:rPr>
                <w:b/>
                <w:sz w:val="17"/>
              </w:rPr>
              <w:t>Tax registration</w:t>
            </w:r>
          </w:p>
        </w:tc>
        <w:tc>
          <w:tcPr>
            <w:tcW w:type="dxa" w:w="2448"/>
            <w:shd w:val="clear" w:fill="F3F6FB"/>
          </w:tcPr>
          <w:p>
            <w:pPr>
              <w:spacing w:after="40"/>
            </w:pPr>
            <w:r/>
            <w:r>
              <w:rPr>
                <w:sz w:val="17"/>
              </w:rPr>
              <w:t>Godown or cost centre</w:t>
            </w:r>
          </w:p>
        </w:tc>
        <w:tc>
          <w:tcPr>
            <w:tcW w:type="dxa" w:w="4032"/>
            <w:shd w:val="clear" w:fill="F3F6FB"/>
          </w:tcPr>
          <w:p>
            <w:pPr>
              <w:spacing w:after="40"/>
            </w:pPr>
            <w:r/>
            <w:r>
              <w:rPr>
                <w:sz w:val="17"/>
              </w:rPr>
              <w:t>Tally keeps one registration per company, so several need one company each</w:t>
            </w:r>
          </w:p>
        </w:tc>
      </w:tr>
      <w:tr>
        <w:tc>
          <w:tcPr>
            <w:tcW w:type="dxa" w:w="2448"/>
          </w:tcPr>
          <w:p>
            <w:pPr>
              <w:spacing w:after="40"/>
            </w:pPr>
            <w:r/>
            <w:r>
              <w:rPr>
                <w:b/>
                <w:sz w:val="17"/>
              </w:rPr>
              <w:t>Contact, kind = customer</w:t>
            </w:r>
          </w:p>
        </w:tc>
        <w:tc>
          <w:tcPr>
            <w:tcW w:type="dxa" w:w="2448"/>
          </w:tcPr>
          <w:p>
            <w:pPr>
              <w:spacing w:after="40"/>
            </w:pPr>
            <w:r/>
            <w:r>
              <w:rPr>
                <w:sz w:val="17"/>
              </w:rPr>
              <w:t>Ledger under Sundry Debtors</w:t>
            </w:r>
          </w:p>
        </w:tc>
        <w:tc>
          <w:tcPr>
            <w:tcW w:type="dxa" w:w="4032"/>
          </w:tcPr>
          <w:p>
            <w:pPr>
              <w:spacing w:after="40"/>
            </w:pPr>
            <w:r/>
            <w:r>
              <w:rPr>
                <w:sz w:val="17"/>
              </w:rPr>
              <w:t>GSTIN, state and registration type carried across</w:t>
            </w:r>
          </w:p>
        </w:tc>
      </w:tr>
      <w:tr>
        <w:tc>
          <w:tcPr>
            <w:tcW w:type="dxa" w:w="2448"/>
            <w:shd w:val="clear" w:fill="F3F6FB"/>
          </w:tcPr>
          <w:p>
            <w:pPr>
              <w:spacing w:after="40"/>
            </w:pPr>
            <w:r/>
            <w:r>
              <w:rPr>
                <w:b/>
                <w:sz w:val="17"/>
              </w:rPr>
              <w:t>Contact, kind = vendor</w:t>
            </w:r>
          </w:p>
        </w:tc>
        <w:tc>
          <w:tcPr>
            <w:tcW w:type="dxa" w:w="2448"/>
            <w:shd w:val="clear" w:fill="F3F6FB"/>
          </w:tcPr>
          <w:p>
            <w:pPr>
              <w:spacing w:after="40"/>
            </w:pPr>
            <w:r/>
            <w:r>
              <w:rPr>
                <w:sz w:val="17"/>
              </w:rPr>
              <w:t>Ledger under Sundry Creditors</w:t>
            </w:r>
          </w:p>
        </w:tc>
        <w:tc>
          <w:tcPr>
            <w:tcW w:type="dxa" w:w="4032"/>
            <w:shd w:val="clear" w:fill="F3F6FB"/>
          </w:tcPr>
          <w:p>
            <w:pPr>
              <w:spacing w:after="40"/>
            </w:pPr>
            <w:r/>
            <w:r>
              <w:rPr>
                <w:sz w:val="17"/>
              </w:rPr>
              <w:t>A party that is both becomes two ledgers, which is Tally’s own convention</w:t>
            </w:r>
          </w:p>
        </w:tc>
      </w:tr>
      <w:tr>
        <w:tc>
          <w:tcPr>
            <w:tcW w:type="dxa" w:w="2448"/>
          </w:tcPr>
          <w:p>
            <w:pPr>
              <w:spacing w:after="40"/>
            </w:pPr>
            <w:r/>
            <w:r>
              <w:rPr>
                <w:b/>
                <w:sz w:val="17"/>
              </w:rPr>
              <w:t>Account (chart of accounts)</w:t>
            </w:r>
          </w:p>
        </w:tc>
        <w:tc>
          <w:tcPr>
            <w:tcW w:type="dxa" w:w="2448"/>
          </w:tcPr>
          <w:p>
            <w:pPr>
              <w:spacing w:after="40"/>
            </w:pPr>
            <w:r/>
            <w:r>
              <w:rPr>
                <w:sz w:val="17"/>
              </w:rPr>
              <w:t>Ledger under the matching group</w:t>
            </w:r>
          </w:p>
        </w:tc>
        <w:tc>
          <w:tcPr>
            <w:tcW w:type="dxa" w:w="4032"/>
          </w:tcPr>
          <w:p>
            <w:pPr>
              <w:spacing w:after="40"/>
            </w:pPr>
            <w:r/>
            <w:r>
              <w:rPr>
                <w:sz w:val="17"/>
              </w:rPr>
              <w:t>Fixed mapping table; the standard chart maps one-to-one</w:t>
            </w:r>
          </w:p>
        </w:tc>
      </w:tr>
      <w:tr>
        <w:tc>
          <w:tcPr>
            <w:tcW w:type="dxa" w:w="2448"/>
            <w:shd w:val="clear" w:fill="F3F6FB"/>
          </w:tcPr>
          <w:p>
            <w:pPr>
              <w:spacing w:after="40"/>
            </w:pPr>
            <w:r/>
            <w:r>
              <w:rPr>
                <w:b/>
                <w:sz w:val="17"/>
              </w:rPr>
              <w:t>Item</w:t>
            </w:r>
          </w:p>
        </w:tc>
        <w:tc>
          <w:tcPr>
            <w:tcW w:type="dxa" w:w="2448"/>
            <w:shd w:val="clear" w:fill="F3F6FB"/>
          </w:tcPr>
          <w:p>
            <w:pPr>
              <w:spacing w:after="40"/>
            </w:pPr>
            <w:r/>
            <w:r>
              <w:rPr>
                <w:sz w:val="17"/>
              </w:rPr>
              <w:t>Stock Item</w:t>
            </w:r>
          </w:p>
        </w:tc>
        <w:tc>
          <w:tcPr>
            <w:tcW w:type="dxa" w:w="4032"/>
            <w:shd w:val="clear" w:fill="F3F6FB"/>
          </w:tcPr>
          <w:p>
            <w:pPr>
              <w:spacing w:after="40"/>
            </w:pPr>
            <w:r/>
            <w:r>
              <w:rPr>
                <w:sz w:val="17"/>
              </w:rPr>
              <w:t>With unit, HSN and GST rate</w:t>
            </w:r>
          </w:p>
        </w:tc>
      </w:tr>
      <w:tr>
        <w:tc>
          <w:tcPr>
            <w:tcW w:type="dxa" w:w="2448"/>
          </w:tcPr>
          <w:p>
            <w:pPr>
              <w:spacing w:after="40"/>
            </w:pPr>
            <w:r/>
            <w:r>
              <w:rPr>
                <w:b/>
                <w:sz w:val="17"/>
              </w:rPr>
              <w:t>HSN / SAC code</w:t>
            </w:r>
          </w:p>
        </w:tc>
        <w:tc>
          <w:tcPr>
            <w:tcW w:type="dxa" w:w="2448"/>
          </w:tcPr>
          <w:p>
            <w:pPr>
              <w:spacing w:after="40"/>
            </w:pPr>
            <w:r/>
            <w:r>
              <w:rPr>
                <w:sz w:val="17"/>
              </w:rPr>
              <w:t>GST classification</w:t>
            </w:r>
          </w:p>
        </w:tc>
        <w:tc>
          <w:tcPr>
            <w:tcW w:type="dxa" w:w="4032"/>
          </w:tcPr>
          <w:p>
            <w:pPr>
              <w:spacing w:after="40"/>
            </w:pPr>
            <w:r/>
            <w:r>
              <w:rPr>
                <w:sz w:val="17"/>
              </w:rPr>
              <w:t>Only approved codes are ever sent</w:t>
            </w:r>
          </w:p>
        </w:tc>
      </w:tr>
      <w:tr>
        <w:tc>
          <w:tcPr>
            <w:tcW w:type="dxa" w:w="2448"/>
            <w:shd w:val="clear" w:fill="F3F6FB"/>
          </w:tcPr>
          <w:p>
            <w:pPr>
              <w:spacing w:after="40"/>
            </w:pPr>
            <w:r/>
            <w:r>
              <w:rPr>
                <w:b/>
                <w:sz w:val="17"/>
              </w:rPr>
              <w:t>Invoice</w:t>
            </w:r>
          </w:p>
        </w:tc>
        <w:tc>
          <w:tcPr>
            <w:tcW w:type="dxa" w:w="2448"/>
            <w:shd w:val="clear" w:fill="F3F6FB"/>
          </w:tcPr>
          <w:p>
            <w:pPr>
              <w:spacing w:after="40"/>
            </w:pPr>
            <w:r/>
            <w:r>
              <w:rPr>
                <w:sz w:val="17"/>
              </w:rPr>
              <w:t>Sales voucher</w:t>
            </w:r>
          </w:p>
        </w:tc>
        <w:tc>
          <w:tcPr>
            <w:tcW w:type="dxa" w:w="4032"/>
            <w:shd w:val="clear" w:fill="F3F6FB"/>
          </w:tcPr>
          <w:p>
            <w:pPr>
              <w:spacing w:after="40"/>
            </w:pPr>
            <w:r/>
            <w:r>
              <w:rPr>
                <w:sz w:val="17"/>
              </w:rPr>
              <w:t>With GST analysis per line</w:t>
            </w:r>
          </w:p>
        </w:tc>
      </w:tr>
      <w:tr>
        <w:tc>
          <w:tcPr>
            <w:tcW w:type="dxa" w:w="2448"/>
          </w:tcPr>
          <w:p>
            <w:pPr>
              <w:spacing w:after="40"/>
            </w:pPr>
            <w:r/>
            <w:r>
              <w:rPr>
                <w:b/>
                <w:sz w:val="17"/>
              </w:rPr>
              <w:t>Bill</w:t>
            </w:r>
          </w:p>
        </w:tc>
        <w:tc>
          <w:tcPr>
            <w:tcW w:type="dxa" w:w="2448"/>
          </w:tcPr>
          <w:p>
            <w:pPr>
              <w:spacing w:after="40"/>
            </w:pPr>
            <w:r/>
            <w:r>
              <w:rPr>
                <w:sz w:val="17"/>
              </w:rPr>
              <w:t>Purchase voucher</w:t>
            </w:r>
          </w:p>
        </w:tc>
        <w:tc>
          <w:tcPr>
            <w:tcW w:type="dxa" w:w="4032"/>
          </w:tcPr>
          <w:p>
            <w:pPr>
              <w:spacing w:after="40"/>
            </w:pPr>
            <w:r/>
            <w:r>
              <w:rPr>
                <w:sz w:val="17"/>
              </w:rPr>
              <w:t>Input credit eligibility carried per line</w:t>
            </w:r>
          </w:p>
        </w:tc>
      </w:tr>
      <w:tr>
        <w:tc>
          <w:tcPr>
            <w:tcW w:type="dxa" w:w="2448"/>
            <w:shd w:val="clear" w:fill="F3F6FB"/>
          </w:tcPr>
          <w:p>
            <w:pPr>
              <w:spacing w:after="40"/>
            </w:pPr>
            <w:r/>
            <w:r>
              <w:rPr>
                <w:b/>
                <w:sz w:val="17"/>
              </w:rPr>
              <w:t>Credit note / vendor credit</w:t>
            </w:r>
          </w:p>
        </w:tc>
        <w:tc>
          <w:tcPr>
            <w:tcW w:type="dxa" w:w="2448"/>
            <w:shd w:val="clear" w:fill="F3F6FB"/>
          </w:tcPr>
          <w:p>
            <w:pPr>
              <w:spacing w:after="40"/>
            </w:pPr>
            <w:r/>
            <w:r>
              <w:rPr>
                <w:sz w:val="17"/>
              </w:rPr>
              <w:t>Credit Note / Debit Note voucher</w:t>
            </w:r>
          </w:p>
        </w:tc>
        <w:tc>
          <w:tcPr>
            <w:tcW w:type="dxa" w:w="4032"/>
            <w:shd w:val="clear" w:fill="F3F6FB"/>
          </w:tcPr>
          <w:p>
            <w:pPr>
              <w:spacing w:after="40"/>
            </w:pPr>
            <w:r/>
            <w:r>
              <w:rPr>
                <w:sz w:val="17"/>
              </w:rPr>
            </w:r>
          </w:p>
        </w:tc>
      </w:tr>
      <w:tr>
        <w:tc>
          <w:tcPr>
            <w:tcW w:type="dxa" w:w="2448"/>
          </w:tcPr>
          <w:p>
            <w:pPr>
              <w:spacing w:after="40"/>
            </w:pPr>
            <w:r/>
            <w:r>
              <w:rPr>
                <w:b/>
                <w:sz w:val="17"/>
              </w:rPr>
              <w:t>Payment received</w:t>
            </w:r>
          </w:p>
        </w:tc>
        <w:tc>
          <w:tcPr>
            <w:tcW w:type="dxa" w:w="2448"/>
          </w:tcPr>
          <w:p>
            <w:pPr>
              <w:spacing w:after="40"/>
            </w:pPr>
            <w:r/>
            <w:r>
              <w:rPr>
                <w:sz w:val="17"/>
              </w:rPr>
              <w:t>Receipt voucher</w:t>
            </w:r>
          </w:p>
        </w:tc>
        <w:tc>
          <w:tcPr>
            <w:tcW w:type="dxa" w:w="4032"/>
          </w:tcPr>
          <w:p>
            <w:pPr>
              <w:spacing w:after="40"/>
            </w:pPr>
            <w:r/>
            <w:r>
              <w:rPr>
                <w:sz w:val="17"/>
              </w:rPr>
              <w:t>With bill-wise allocation</w:t>
            </w:r>
          </w:p>
        </w:tc>
      </w:tr>
      <w:tr>
        <w:tc>
          <w:tcPr>
            <w:tcW w:type="dxa" w:w="2448"/>
            <w:shd w:val="clear" w:fill="F3F6FB"/>
          </w:tcPr>
          <w:p>
            <w:pPr>
              <w:spacing w:after="40"/>
            </w:pPr>
            <w:r/>
            <w:r>
              <w:rPr>
                <w:b/>
                <w:sz w:val="17"/>
              </w:rPr>
              <w:t>Payment made</w:t>
            </w:r>
          </w:p>
        </w:tc>
        <w:tc>
          <w:tcPr>
            <w:tcW w:type="dxa" w:w="2448"/>
            <w:shd w:val="clear" w:fill="F3F6FB"/>
          </w:tcPr>
          <w:p>
            <w:pPr>
              <w:spacing w:after="40"/>
            </w:pPr>
            <w:r/>
            <w:r>
              <w:rPr>
                <w:sz w:val="17"/>
              </w:rPr>
              <w:t>Payment voucher</w:t>
            </w:r>
          </w:p>
        </w:tc>
        <w:tc>
          <w:tcPr>
            <w:tcW w:type="dxa" w:w="4032"/>
            <w:shd w:val="clear" w:fill="F3F6FB"/>
          </w:tcPr>
          <w:p>
            <w:pPr>
              <w:spacing w:after="40"/>
            </w:pPr>
            <w:r/>
            <w:r>
              <w:rPr>
                <w:sz w:val="17"/>
              </w:rPr>
              <w:t>With bill-wise allocation</w:t>
            </w:r>
          </w:p>
        </w:tc>
      </w:tr>
      <w:tr>
        <w:tc>
          <w:tcPr>
            <w:tcW w:type="dxa" w:w="2448"/>
          </w:tcPr>
          <w:p>
            <w:pPr>
              <w:spacing w:after="40"/>
            </w:pPr>
            <w:r/>
            <w:r>
              <w:rPr>
                <w:b/>
                <w:sz w:val="17"/>
              </w:rPr>
              <w:t>Manual journal</w:t>
            </w:r>
          </w:p>
        </w:tc>
        <w:tc>
          <w:tcPr>
            <w:tcW w:type="dxa" w:w="2448"/>
          </w:tcPr>
          <w:p>
            <w:pPr>
              <w:spacing w:after="40"/>
            </w:pPr>
            <w:r/>
            <w:r>
              <w:rPr>
                <w:sz w:val="17"/>
              </w:rPr>
              <w:t>Journal voucher</w:t>
            </w:r>
          </w:p>
        </w:tc>
        <w:tc>
          <w:tcPr>
            <w:tcW w:type="dxa" w:w="4032"/>
          </w:tcPr>
          <w:p>
            <w:pPr>
              <w:spacing w:after="40"/>
            </w:pPr>
            <w:r/>
            <w:r>
              <w:rPr>
                <w:sz w:val="17"/>
              </w:rPr>
            </w:r>
          </w:p>
        </w:tc>
      </w:tr>
      <w:tr>
        <w:tc>
          <w:tcPr>
            <w:tcW w:type="dxa" w:w="2448"/>
            <w:shd w:val="clear" w:fill="F3F6FB"/>
          </w:tcPr>
          <w:p>
            <w:pPr>
              <w:spacing w:after="40"/>
            </w:pPr>
            <w:r/>
            <w:r>
              <w:rPr>
                <w:b/>
                <w:sz w:val="17"/>
              </w:rPr>
              <w:t>Bank transfer</w:t>
            </w:r>
          </w:p>
        </w:tc>
        <w:tc>
          <w:tcPr>
            <w:tcW w:type="dxa" w:w="2448"/>
            <w:shd w:val="clear" w:fill="F3F6FB"/>
          </w:tcPr>
          <w:p>
            <w:pPr>
              <w:spacing w:after="40"/>
            </w:pPr>
            <w:r/>
            <w:r>
              <w:rPr>
                <w:sz w:val="17"/>
              </w:rPr>
              <w:t>Contra voucher</w:t>
            </w:r>
          </w:p>
        </w:tc>
        <w:tc>
          <w:tcPr>
            <w:tcW w:type="dxa" w:w="4032"/>
            <w:shd w:val="clear" w:fill="F3F6FB"/>
          </w:tcPr>
          <w:p>
            <w:pPr>
              <w:spacing w:after="40"/>
            </w:pPr>
            <w:r/>
            <w:r>
              <w:rPr>
                <w:sz w:val="17"/>
              </w:rPr>
            </w:r>
          </w:p>
        </w:tc>
      </w:tr>
    </w:tbl>
    <w:p>
      <w:pPr>
        <w:spacing w:after="80"/>
      </w:pPr>
    </w:p>
    <w:p>
      <w:pPr>
        <w:pStyle w:val="Heading2"/>
      </w:pPr>
      <w:r>
        <w:t>13.4  Rules the integration must hold to</w:t>
      </w:r>
    </w:p>
    <w:p>
      <w:r>
        <w:rPr>
          <w:b/>
          <w:i w:val="0"/>
        </w:rPr>
        <w:t xml:space="preserve">One direction at a time. </w:t>
      </w:r>
      <w:r>
        <w:rPr>
          <w:b w:val="0"/>
          <w:i w:val="0"/>
        </w:rPr>
        <w:t>The first release pushes from REKONZA AI into Tally and does not read back. Two systems both claiming to own the same voucher is how ledgers diverge, and a two-way sync needs a conflict rule that neither product can supply on its own.</w:t>
      </w:r>
    </w:p>
    <w:p>
      <w:r>
        <w:rPr>
          <w:b/>
          <w:i w:val="0"/>
        </w:rPr>
        <w:t xml:space="preserve">Our document number is the idempotency key. </w:t>
      </w:r>
      <w:r>
        <w:rPr>
          <w:b w:val="0"/>
          <w:i w:val="0"/>
        </w:rPr>
        <w:t>Each voucher carries the source document number, and the bridge records the Tally GUID it received. A record already exported is never sent again, so a retry after a network failure cannot produce a duplicate voucher — the failure mode that makes people abandon these integrations.</w:t>
      </w:r>
    </w:p>
    <w:p>
      <w:r>
        <w:rPr>
          <w:b/>
          <w:i w:val="0"/>
        </w:rPr>
        <w:t xml:space="preserve">Masters before vouchers. </w:t>
      </w:r>
      <w:r>
        <w:rPr>
          <w:b w:val="0"/>
          <w:i w:val="0"/>
        </w:rPr>
        <w:t>A voucher naming a ledger Tally does not have is rejected. Parties, accounts and stock items are exported and confirmed first, in dependency order.</w:t>
      </w:r>
    </w:p>
    <w:p>
      <w:r>
        <w:rPr>
          <w:b/>
          <w:i w:val="0"/>
        </w:rPr>
        <w:t xml:space="preserve">Bill-wise details are not optional. </w:t>
      </w:r>
      <w:r>
        <w:rPr>
          <w:b w:val="0"/>
          <w:i w:val="0"/>
        </w:rPr>
        <w:t>A receipt exported without its allocation leaves the Tally party ledger correct in total and useless for ageing. Every payment carries its allocations across, against the reference of the document it settles.</w:t>
      </w:r>
    </w:p>
    <w:p>
      <w:r>
        <w:rPr>
          <w:b/>
          <w:i w:val="0"/>
        </w:rPr>
        <w:t xml:space="preserve">Locked periods only. </w:t>
      </w:r>
      <w:r>
        <w:rPr>
          <w:b w:val="0"/>
          <w:i w:val="0"/>
        </w:rPr>
        <w:t>A period is exported once it is locked, so what reaches Tally is a closed period rather than a moving one. This also means the export can be an append rather than a merge.</w:t>
      </w:r>
    </w:p>
    <w:p>
      <w:r>
        <w:rPr>
          <w:b/>
          <w:i w:val="0"/>
        </w:rPr>
        <w:t xml:space="preserve">The export is reconciled, not assumed. </w:t>
      </w:r>
      <w:r>
        <w:rPr>
          <w:b w:val="0"/>
          <w:i w:val="0"/>
        </w:rPr>
        <w:t>After a period is exported the bridge reads back the Tally trial balance and compares it with ours, account by account. An integration that reports success without proving the two ledgers agree is an integration that hides its own failures.</w:t>
      </w:r>
    </w:p>
    <w:p>
      <w:pPr>
        <w:pStyle w:val="Heading2"/>
      </w:pPr>
      <w:r>
        <w:t>13.5  Delivery plan</w:t>
      </w:r>
    </w:p>
    <w:tbl>
      <w:tblPr>
        <w:tblStyle w:val="TableGrid"/>
        <w:tblW w:type="auto" w:w="0"/>
        <w:jc w:val="center"/>
        <w:tblLook w:firstColumn="1" w:firstRow="1" w:lastColumn="0" w:lastRow="0" w:noHBand="0" w:noVBand="1" w:val="04A0"/>
      </w:tblPr>
      <w:tblGrid>
        <w:gridCol w:w="4680"/>
        <w:gridCol w:w="4680"/>
      </w:tblGrid>
      <w:tr>
        <w:tc>
          <w:tcPr>
            <w:tcW w:type="dxa" w:w="864"/>
            <w:shd w:val="clear" w:fill="002F6E"/>
          </w:tcPr>
          <w:p>
            <w:pPr>
              <w:spacing w:after="40"/>
            </w:pPr>
            <w:r/>
            <w:r>
              <w:rPr>
                <w:b/>
                <w:color w:val="FFFFFF"/>
                <w:sz w:val="18"/>
              </w:rPr>
              <w:t>Phase</w:t>
            </w:r>
          </w:p>
        </w:tc>
        <w:tc>
          <w:tcPr>
            <w:tcW w:type="dxa" w:w="8064"/>
            <w:shd w:val="clear" w:fill="002F6E"/>
          </w:tcPr>
          <w:p>
            <w:pPr>
              <w:spacing w:after="40"/>
            </w:pPr>
            <w:r/>
            <w:r>
              <w:rPr>
                <w:b/>
                <w:color w:val="FFFFFF"/>
                <w:sz w:val="18"/>
              </w:rPr>
              <w:t>Scope</w:t>
            </w:r>
          </w:p>
        </w:tc>
      </w:tr>
      <w:tr>
        <w:tc>
          <w:tcPr>
            <w:tcW w:type="dxa" w:w="864"/>
          </w:tcPr>
          <w:p>
            <w:pPr>
              <w:spacing w:after="40"/>
            </w:pPr>
            <w:r/>
            <w:r>
              <w:rPr>
                <w:b/>
                <w:sz w:val="18"/>
              </w:rPr>
              <w:t>1</w:t>
            </w:r>
          </w:p>
        </w:tc>
        <w:tc>
          <w:tcPr>
            <w:tcW w:type="dxa" w:w="8064"/>
          </w:tcPr>
          <w:p>
            <w:pPr>
              <w:spacing w:after="40"/>
            </w:pPr>
            <w:r/>
            <w:r>
              <w:rPr>
                <w:sz w:val="18"/>
              </w:rPr>
              <w:t>Export file — a Tally-compatible XML download per period, imported by hand. No agent, no network work; proves the mapping and the reconciliation.</w:t>
            </w:r>
          </w:p>
        </w:tc>
      </w:tr>
      <w:tr>
        <w:tc>
          <w:tcPr>
            <w:tcW w:type="dxa" w:w="864"/>
            <w:shd w:val="clear" w:fill="F3F6FB"/>
          </w:tcPr>
          <w:p>
            <w:pPr>
              <w:spacing w:after="40"/>
            </w:pPr>
            <w:r/>
            <w:r>
              <w:rPr>
                <w:b/>
                <w:sz w:val="18"/>
              </w:rPr>
              <w:t>2</w:t>
            </w:r>
          </w:p>
        </w:tc>
        <w:tc>
          <w:tcPr>
            <w:tcW w:type="dxa" w:w="8064"/>
            <w:shd w:val="clear" w:fill="F3F6FB"/>
          </w:tcPr>
          <w:p>
            <w:pPr>
              <w:spacing w:after="40"/>
            </w:pPr>
            <w:r/>
            <w:r>
              <w:rPr>
                <w:sz w:val="18"/>
              </w:rPr>
              <w:t>Bridge agent — polls, posts and reports status; masters and vouchers, one direction, with idempotency and the trial-balance check.</w:t>
            </w:r>
          </w:p>
        </w:tc>
      </w:tr>
      <w:tr>
        <w:tc>
          <w:tcPr>
            <w:tcW w:type="dxa" w:w="864"/>
          </w:tcPr>
          <w:p>
            <w:pPr>
              <w:spacing w:after="40"/>
            </w:pPr>
            <w:r/>
            <w:r>
              <w:rPr>
                <w:b/>
                <w:sz w:val="18"/>
              </w:rPr>
              <w:t>3</w:t>
            </w:r>
          </w:p>
        </w:tc>
        <w:tc>
          <w:tcPr>
            <w:tcW w:type="dxa" w:w="8064"/>
          </w:tcPr>
          <w:p>
            <w:pPr>
              <w:spacing w:after="40"/>
            </w:pPr>
            <w:r/>
            <w:r>
              <w:rPr>
                <w:sz w:val="18"/>
              </w:rPr>
              <w:t>Scheduled sync — automatic export as each period is locked, with a status screen and a per-record error log.</w:t>
            </w:r>
          </w:p>
        </w:tc>
      </w:tr>
      <w:tr>
        <w:tc>
          <w:tcPr>
            <w:tcW w:type="dxa" w:w="864"/>
            <w:shd w:val="clear" w:fill="F3F6FB"/>
          </w:tcPr>
          <w:p>
            <w:pPr>
              <w:spacing w:after="40"/>
            </w:pPr>
            <w:r/>
            <w:r>
              <w:rPr>
                <w:b/>
                <w:sz w:val="18"/>
              </w:rPr>
              <w:t>4</w:t>
            </w:r>
          </w:p>
        </w:tc>
        <w:tc>
          <w:tcPr>
            <w:tcW w:type="dxa" w:w="8064"/>
            <w:shd w:val="clear" w:fill="F3F6FB"/>
          </w:tcPr>
          <w:p>
            <w:pPr>
              <w:spacing w:after="40"/>
            </w:pPr>
            <w:r/>
            <w:r>
              <w:rPr>
                <w:sz w:val="18"/>
              </w:rPr>
              <w:t>Read-back — importing vouchers entered directly in Tally, once a conflict rule has been agreed with the customer.</w:t>
            </w:r>
          </w:p>
        </w:tc>
      </w:tr>
    </w:tbl>
    <w:p>
      <w:pPr>
        <w:spacing w:after="80"/>
      </w:pPr>
    </w:p>
    <w:p>
      <w:r>
        <w:br w:type="page"/>
      </w:r>
    </w:p>
    <w:p>
      <w:pPr>
        <w:pStyle w:val="Heading1"/>
      </w:pPr>
      <w:r>
        <w:t>14. What is not connected yet</w:t>
      </w:r>
    </w:p>
    <w:p>
      <w:r>
        <w:rPr>
          <w:b w:val="0"/>
          <w:i w:val="0"/>
        </w:rPr>
        <w:t>Stated plainly, because the application itself says so where a user would go looking for these, rather than showing a green badge over nothing.</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fill="002F6E"/>
          </w:tcPr>
          <w:p>
            <w:pPr>
              <w:spacing w:after="40"/>
            </w:pPr>
            <w:r/>
            <w:r>
              <w:rPr>
                <w:b/>
                <w:color w:val="FFFFFF"/>
                <w:sz w:val="17"/>
              </w:rPr>
              <w:t>Capability</w:t>
            </w:r>
          </w:p>
        </w:tc>
        <w:tc>
          <w:tcPr>
            <w:tcW w:type="dxa" w:w="1440"/>
            <w:shd w:val="clear" w:fill="002F6E"/>
          </w:tcPr>
          <w:p>
            <w:pPr>
              <w:spacing w:after="40"/>
            </w:pPr>
            <w:r/>
            <w:r>
              <w:rPr>
                <w:b/>
                <w:color w:val="FFFFFF"/>
                <w:sz w:val="17"/>
              </w:rPr>
              <w:t>Status</w:t>
            </w:r>
          </w:p>
        </w:tc>
        <w:tc>
          <w:tcPr>
            <w:tcW w:type="dxa" w:w="5184"/>
            <w:shd w:val="clear" w:fill="002F6E"/>
          </w:tcPr>
          <w:p>
            <w:pPr>
              <w:spacing w:after="40"/>
            </w:pPr>
            <w:r/>
            <w:r>
              <w:rPr>
                <w:b/>
                <w:color w:val="FFFFFF"/>
                <w:sz w:val="17"/>
              </w:rPr>
              <w:t>What it needs</w:t>
            </w:r>
          </w:p>
        </w:tc>
      </w:tr>
      <w:tr>
        <w:tc>
          <w:tcPr>
            <w:tcW w:type="dxa" w:w="2304"/>
          </w:tcPr>
          <w:p>
            <w:pPr>
              <w:spacing w:after="40"/>
            </w:pPr>
            <w:r/>
            <w:r>
              <w:rPr>
                <w:b/>
                <w:sz w:val="17"/>
              </w:rPr>
              <w:t>Live IRN registration</w:t>
            </w:r>
          </w:p>
        </w:tc>
        <w:tc>
          <w:tcPr>
            <w:tcW w:type="dxa" w:w="1440"/>
          </w:tcPr>
          <w:p>
            <w:pPr>
              <w:spacing w:after="40"/>
            </w:pPr>
            <w:r/>
            <w:r>
              <w:rPr>
                <w:sz w:val="17"/>
              </w:rPr>
              <w:t>Simulated</w:t>
            </w:r>
          </w:p>
        </w:tc>
        <w:tc>
          <w:tcPr>
            <w:tcW w:type="dxa" w:w="5184"/>
          </w:tcPr>
          <w:p>
            <w:pPr>
              <w:spacing w:after="40"/>
            </w:pPr>
            <w:r/>
            <w:r>
              <w:rPr>
                <w:sz w:val="17"/>
              </w:rPr>
              <w:t>A contract with a GST Suvidha Provider. The queue, the window countdown and the payload are built; only the call to the portal is not.</w:t>
            </w:r>
          </w:p>
        </w:tc>
      </w:tr>
      <w:tr>
        <w:tc>
          <w:tcPr>
            <w:tcW w:type="dxa" w:w="2304"/>
            <w:shd w:val="clear" w:fill="F3F6FB"/>
          </w:tcPr>
          <w:p>
            <w:pPr>
              <w:spacing w:after="40"/>
            </w:pPr>
            <w:r/>
            <w:r>
              <w:rPr>
                <w:b/>
                <w:sz w:val="17"/>
              </w:rPr>
              <w:t>Live e-way bill generation</w:t>
            </w:r>
          </w:p>
        </w:tc>
        <w:tc>
          <w:tcPr>
            <w:tcW w:type="dxa" w:w="1440"/>
            <w:shd w:val="clear" w:fill="F3F6FB"/>
          </w:tcPr>
          <w:p>
            <w:pPr>
              <w:spacing w:after="40"/>
            </w:pPr>
            <w:r/>
            <w:r>
              <w:rPr>
                <w:sz w:val="17"/>
              </w:rPr>
              <w:t>Simulated</w:t>
            </w:r>
          </w:p>
        </w:tc>
        <w:tc>
          <w:tcPr>
            <w:tcW w:type="dxa" w:w="5184"/>
            <w:shd w:val="clear" w:fill="F3F6FB"/>
          </w:tcPr>
          <w:p>
            <w:pPr>
              <w:spacing w:after="40"/>
            </w:pPr>
            <w:r/>
            <w:r>
              <w:rPr>
                <w:sz w:val="17"/>
              </w:rPr>
              <w:t>The same GSP contract</w:t>
            </w:r>
          </w:p>
        </w:tc>
      </w:tr>
      <w:tr>
        <w:tc>
          <w:tcPr>
            <w:tcW w:type="dxa" w:w="2304"/>
          </w:tcPr>
          <w:p>
            <w:pPr>
              <w:spacing w:after="40"/>
            </w:pPr>
            <w:r/>
            <w:r>
              <w:rPr>
                <w:b/>
                <w:sz w:val="17"/>
              </w:rPr>
              <w:t>Automatic bank feeds</w:t>
            </w:r>
          </w:p>
        </w:tc>
        <w:tc>
          <w:tcPr>
            <w:tcW w:type="dxa" w:w="1440"/>
          </w:tcPr>
          <w:p>
            <w:pPr>
              <w:spacing w:after="40"/>
            </w:pPr>
            <w:r/>
            <w:r>
              <w:rPr>
                <w:sz w:val="17"/>
              </w:rPr>
              <w:t>Not connected</w:t>
            </w:r>
          </w:p>
        </w:tc>
        <w:tc>
          <w:tcPr>
            <w:tcW w:type="dxa" w:w="5184"/>
          </w:tcPr>
          <w:p>
            <w:pPr>
              <w:spacing w:after="40"/>
            </w:pPr>
            <w:r/>
            <w:r>
              <w:rPr>
                <w:sz w:val="17"/>
              </w:rPr>
              <w:t>An Account Aggregator licence, which accounting software does not hold. Statement import and reconciliation work fully.</w:t>
            </w:r>
          </w:p>
        </w:tc>
      </w:tr>
      <w:tr>
        <w:tc>
          <w:tcPr>
            <w:tcW w:type="dxa" w:w="2304"/>
            <w:shd w:val="clear" w:fill="F3F6FB"/>
          </w:tcPr>
          <w:p>
            <w:pPr>
              <w:spacing w:after="40"/>
            </w:pPr>
            <w:r/>
            <w:r>
              <w:rPr>
                <w:b/>
                <w:sz w:val="17"/>
              </w:rPr>
              <w:t>Outbound email</w:t>
            </w:r>
          </w:p>
        </w:tc>
        <w:tc>
          <w:tcPr>
            <w:tcW w:type="dxa" w:w="1440"/>
            <w:shd w:val="clear" w:fill="F3F6FB"/>
          </w:tcPr>
          <w:p>
            <w:pPr>
              <w:spacing w:after="40"/>
            </w:pPr>
            <w:r/>
            <w:r>
              <w:rPr>
                <w:sz w:val="17"/>
              </w:rPr>
              <w:t>Not connected</w:t>
            </w:r>
          </w:p>
        </w:tc>
        <w:tc>
          <w:tcPr>
            <w:tcW w:type="dxa" w:w="5184"/>
            <w:shd w:val="clear" w:fill="F3F6FB"/>
          </w:tcPr>
          <w:p>
            <w:pPr>
              <w:spacing w:after="40"/>
            </w:pPr>
            <w:r/>
            <w:r>
              <w:rPr>
                <w:sz w:val="17"/>
              </w:rPr>
              <w:t>A mail transport. Invoices can be printed and downloaded but not sent from the app.</w:t>
            </w:r>
          </w:p>
        </w:tc>
      </w:tr>
      <w:tr>
        <w:tc>
          <w:tcPr>
            <w:tcW w:type="dxa" w:w="2304"/>
          </w:tcPr>
          <w:p>
            <w:pPr>
              <w:spacing w:after="40"/>
            </w:pPr>
            <w:r/>
            <w:r>
              <w:rPr>
                <w:b/>
                <w:sz w:val="17"/>
              </w:rPr>
              <w:t>Payment collection</w:t>
            </w:r>
          </w:p>
        </w:tc>
        <w:tc>
          <w:tcPr>
            <w:tcW w:type="dxa" w:w="1440"/>
          </w:tcPr>
          <w:p>
            <w:pPr>
              <w:spacing w:after="40"/>
            </w:pPr>
            <w:r/>
            <w:r>
              <w:rPr>
                <w:sz w:val="17"/>
              </w:rPr>
              <w:t>Not connected</w:t>
            </w:r>
          </w:p>
        </w:tc>
        <w:tc>
          <w:tcPr>
            <w:tcW w:type="dxa" w:w="5184"/>
          </w:tcPr>
          <w:p>
            <w:pPr>
              <w:spacing w:after="40"/>
            </w:pPr>
            <w:r/>
            <w:r>
              <w:rPr>
                <w:sz w:val="17"/>
              </w:rPr>
              <w:t>A merchant account and gateway. The portal button explains this rather than failing.</w:t>
            </w:r>
          </w:p>
        </w:tc>
      </w:tr>
      <w:tr>
        <w:tc>
          <w:tcPr>
            <w:tcW w:type="dxa" w:w="2304"/>
            <w:shd w:val="clear" w:fill="F3F6FB"/>
          </w:tcPr>
          <w:p>
            <w:pPr>
              <w:spacing w:after="40"/>
            </w:pPr>
            <w:r/>
            <w:r>
              <w:rPr>
                <w:b/>
                <w:sz w:val="17"/>
              </w:rPr>
              <w:t>Receipt and bill OCR</w:t>
            </w:r>
          </w:p>
        </w:tc>
        <w:tc>
          <w:tcPr>
            <w:tcW w:type="dxa" w:w="1440"/>
            <w:shd w:val="clear" w:fill="F3F6FB"/>
          </w:tcPr>
          <w:p>
            <w:pPr>
              <w:spacing w:after="40"/>
            </w:pPr>
            <w:r/>
            <w:r>
              <w:rPr>
                <w:sz w:val="17"/>
              </w:rPr>
              <w:t>Not built</w:t>
            </w:r>
          </w:p>
        </w:tc>
        <w:tc>
          <w:tcPr>
            <w:tcW w:type="dxa" w:w="5184"/>
            <w:shd w:val="clear" w:fill="F3F6FB"/>
          </w:tcPr>
          <w:p>
            <w:pPr>
              <w:spacing w:after="40"/>
            </w:pPr>
            <w:r/>
            <w:r>
              <w:rPr>
                <w:sz w:val="17"/>
              </w:rPr>
              <w:t>A document extraction service</w:t>
            </w:r>
          </w:p>
        </w:tc>
      </w:tr>
      <w:tr>
        <w:tc>
          <w:tcPr>
            <w:tcW w:type="dxa" w:w="2304"/>
          </w:tcPr>
          <w:p>
            <w:pPr>
              <w:spacing w:after="40"/>
            </w:pPr>
            <w:r/>
            <w:r>
              <w:rPr>
                <w:b/>
                <w:sz w:val="17"/>
              </w:rPr>
              <w:t>Customer portal</w:t>
            </w:r>
          </w:p>
        </w:tc>
        <w:tc>
          <w:tcPr>
            <w:tcW w:type="dxa" w:w="1440"/>
          </w:tcPr>
          <w:p>
            <w:pPr>
              <w:spacing w:after="40"/>
            </w:pPr>
            <w:r/>
            <w:r>
              <w:rPr>
                <w:sz w:val="17"/>
              </w:rPr>
              <w:t>Preview only</w:t>
            </w:r>
          </w:p>
        </w:tc>
        <w:tc>
          <w:tcPr>
            <w:tcW w:type="dxa" w:w="5184"/>
          </w:tcPr>
          <w:p>
            <w:pPr>
              <w:spacing w:after="40"/>
            </w:pPr>
            <w:r/>
            <w:r>
              <w:rPr>
                <w:sz w:val="17"/>
              </w:rPr>
              <w:t>Tokenised per-customer links, which need the mail transport above. Today it is a signed-in preview of what a customer would see, reading the real ledger.</w:t>
            </w:r>
          </w:p>
        </w:tc>
      </w:tr>
      <w:tr>
        <w:tc>
          <w:tcPr>
            <w:tcW w:type="dxa" w:w="2304"/>
            <w:shd w:val="clear" w:fill="F3F6FB"/>
          </w:tcPr>
          <w:p>
            <w:pPr>
              <w:spacing w:after="40"/>
            </w:pPr>
            <w:r/>
            <w:r>
              <w:rPr>
                <w:b/>
                <w:sz w:val="17"/>
              </w:rPr>
              <w:t>User and branch management UI</w:t>
            </w:r>
          </w:p>
        </w:tc>
        <w:tc>
          <w:tcPr>
            <w:tcW w:type="dxa" w:w="1440"/>
            <w:shd w:val="clear" w:fill="F3F6FB"/>
          </w:tcPr>
          <w:p>
            <w:pPr>
              <w:spacing w:after="40"/>
            </w:pPr>
            <w:r/>
            <w:r>
              <w:rPr>
                <w:sz w:val="17"/>
              </w:rPr>
              <w:t>Not built</w:t>
            </w:r>
          </w:p>
        </w:tc>
        <w:tc>
          <w:tcPr>
            <w:tcW w:type="dxa" w:w="5184"/>
            <w:shd w:val="clear" w:fill="F3F6FB"/>
          </w:tcPr>
          <w:p>
            <w:pPr>
              <w:spacing w:after="40"/>
            </w:pPr>
            <w:r/>
            <w:r>
              <w:rPr>
                <w:sz w:val="17"/>
              </w:rPr>
              <w:t>The model, roles and permissions exist and are enforced; the administration screens are not written. Users are created by the sign-up flow or directly.</w:t>
            </w:r>
          </w:p>
        </w:tc>
      </w:tr>
      <w:tr>
        <w:tc>
          <w:tcPr>
            <w:tcW w:type="dxa" w:w="2304"/>
          </w:tcPr>
          <w:p>
            <w:pPr>
              <w:spacing w:after="40"/>
            </w:pPr>
            <w:r/>
            <w:r>
              <w:rPr>
                <w:b/>
                <w:sz w:val="17"/>
              </w:rPr>
              <w:t>Multi-currency invoicing</w:t>
            </w:r>
          </w:p>
        </w:tc>
        <w:tc>
          <w:tcPr>
            <w:tcW w:type="dxa" w:w="1440"/>
          </w:tcPr>
          <w:p>
            <w:pPr>
              <w:spacing w:after="40"/>
            </w:pPr>
            <w:r/>
            <w:r>
              <w:rPr>
                <w:sz w:val="17"/>
              </w:rPr>
              <w:t>Not built</w:t>
            </w:r>
          </w:p>
        </w:tc>
        <w:tc>
          <w:tcPr>
            <w:tcW w:type="dxa" w:w="5184"/>
          </w:tcPr>
          <w:p>
            <w:pPr>
              <w:spacing w:after="40"/>
            </w:pPr>
            <w:r/>
            <w:r>
              <w:rPr>
                <w:sz w:val="17"/>
              </w:rPr>
              <w:t>Per-document exchange rates, realised gain and loss on settlement, and revaluation of open balances at period end. The base-currency field exists; the machinery does not.</w:t>
            </w:r>
          </w:p>
        </w:tc>
      </w:tr>
      <w:tr>
        <w:tc>
          <w:tcPr>
            <w:tcW w:type="dxa" w:w="2304"/>
            <w:shd w:val="clear" w:fill="F3F6FB"/>
          </w:tcPr>
          <w:p>
            <w:pPr>
              <w:spacing w:after="40"/>
            </w:pPr>
            <w:r/>
            <w:r>
              <w:rPr>
                <w:b/>
                <w:sz w:val="17"/>
              </w:rPr>
              <w:t>Tax jurisdictions beyond India</w:t>
            </w:r>
          </w:p>
        </w:tc>
        <w:tc>
          <w:tcPr>
            <w:tcW w:type="dxa" w:w="1440"/>
            <w:shd w:val="clear" w:fill="F3F6FB"/>
          </w:tcPr>
          <w:p>
            <w:pPr>
              <w:spacing w:after="40"/>
            </w:pPr>
            <w:r/>
            <w:r>
              <w:rPr>
                <w:sz w:val="17"/>
              </w:rPr>
              <w:t>Not built</w:t>
            </w:r>
          </w:p>
        </w:tc>
        <w:tc>
          <w:tcPr>
            <w:tcW w:type="dxa" w:w="5184"/>
            <w:shd w:val="clear" w:fill="F3F6FB"/>
          </w:tcPr>
          <w:p>
            <w:pPr>
              <w:spacing w:after="40"/>
            </w:pPr>
            <w:r/>
            <w:r>
              <w:rPr>
                <w:sz w:val="17"/>
              </w:rPr>
              <w:t>One module per jurisdiction, against the interface set out in section 7.4. The layer they plug into is built and in use.</w:t>
            </w:r>
          </w:p>
        </w:tc>
      </w:tr>
      <w:tr>
        <w:tc>
          <w:tcPr>
            <w:tcW w:type="dxa" w:w="2304"/>
          </w:tcPr>
          <w:p>
            <w:pPr>
              <w:spacing w:after="40"/>
            </w:pPr>
            <w:r/>
            <w:r>
              <w:rPr>
                <w:b/>
                <w:sz w:val="17"/>
              </w:rPr>
              <w:t>Accounting-system integrations</w:t>
            </w:r>
          </w:p>
        </w:tc>
        <w:tc>
          <w:tcPr>
            <w:tcW w:type="dxa" w:w="1440"/>
          </w:tcPr>
          <w:p>
            <w:pPr>
              <w:spacing w:after="40"/>
            </w:pPr>
            <w:r/>
            <w:r>
              <w:rPr>
                <w:sz w:val="17"/>
              </w:rPr>
              <w:t>Planned</w:t>
            </w:r>
          </w:p>
        </w:tc>
        <w:tc>
          <w:tcPr>
            <w:tcW w:type="dxa" w:w="5184"/>
          </w:tcPr>
          <w:p>
            <w:pPr>
              <w:spacing w:after="40"/>
            </w:pPr>
            <w:r/>
            <w:r>
              <w:rPr>
                <w:sz w:val="17"/>
              </w:rPr>
              <w:t>See section 13</w:t>
            </w:r>
          </w:p>
        </w:tc>
      </w:tr>
      <w:tr>
        <w:tc>
          <w:tcPr>
            <w:tcW w:type="dxa" w:w="2304"/>
            <w:shd w:val="clear" w:fill="F3F6FB"/>
          </w:tcPr>
          <w:p>
            <w:pPr>
              <w:spacing w:after="40"/>
            </w:pPr>
            <w:r/>
            <w:r>
              <w:rPr>
                <w:b/>
                <w:sz w:val="17"/>
              </w:rPr>
              <w:t>Payroll, manufacturing, fixed-asset depreciation, multi-entity consolidation</w:t>
            </w:r>
          </w:p>
        </w:tc>
        <w:tc>
          <w:tcPr>
            <w:tcW w:type="dxa" w:w="1440"/>
            <w:shd w:val="clear" w:fill="F3F6FB"/>
          </w:tcPr>
          <w:p>
            <w:pPr>
              <w:spacing w:after="40"/>
            </w:pPr>
            <w:r/>
            <w:r>
              <w:rPr>
                <w:sz w:val="17"/>
              </w:rPr>
              <w:t>Out of scope</w:t>
            </w:r>
          </w:p>
        </w:tc>
        <w:tc>
          <w:tcPr>
            <w:tcW w:type="dxa" w:w="5184"/>
            <w:shd w:val="clear" w:fill="F3F6FB"/>
          </w:tcPr>
          <w:p>
            <w:pPr>
              <w:spacing w:after="40"/>
            </w:pPr>
            <w:r/>
            <w:r>
              <w:rPr>
                <w:sz w:val="17"/>
              </w:rPr>
              <w:t>Deliberately excluded from this phase</w:t>
            </w:r>
          </w:p>
        </w:tc>
      </w:tr>
    </w:tbl>
    <w:p>
      <w:pPr>
        <w:spacing w:after="80"/>
      </w:pPr>
    </w:p>
    <w:p>
      <w:pPr>
        <w:pStyle w:val="Heading1"/>
      </w:pPr>
      <w:r>
        <w:t>15. Running and deploying</w:t>
      </w:r>
    </w:p>
    <w:p>
      <w:pPr>
        <w:pStyle w:val="Heading2"/>
      </w:pPr>
      <w:r>
        <w:t>15.1  Environment</w:t>
      </w:r>
    </w:p>
    <w:tbl>
      <w:tblPr>
        <w:tblStyle w:val="TableGrid"/>
        <w:tblW w:type="auto" w:w="0"/>
        <w:jc w:val="center"/>
        <w:tblLook w:firstColumn="1" w:firstRow="1" w:lastColumn="0" w:lastRow="0" w:noHBand="0" w:noVBand="1" w:val="04A0"/>
      </w:tblPr>
      <w:tblGrid>
        <w:gridCol w:w="4680"/>
        <w:gridCol w:w="4680"/>
      </w:tblGrid>
      <w:tr>
        <w:tc>
          <w:tcPr>
            <w:tcW w:type="dxa" w:w="3456"/>
            <w:shd w:val="clear" w:fill="002F6E"/>
          </w:tcPr>
          <w:p>
            <w:pPr>
              <w:spacing w:after="40"/>
            </w:pPr>
            <w:r/>
            <w:r>
              <w:rPr>
                <w:b/>
                <w:color w:val="FFFFFF"/>
                <w:sz w:val="17"/>
              </w:rPr>
              <w:t>Variable</w:t>
            </w:r>
          </w:p>
        </w:tc>
        <w:tc>
          <w:tcPr>
            <w:tcW w:type="dxa" w:w="5472"/>
            <w:shd w:val="clear" w:fill="002F6E"/>
          </w:tcPr>
          <w:p>
            <w:pPr>
              <w:spacing w:after="40"/>
            </w:pPr>
            <w:r/>
            <w:r>
              <w:rPr>
                <w:b/>
                <w:color w:val="FFFFFF"/>
                <w:sz w:val="17"/>
              </w:rPr>
              <w:t>Purpose</w:t>
            </w:r>
          </w:p>
        </w:tc>
      </w:tr>
      <w:tr>
        <w:tc>
          <w:tcPr>
            <w:tcW w:type="dxa" w:w="3456"/>
          </w:tcPr>
          <w:p>
            <w:pPr>
              <w:spacing w:after="40"/>
            </w:pPr>
            <w:r/>
            <w:r>
              <w:rPr>
                <w:b/>
                <w:sz w:val="17"/>
              </w:rPr>
              <w:t>DB_HOST, DB_PORT, DB_USER, DB_PASSWORD, DB_NAME</w:t>
            </w:r>
          </w:p>
        </w:tc>
        <w:tc>
          <w:tcPr>
            <w:tcW w:type="dxa" w:w="5472"/>
          </w:tcPr>
          <w:p>
            <w:pPr>
              <w:spacing w:after="40"/>
            </w:pPr>
            <w:r/>
            <w:r>
              <w:rPr>
                <w:sz w:val="17"/>
              </w:rPr>
              <w:t>MySQL connection</w:t>
            </w:r>
          </w:p>
        </w:tc>
      </w:tr>
      <w:tr>
        <w:tc>
          <w:tcPr>
            <w:tcW w:type="dxa" w:w="3456"/>
            <w:shd w:val="clear" w:fill="F3F6FB"/>
          </w:tcPr>
          <w:p>
            <w:pPr>
              <w:spacing w:after="40"/>
            </w:pPr>
            <w:r/>
            <w:r>
              <w:rPr>
                <w:b/>
                <w:sz w:val="17"/>
              </w:rPr>
              <w:t>DB_CONNECTION_LIMIT, DB_QUEUE_LIMIT</w:t>
            </w:r>
          </w:p>
        </w:tc>
        <w:tc>
          <w:tcPr>
            <w:tcW w:type="dxa" w:w="5472"/>
            <w:shd w:val="clear" w:fill="F3F6FB"/>
          </w:tcPr>
          <w:p>
            <w:pPr>
              <w:spacing w:after="40"/>
            </w:pPr>
            <w:r/>
            <w:r>
              <w:rPr>
                <w:sz w:val="17"/>
              </w:rPr>
              <w:t>Pool sizing</w:t>
            </w:r>
          </w:p>
        </w:tc>
      </w:tr>
      <w:tr>
        <w:tc>
          <w:tcPr>
            <w:tcW w:type="dxa" w:w="3456"/>
          </w:tcPr>
          <w:p>
            <w:pPr>
              <w:spacing w:after="40"/>
            </w:pPr>
            <w:r/>
            <w:r>
              <w:rPr>
                <w:b/>
                <w:sz w:val="17"/>
              </w:rPr>
              <w:t>SESSION_SECRET</w:t>
            </w:r>
          </w:p>
        </w:tc>
        <w:tc>
          <w:tcPr>
            <w:tcW w:type="dxa" w:w="5472"/>
          </w:tcPr>
          <w:p>
            <w:pPr>
              <w:spacing w:after="40"/>
            </w:pPr>
            <w:r/>
            <w:r>
              <w:rPr>
                <w:sz w:val="17"/>
              </w:rPr>
              <w:t>32+ random bytes; rotating it invalidates every active session</w:t>
            </w:r>
          </w:p>
        </w:tc>
      </w:tr>
      <w:tr>
        <w:tc>
          <w:tcPr>
            <w:tcW w:type="dxa" w:w="3456"/>
            <w:shd w:val="clear" w:fill="F3F6FB"/>
          </w:tcPr>
          <w:p>
            <w:pPr>
              <w:spacing w:after="40"/>
            </w:pPr>
            <w:r/>
            <w:r>
              <w:rPr>
                <w:b/>
                <w:sz w:val="17"/>
              </w:rPr>
              <w:t>SESSION_TTL_HOURS</w:t>
            </w:r>
          </w:p>
        </w:tc>
        <w:tc>
          <w:tcPr>
            <w:tcW w:type="dxa" w:w="5472"/>
            <w:shd w:val="clear" w:fill="F3F6FB"/>
          </w:tcPr>
          <w:p>
            <w:pPr>
              <w:spacing w:after="40"/>
            </w:pPr>
            <w:r/>
            <w:r>
              <w:rPr>
                <w:sz w:val="17"/>
              </w:rPr>
              <w:t>Session lifetime; one week by default</w:t>
            </w:r>
          </w:p>
        </w:tc>
      </w:tr>
      <w:tr>
        <w:tc>
          <w:tcPr>
            <w:tcW w:type="dxa" w:w="3456"/>
          </w:tcPr>
          <w:p>
            <w:pPr>
              <w:spacing w:after="40"/>
            </w:pPr>
            <w:r/>
            <w:r>
              <w:rPr>
                <w:b/>
                <w:sz w:val="17"/>
              </w:rPr>
              <w:t>NEXT_PUBLIC_SITE_URL</w:t>
            </w:r>
          </w:p>
        </w:tc>
        <w:tc>
          <w:tcPr>
            <w:tcW w:type="dxa" w:w="5472"/>
          </w:tcPr>
          <w:p>
            <w:pPr>
              <w:spacing w:after="40"/>
            </w:pPr>
            <w:r/>
            <w:r>
              <w:rPr>
                <w:sz w:val="17"/>
              </w:rPr>
              <w:t>Canonical origin for metadata, sitemap, robots and JSON-LD</w:t>
            </w:r>
          </w:p>
        </w:tc>
      </w:tr>
      <w:tr>
        <w:tc>
          <w:tcPr>
            <w:tcW w:type="dxa" w:w="3456"/>
            <w:shd w:val="clear" w:fill="F3F6FB"/>
          </w:tcPr>
          <w:p>
            <w:pPr>
              <w:spacing w:after="40"/>
            </w:pPr>
            <w:r/>
            <w:r>
              <w:rPr>
                <w:b/>
                <w:sz w:val="17"/>
              </w:rPr>
              <w:t>APP_ENV</w:t>
            </w:r>
          </w:p>
        </w:tc>
        <w:tc>
          <w:tcPr>
            <w:tcW w:type="dxa" w:w="5472"/>
            <w:shd w:val="clear" w:fill="F3F6FB"/>
          </w:tcPr>
          <w:p>
            <w:pPr>
              <w:spacing w:after="40"/>
            </w:pPr>
            <w:r/>
            <w:r>
              <w:rPr>
                <w:sz w:val="17"/>
              </w:rPr>
              <w:t>Set to production to refuse destructive scripts</w:t>
            </w:r>
          </w:p>
        </w:tc>
      </w:tr>
    </w:tbl>
    <w:p>
      <w:pPr>
        <w:spacing w:after="80"/>
      </w:pPr>
    </w:p>
    <w:p>
      <w:pPr>
        <w:pStyle w:val="Heading2"/>
      </w:pPr>
      <w:r>
        <w:t>15.2  Commands</w:t>
      </w:r>
    </w:p>
    <w:p>
      <w:pPr>
        <w:spacing w:before="80" w:after="160"/>
        <w:ind w:left="432"/>
      </w:pPr>
      <w:r>
        <w:rPr>
          <w:rFonts w:ascii="Consolas" w:hAnsi="Consolas"/>
          <w:sz w:val="18"/>
        </w:rPr>
        <w:t>npm install</w:t>
        <w:br/>
        <w:t>cp .env.example .env.local        # then fill it in</w:t>
        <w:br/>
        <w:t>npm run db:migrate                # apply migrations, checksum-enforced</w:t>
        <w:br/>
        <w:t>npm run db:seed                   # build the demo organisation</w:t>
        <w:br/>
        <w:t>npm run dev                       # http://localhost:5000</w:t>
        <w:br/>
        <w:t>npm run build &amp;&amp; npm start        # production</w:t>
        <w:br/>
        <w:br/>
        <w:t>npm run db:seed -- --fresh        # rebuild the demo book only</w:t>
        <w:br/>
        <w:t>npm run db:status                 # which migrations are applied</w:t>
        <w:br/>
        <w:t>npm run brand:assets              # regenerate every logo and icon</w:t>
      </w:r>
    </w:p>
    <w:p>
      <w:pPr>
        <w:pStyle w:val="Heading2"/>
      </w:pPr>
      <w:r>
        <w:t>15.3  Migrations</w:t>
      </w:r>
    </w:p>
    <w:p>
      <w:r>
        <w:rPr>
          <w:b w:val="0"/>
          <w:i w:val="0"/>
        </w:rPr>
        <w:t>Migrations are plain SQL files numbered by hand and applied in order. Each is checksummed when applied, and a file edited afterwards is refused rather than silently skipped — which is what stops two environments believing they are on the same schema when they are not.</w:t>
      </w:r>
    </w:p>
    <w:p>
      <w:pPr>
        <w:pStyle w:val="Heading1"/>
      </w:pPr>
      <w:r>
        <w:t>16. Testing and verification</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fill="002F6E"/>
          </w:tcPr>
          <w:p>
            <w:pPr>
              <w:spacing w:after="40"/>
            </w:pPr>
            <w:r/>
            <w:r>
              <w:rPr>
                <w:b/>
                <w:color w:val="FFFFFF"/>
                <w:sz w:val="17"/>
              </w:rPr>
              <w:t>Suite</w:t>
            </w:r>
          </w:p>
        </w:tc>
        <w:tc>
          <w:tcPr>
            <w:tcW w:type="dxa" w:w="2304"/>
            <w:shd w:val="clear" w:fill="002F6E"/>
          </w:tcPr>
          <w:p>
            <w:pPr>
              <w:spacing w:after="40"/>
            </w:pPr>
            <w:r/>
            <w:r>
              <w:rPr>
                <w:b/>
                <w:color w:val="FFFFFF"/>
                <w:sz w:val="17"/>
              </w:rPr>
              <w:t>Command</w:t>
            </w:r>
          </w:p>
        </w:tc>
        <w:tc>
          <w:tcPr>
            <w:tcW w:type="dxa" w:w="5328"/>
            <w:shd w:val="clear" w:fill="002F6E"/>
          </w:tcPr>
          <w:p>
            <w:pPr>
              <w:spacing w:after="40"/>
            </w:pPr>
            <w:r/>
            <w:r>
              <w:rPr>
                <w:b/>
                <w:color w:val="FFFFFF"/>
                <w:sz w:val="17"/>
              </w:rPr>
              <w:t>Covers</w:t>
            </w:r>
          </w:p>
        </w:tc>
      </w:tr>
      <w:tr>
        <w:tc>
          <w:tcPr>
            <w:tcW w:type="dxa" w:w="1296"/>
          </w:tcPr>
          <w:p>
            <w:pPr>
              <w:spacing w:after="40"/>
            </w:pPr>
            <w:r/>
            <w:r>
              <w:rPr>
                <w:b/>
                <w:sz w:val="17"/>
              </w:rPr>
              <w:t>Unit</w:t>
            </w:r>
          </w:p>
        </w:tc>
        <w:tc>
          <w:tcPr>
            <w:tcW w:type="dxa" w:w="2304"/>
          </w:tcPr>
          <w:p>
            <w:pPr>
              <w:spacing w:after="40"/>
            </w:pPr>
            <w:r/>
            <w:r>
              <w:rPr>
                <w:sz w:val="17"/>
              </w:rPr>
              <w:t>npm run test:unit</w:t>
            </w:r>
          </w:p>
        </w:tc>
        <w:tc>
          <w:tcPr>
            <w:tcW w:type="dxa" w:w="5328"/>
          </w:tcPr>
          <w:p>
            <w:pPr>
              <w:spacing w:after="40"/>
            </w:pPr>
            <w:r/>
            <w:r>
              <w:rPr>
                <w:sz w:val="17"/>
              </w:rPr>
              <w:t>Posting engine, money arithmetic, GST resolution, sales and purchase services — 86 tests</w:t>
            </w:r>
          </w:p>
        </w:tc>
      </w:tr>
      <w:tr>
        <w:tc>
          <w:tcPr>
            <w:tcW w:type="dxa" w:w="1296"/>
            <w:shd w:val="clear" w:fill="F3F6FB"/>
          </w:tcPr>
          <w:p>
            <w:pPr>
              <w:spacing w:after="40"/>
            </w:pPr>
            <w:r/>
            <w:r>
              <w:rPr>
                <w:b/>
                <w:sz w:val="17"/>
              </w:rPr>
              <w:t>API</w:t>
            </w:r>
          </w:p>
        </w:tc>
        <w:tc>
          <w:tcPr>
            <w:tcW w:type="dxa" w:w="2304"/>
            <w:shd w:val="clear" w:fill="F3F6FB"/>
          </w:tcPr>
          <w:p>
            <w:pPr>
              <w:spacing w:after="40"/>
            </w:pPr>
            <w:r/>
            <w:r>
              <w:rPr>
                <w:sz w:val="17"/>
              </w:rPr>
              <w:t>npm run test:api</w:t>
            </w:r>
          </w:p>
        </w:tc>
        <w:tc>
          <w:tcPr>
            <w:tcW w:type="dxa" w:w="5328"/>
            <w:shd w:val="clear" w:fill="F3F6FB"/>
          </w:tcPr>
          <w:p>
            <w:pPr>
              <w:spacing w:after="40"/>
            </w:pPr>
            <w:r/>
            <w:r>
              <w:rPr>
                <w:sz w:val="17"/>
              </w:rPr>
              <w:t>Authentication, permissions, and the shape of what crosses the wire, against a live server — 29 tests</w:t>
            </w:r>
          </w:p>
        </w:tc>
      </w:tr>
      <w:tr>
        <w:tc>
          <w:tcPr>
            <w:tcW w:type="dxa" w:w="1296"/>
          </w:tcPr>
          <w:p>
            <w:pPr>
              <w:spacing w:after="40"/>
            </w:pPr>
            <w:r/>
            <w:r>
              <w:rPr>
                <w:b/>
                <w:sz w:val="17"/>
              </w:rPr>
              <w:t>Auth flow</w:t>
            </w:r>
          </w:p>
        </w:tc>
        <w:tc>
          <w:tcPr>
            <w:tcW w:type="dxa" w:w="2304"/>
          </w:tcPr>
          <w:p>
            <w:pPr>
              <w:spacing w:after="40"/>
            </w:pPr>
            <w:r/>
            <w:r>
              <w:rPr>
                <w:sz w:val="17"/>
              </w:rPr>
              <w:t>node scripts/auth-flow.mjs</w:t>
            </w:r>
          </w:p>
        </w:tc>
        <w:tc>
          <w:tcPr>
            <w:tcW w:type="dxa" w:w="5328"/>
          </w:tcPr>
          <w:p>
            <w:pPr>
              <w:spacing w:after="40"/>
            </w:pPr>
            <w:r/>
            <w:r>
              <w:rPr>
                <w:sz w:val="17"/>
              </w:rPr>
              <w:t>Sign-in, lockout, cookie properties, session revocation — 13 checks</w:t>
            </w:r>
          </w:p>
        </w:tc>
      </w:tr>
      <w:tr>
        <w:tc>
          <w:tcPr>
            <w:tcW w:type="dxa" w:w="1296"/>
            <w:shd w:val="clear" w:fill="F3F6FB"/>
          </w:tcPr>
          <w:p>
            <w:pPr>
              <w:spacing w:after="40"/>
            </w:pPr>
            <w:r/>
            <w:r>
              <w:rPr>
                <w:b/>
                <w:sz w:val="17"/>
              </w:rPr>
              <w:t>UI flows</w:t>
            </w:r>
          </w:p>
        </w:tc>
        <w:tc>
          <w:tcPr>
            <w:tcW w:type="dxa" w:w="2304"/>
            <w:shd w:val="clear" w:fill="F3F6FB"/>
          </w:tcPr>
          <w:p>
            <w:pPr>
              <w:spacing w:after="40"/>
            </w:pPr>
            <w:r/>
            <w:r>
              <w:rPr>
                <w:sz w:val="17"/>
              </w:rPr>
              <w:t>npm run flows</w:t>
            </w:r>
          </w:p>
        </w:tc>
        <w:tc>
          <w:tcPr>
            <w:tcW w:type="dxa" w:w="5328"/>
            <w:shd w:val="clear" w:fill="F3F6FB"/>
          </w:tcPr>
          <w:p>
            <w:pPr>
              <w:spacing w:after="40"/>
            </w:pPr>
            <w:r/>
            <w:r>
              <w:rPr>
                <w:sz w:val="17"/>
              </w:rPr>
              <w:t>End-to-end journeys through every module — 133 checks</w:t>
            </w:r>
          </w:p>
        </w:tc>
      </w:tr>
      <w:tr>
        <w:tc>
          <w:tcPr>
            <w:tcW w:type="dxa" w:w="1296"/>
          </w:tcPr>
          <w:p>
            <w:pPr>
              <w:spacing w:after="40"/>
            </w:pPr>
            <w:r/>
            <w:r>
              <w:rPr>
                <w:b/>
                <w:sz w:val="17"/>
              </w:rPr>
              <w:t>Smoke</w:t>
            </w:r>
          </w:p>
        </w:tc>
        <w:tc>
          <w:tcPr>
            <w:tcW w:type="dxa" w:w="2304"/>
          </w:tcPr>
          <w:p>
            <w:pPr>
              <w:spacing w:after="40"/>
            </w:pPr>
            <w:r/>
            <w:r>
              <w:rPr>
                <w:sz w:val="17"/>
              </w:rPr>
              <w:t>npm run smoke</w:t>
            </w:r>
          </w:p>
        </w:tc>
        <w:tc>
          <w:tcPr>
            <w:tcW w:type="dxa" w:w="5328"/>
          </w:tcPr>
          <w:p>
            <w:pPr>
              <w:spacing w:after="40"/>
            </w:pPr>
            <w:r/>
            <w:r>
              <w:rPr>
                <w:sz w:val="17"/>
              </w:rPr>
              <w:t>Every route renders with no console errors — 86 routes</w:t>
            </w:r>
          </w:p>
        </w:tc>
      </w:tr>
      <w:tr>
        <w:tc>
          <w:tcPr>
            <w:tcW w:type="dxa" w:w="1296"/>
            <w:shd w:val="clear" w:fill="F3F6FB"/>
          </w:tcPr>
          <w:p>
            <w:pPr>
              <w:spacing w:after="40"/>
            </w:pPr>
            <w:r/>
            <w:r>
              <w:rPr>
                <w:b/>
                <w:sz w:val="17"/>
              </w:rPr>
              <w:t>Onboarding</w:t>
            </w:r>
          </w:p>
        </w:tc>
        <w:tc>
          <w:tcPr>
            <w:tcW w:type="dxa" w:w="2304"/>
            <w:shd w:val="clear" w:fill="F3F6FB"/>
          </w:tcPr>
          <w:p>
            <w:pPr>
              <w:spacing w:after="40"/>
            </w:pPr>
            <w:r/>
            <w:r>
              <w:rPr>
                <w:sz w:val="17"/>
              </w:rPr>
              <w:t>node scripts/onboarding.mjs</w:t>
            </w:r>
          </w:p>
        </w:tc>
        <w:tc>
          <w:tcPr>
            <w:tcW w:type="dxa" w:w="5328"/>
            <w:shd w:val="clear" w:fill="F3F6FB"/>
          </w:tcPr>
          <w:p>
            <w:pPr>
              <w:spacing w:after="40"/>
            </w:pPr>
            <w:r/>
            <w:r>
              <w:rPr>
                <w:sz w:val="17"/>
              </w:rPr>
              <w:t>Landing page, sign-up, empty-book correctness, the demo door — 23 checks</w:t>
            </w:r>
          </w:p>
        </w:tc>
      </w:tr>
      <w:tr>
        <w:tc>
          <w:tcPr>
            <w:tcW w:type="dxa" w:w="1296"/>
          </w:tcPr>
          <w:p>
            <w:pPr>
              <w:spacing w:after="40"/>
            </w:pPr>
            <w:r/>
            <w:r>
              <w:rPr>
                <w:b/>
                <w:sz w:val="17"/>
              </w:rPr>
              <w:t>Quick create</w:t>
            </w:r>
          </w:p>
        </w:tc>
        <w:tc>
          <w:tcPr>
            <w:tcW w:type="dxa" w:w="2304"/>
          </w:tcPr>
          <w:p>
            <w:pPr>
              <w:spacing w:after="40"/>
            </w:pPr>
            <w:r/>
            <w:r>
              <w:rPr>
                <w:sz w:val="17"/>
              </w:rPr>
              <w:t>node scripts/quick-create.mjs</w:t>
            </w:r>
          </w:p>
        </w:tc>
        <w:tc>
          <w:tcPr>
            <w:tcW w:type="dxa" w:w="5328"/>
          </w:tcPr>
          <w:p>
            <w:pPr>
              <w:spacing w:after="40"/>
            </w:pPr>
            <w:r/>
            <w:r>
              <w:rPr>
                <w:sz w:val="17"/>
              </w:rPr>
              <w:t>Creating parties and items from inside a document — 22 checks</w:t>
            </w:r>
          </w:p>
        </w:tc>
      </w:tr>
    </w:tbl>
    <w:p>
      <w:pPr>
        <w:spacing w:after="80"/>
      </w:pPr>
    </w:p>
    <w:p>
      <w:pPr>
        <w:pStyle w:val="Heading2"/>
      </w:pPr>
      <w:r>
        <w:t>The invariants that are checked every run</w:t>
      </w:r>
    </w:p>
    <w:p>
      <w:pPr>
        <w:pStyle w:val="ListBullet"/>
        <w:spacing w:after="60"/>
        <w:ind w:left="360"/>
      </w:pPr>
      <w:r>
        <w:t>The trial balance ties — debits equal credits to the paisa.</w:t>
      </w:r>
    </w:p>
    <w:p>
      <w:pPr>
        <w:pStyle w:val="ListBullet"/>
        <w:spacing w:after="60"/>
        <w:ind w:left="360"/>
      </w:pPr>
      <w:r>
        <w:t>The balance sheet balances — assets equal liabilities plus equity.</w:t>
      </w:r>
    </w:p>
    <w:p>
      <w:pPr>
        <w:pStyle w:val="ListBullet"/>
        <w:spacing w:after="60"/>
        <w:ind w:left="360"/>
      </w:pPr>
      <w:r>
        <w:t>Profit reconciles — the profit and loss net result equals current-year earnings on the balance sheet.</w:t>
      </w:r>
    </w:p>
    <w:p>
      <w:pPr>
        <w:pStyle w:val="ListBullet"/>
        <w:spacing w:after="60"/>
        <w:ind w:left="360"/>
      </w:pPr>
      <w:r>
        <w:t>Ageing ties to its control account — at every date tested, not only today.</w:t>
      </w:r>
    </w:p>
    <w:p>
      <w:pPr>
        <w:pStyle w:val="ListBullet"/>
        <w:spacing w:after="60"/>
        <w:ind w:left="360"/>
      </w:pPr>
      <w:r>
        <w:t>Every posted entry is individually balanced.</w:t>
      </w:r>
    </w:p>
    <w:p>
      <w:pPr>
        <w:pStyle w:val="Heading1"/>
      </w:pPr>
      <w:r>
        <w:t>17. Roadmap</w:t>
      </w:r>
    </w:p>
    <w:p>
      <w:r>
        <w:rPr>
          <w:b w:val="0"/>
          <w:i w:val="0"/>
        </w:rPr>
        <w:t>Ordered by what unblocks the most, not by what is easiest. The first two items are what stand between the product and customers outside its first market.</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fill="002F6E"/>
          </w:tcPr>
          <w:p>
            <w:pPr>
              <w:spacing w:after="40"/>
            </w:pPr>
            <w:r/>
            <w:r>
              <w:rPr>
                <w:b/>
                <w:color w:val="FFFFFF"/>
                <w:sz w:val="18"/>
              </w:rPr>
              <w:t>Priority</w:t>
            </w:r>
          </w:p>
        </w:tc>
        <w:tc>
          <w:tcPr>
            <w:tcW w:type="dxa" w:w="3024"/>
            <w:shd w:val="clear" w:fill="002F6E"/>
          </w:tcPr>
          <w:p>
            <w:pPr>
              <w:spacing w:after="40"/>
            </w:pPr>
            <w:r/>
            <w:r>
              <w:rPr>
                <w:b/>
                <w:color w:val="FFFFFF"/>
                <w:sz w:val="18"/>
              </w:rPr>
              <w:t>Item</w:t>
            </w:r>
          </w:p>
        </w:tc>
        <w:tc>
          <w:tcPr>
            <w:tcW w:type="dxa" w:w="4896"/>
            <w:shd w:val="clear" w:fill="002F6E"/>
          </w:tcPr>
          <w:p>
            <w:pPr>
              <w:spacing w:after="40"/>
            </w:pPr>
            <w:r/>
            <w:r>
              <w:rPr>
                <w:b/>
                <w:color w:val="FFFFFF"/>
                <w:sz w:val="18"/>
              </w:rPr>
              <w:t>Why it is next</w:t>
            </w:r>
          </w:p>
        </w:tc>
      </w:tr>
      <w:tr>
        <w:tc>
          <w:tcPr>
            <w:tcW w:type="dxa" w:w="1008"/>
          </w:tcPr>
          <w:p>
            <w:pPr>
              <w:spacing w:after="40"/>
            </w:pPr>
            <w:r/>
            <w:r>
              <w:rPr>
                <w:b/>
                <w:sz w:val="18"/>
              </w:rPr>
              <w:t>1</w:t>
            </w:r>
          </w:p>
        </w:tc>
        <w:tc>
          <w:tcPr>
            <w:tcW w:type="dxa" w:w="3024"/>
          </w:tcPr>
          <w:p>
            <w:pPr>
              <w:spacing w:after="40"/>
            </w:pPr>
            <w:r/>
            <w:r>
              <w:rPr>
                <w:sz w:val="18"/>
              </w:rPr>
              <w:t>Multi-currency</w:t>
            </w:r>
          </w:p>
        </w:tc>
        <w:tc>
          <w:tcPr>
            <w:tcW w:type="dxa" w:w="4896"/>
          </w:tcPr>
          <w:p>
            <w:pPr>
              <w:spacing w:after="40"/>
            </w:pPr>
            <w:r/>
            <w:r>
              <w:rPr>
                <w:sz w:val="18"/>
              </w:rPr>
              <w:t>Exchange rates per document, realised gain and loss, period-end revaluation. Until this exists an exporter must invoice in its own currency, which many customers will not accept.</w:t>
            </w:r>
          </w:p>
        </w:tc>
      </w:tr>
      <w:tr>
        <w:tc>
          <w:tcPr>
            <w:tcW w:type="dxa" w:w="1008"/>
            <w:shd w:val="clear" w:fill="F3F6FB"/>
          </w:tcPr>
          <w:p>
            <w:pPr>
              <w:spacing w:after="40"/>
            </w:pPr>
            <w:r/>
            <w:r>
              <w:rPr>
                <w:b/>
                <w:sz w:val="18"/>
              </w:rPr>
              <w:t>2</w:t>
            </w:r>
          </w:p>
        </w:tc>
        <w:tc>
          <w:tcPr>
            <w:tcW w:type="dxa" w:w="3024"/>
            <w:shd w:val="clear" w:fill="F3F6FB"/>
          </w:tcPr>
          <w:p>
            <w:pPr>
              <w:spacing w:after="40"/>
            </w:pPr>
            <w:r/>
            <w:r>
              <w:rPr>
                <w:sz w:val="18"/>
              </w:rPr>
              <w:t>A second tax jurisdiction (value added tax)</w:t>
            </w:r>
          </w:p>
        </w:tc>
        <w:tc>
          <w:tcPr>
            <w:tcW w:type="dxa" w:w="4896"/>
            <w:shd w:val="clear" w:fill="F3F6FB"/>
          </w:tcPr>
          <w:p>
            <w:pPr>
              <w:spacing w:after="40"/>
            </w:pPr>
            <w:r/>
            <w:r>
              <w:rPr>
                <w:sz w:val="18"/>
              </w:rPr>
              <w:t>Proves the jurisdiction layer against a regime it was not written for, which is the only way to find out where the seam actually is</w:t>
            </w:r>
          </w:p>
        </w:tc>
      </w:tr>
      <w:tr>
        <w:tc>
          <w:tcPr>
            <w:tcW w:type="dxa" w:w="1008"/>
          </w:tcPr>
          <w:p>
            <w:pPr>
              <w:spacing w:after="40"/>
            </w:pPr>
            <w:r/>
            <w:r>
              <w:rPr>
                <w:b/>
                <w:sz w:val="18"/>
              </w:rPr>
              <w:t>3</w:t>
            </w:r>
          </w:p>
        </w:tc>
        <w:tc>
          <w:tcPr>
            <w:tcW w:type="dxa" w:w="3024"/>
          </w:tcPr>
          <w:p>
            <w:pPr>
              <w:spacing w:after="40"/>
            </w:pPr>
            <w:r/>
            <w:r>
              <w:rPr>
                <w:sz w:val="18"/>
              </w:rPr>
              <w:t>Statutory-filing provider contract for the implemented jurisdiction</w:t>
            </w:r>
          </w:p>
        </w:tc>
        <w:tc>
          <w:tcPr>
            <w:tcW w:type="dxa" w:w="4896"/>
          </w:tcPr>
          <w:p>
            <w:pPr>
              <w:spacing w:after="40"/>
            </w:pPr>
            <w:r/>
            <w:r>
              <w:rPr>
                <w:sz w:val="18"/>
              </w:rPr>
              <w:t>The only compliance gap that touches a legal obligation today</w:t>
            </w:r>
          </w:p>
        </w:tc>
      </w:tr>
      <w:tr>
        <w:tc>
          <w:tcPr>
            <w:tcW w:type="dxa" w:w="1008"/>
            <w:shd w:val="clear" w:fill="F3F6FB"/>
          </w:tcPr>
          <w:p>
            <w:pPr>
              <w:spacing w:after="40"/>
            </w:pPr>
            <w:r/>
            <w:r>
              <w:rPr>
                <w:b/>
                <w:sz w:val="18"/>
              </w:rPr>
              <w:t>4</w:t>
            </w:r>
          </w:p>
        </w:tc>
        <w:tc>
          <w:tcPr>
            <w:tcW w:type="dxa" w:w="3024"/>
            <w:shd w:val="clear" w:fill="F3F6FB"/>
          </w:tcPr>
          <w:p>
            <w:pPr>
              <w:spacing w:after="40"/>
            </w:pPr>
            <w:r/>
            <w:r>
              <w:rPr>
                <w:sz w:val="18"/>
              </w:rPr>
              <w:t>Accounting-system export (phase 1)</w:t>
            </w:r>
          </w:p>
        </w:tc>
        <w:tc>
          <w:tcPr>
            <w:tcW w:type="dxa" w:w="4896"/>
            <w:shd w:val="clear" w:fill="F3F6FB"/>
          </w:tcPr>
          <w:p>
            <w:pPr>
              <w:spacing w:after="40"/>
            </w:pPr>
            <w:r/>
            <w:r>
              <w:rPr>
                <w:sz w:val="18"/>
              </w:rPr>
              <w:t>Removes the year-end re-keying that every customer otherwise faces</w:t>
            </w:r>
          </w:p>
        </w:tc>
      </w:tr>
      <w:tr>
        <w:tc>
          <w:tcPr>
            <w:tcW w:type="dxa" w:w="1008"/>
          </w:tcPr>
          <w:p>
            <w:pPr>
              <w:spacing w:after="40"/>
            </w:pPr>
            <w:r/>
            <w:r>
              <w:rPr>
                <w:b/>
                <w:sz w:val="18"/>
              </w:rPr>
              <w:t>5</w:t>
            </w:r>
          </w:p>
        </w:tc>
        <w:tc>
          <w:tcPr>
            <w:tcW w:type="dxa" w:w="3024"/>
          </w:tcPr>
          <w:p>
            <w:pPr>
              <w:spacing w:after="40"/>
            </w:pPr>
            <w:r/>
            <w:r>
              <w:rPr>
                <w:sz w:val="18"/>
              </w:rPr>
              <w:t>User and registration management screens</w:t>
            </w:r>
          </w:p>
        </w:tc>
        <w:tc>
          <w:tcPr>
            <w:tcW w:type="dxa" w:w="4896"/>
          </w:tcPr>
          <w:p>
            <w:pPr>
              <w:spacing w:after="40"/>
            </w:pPr>
            <w:r/>
            <w:r>
              <w:rPr>
                <w:sz w:val="18"/>
              </w:rPr>
              <w:t>The model and its enforcement exist; only the administration interface is missing</w:t>
            </w:r>
          </w:p>
        </w:tc>
      </w:tr>
      <w:tr>
        <w:tc>
          <w:tcPr>
            <w:tcW w:type="dxa" w:w="1008"/>
            <w:shd w:val="clear" w:fill="F3F6FB"/>
          </w:tcPr>
          <w:p>
            <w:pPr>
              <w:spacing w:after="40"/>
            </w:pPr>
            <w:r/>
            <w:r>
              <w:rPr>
                <w:b/>
                <w:sz w:val="18"/>
              </w:rPr>
              <w:t>6</w:t>
            </w:r>
          </w:p>
        </w:tc>
        <w:tc>
          <w:tcPr>
            <w:tcW w:type="dxa" w:w="3024"/>
            <w:shd w:val="clear" w:fill="F3F6FB"/>
          </w:tcPr>
          <w:p>
            <w:pPr>
              <w:spacing w:after="40"/>
            </w:pPr>
            <w:r/>
            <w:r>
              <w:rPr>
                <w:sz w:val="18"/>
              </w:rPr>
              <w:t>Mail transport</w:t>
            </w:r>
          </w:p>
        </w:tc>
        <w:tc>
          <w:tcPr>
            <w:tcW w:type="dxa" w:w="4896"/>
            <w:shd w:val="clear" w:fill="F3F6FB"/>
          </w:tcPr>
          <w:p>
            <w:pPr>
              <w:spacing w:after="40"/>
            </w:pPr>
            <w:r/>
            <w:r>
              <w:rPr>
                <w:sz w:val="18"/>
              </w:rPr>
              <w:t>Unblocks sending invoices, payment reminders, and the tokenised customer portal</w:t>
            </w:r>
          </w:p>
        </w:tc>
      </w:tr>
      <w:tr>
        <w:tc>
          <w:tcPr>
            <w:tcW w:type="dxa" w:w="1008"/>
          </w:tcPr>
          <w:p>
            <w:pPr>
              <w:spacing w:after="40"/>
            </w:pPr>
            <w:r/>
            <w:r>
              <w:rPr>
                <w:b/>
                <w:sz w:val="18"/>
              </w:rPr>
              <w:t>7</w:t>
            </w:r>
          </w:p>
        </w:tc>
        <w:tc>
          <w:tcPr>
            <w:tcW w:type="dxa" w:w="3024"/>
          </w:tcPr>
          <w:p>
            <w:pPr>
              <w:spacing w:after="40"/>
            </w:pPr>
            <w:r/>
            <w:r>
              <w:rPr>
                <w:sz w:val="18"/>
              </w:rPr>
              <w:t>Statutory print template per jurisdiction</w:t>
            </w:r>
          </w:p>
        </w:tc>
        <w:tc>
          <w:tcPr>
            <w:tcW w:type="dxa" w:w="4896"/>
          </w:tcPr>
          <w:p>
            <w:pPr>
              <w:spacing w:after="40"/>
            </w:pPr>
            <w:r/>
            <w:r>
              <w:rPr>
                <w:sz w:val="18"/>
              </w:rPr>
              <w:t>A printed invoice must carry every particular its jurisdiction requires</w:t>
            </w:r>
          </w:p>
        </w:tc>
      </w:tr>
      <w:tr>
        <w:tc>
          <w:tcPr>
            <w:tcW w:type="dxa" w:w="1008"/>
            <w:shd w:val="clear" w:fill="F3F6FB"/>
          </w:tcPr>
          <w:p>
            <w:pPr>
              <w:spacing w:after="40"/>
            </w:pPr>
            <w:r/>
            <w:r>
              <w:rPr>
                <w:b/>
                <w:sz w:val="18"/>
              </w:rPr>
              <w:t>8</w:t>
            </w:r>
          </w:p>
        </w:tc>
        <w:tc>
          <w:tcPr>
            <w:tcW w:type="dxa" w:w="3024"/>
            <w:shd w:val="clear" w:fill="F3F6FB"/>
          </w:tcPr>
          <w:p>
            <w:pPr>
              <w:spacing w:after="40"/>
            </w:pPr>
            <w:r/>
            <w:r>
              <w:rPr>
                <w:sz w:val="18"/>
              </w:rPr>
              <w:t>Payment collection</w:t>
            </w:r>
          </w:p>
        </w:tc>
        <w:tc>
          <w:tcPr>
            <w:tcW w:type="dxa" w:w="4896"/>
            <w:shd w:val="clear" w:fill="F3F6FB"/>
          </w:tcPr>
          <w:p>
            <w:pPr>
              <w:spacing w:after="40"/>
            </w:pPr>
            <w:r/>
            <w:r>
              <w:rPr>
                <w:sz w:val="18"/>
              </w:rPr>
              <w:t>Turns the portal from a statement into a collection channel</w:t>
            </w:r>
          </w:p>
        </w:tc>
      </w:tr>
      <w:tr>
        <w:tc>
          <w:tcPr>
            <w:tcW w:type="dxa" w:w="1008"/>
          </w:tcPr>
          <w:p>
            <w:pPr>
              <w:spacing w:after="40"/>
            </w:pPr>
            <w:r/>
            <w:r>
              <w:rPr>
                <w:b/>
                <w:sz w:val="18"/>
              </w:rPr>
              <w:t>9</w:t>
            </w:r>
          </w:p>
        </w:tc>
        <w:tc>
          <w:tcPr>
            <w:tcW w:type="dxa" w:w="3024"/>
          </w:tcPr>
          <w:p>
            <w:pPr>
              <w:spacing w:after="40"/>
            </w:pPr>
            <w:r/>
            <w:r>
              <w:rPr>
                <w:sz w:val="18"/>
              </w:rPr>
              <w:t>Bridge agent (phases 2–3)</w:t>
            </w:r>
          </w:p>
        </w:tc>
        <w:tc>
          <w:tcPr>
            <w:tcW w:type="dxa" w:w="4896"/>
          </w:tcPr>
          <w:p>
            <w:pPr>
              <w:spacing w:after="40"/>
            </w:pPr>
            <w:r/>
            <w:r>
              <w:rPr>
                <w:sz w:val="18"/>
              </w:rPr>
              <w:t>Automates what phase 1 does by hand</w:t>
            </w:r>
          </w:p>
        </w:tc>
      </w:tr>
    </w:tbl>
    <w:p>
      <w:pPr>
        <w:spacing w:after="80"/>
      </w:pPr>
    </w:p>
    <w:p>
      <w:r>
        <w:br w:type="page"/>
      </w:r>
    </w:p>
    <w:p>
      <w:pPr>
        <w:pStyle w:val="Heading1"/>
      </w:pPr>
      <w:r>
        <w:t>Appendix A — API endpoints</w:t>
      </w:r>
    </w:p>
    <w:p>
      <w:r>
        <w:rPr>
          <w:b w:val="0"/>
          <w:i w:val="0"/>
        </w:rPr>
        <w:t>42 route handlers. Every one authenticates the session and checks the role’s permission for its module before doing anything, except the four marked public.</w:t>
      </w:r>
    </w:p>
    <w:tbl>
      <w:tblPr>
        <w:tblStyle w:val="TableGrid"/>
        <w:tblW w:type="auto" w:w="0"/>
        <w:jc w:val="center"/>
        <w:tblLook w:firstColumn="1" w:firstRow="1" w:lastColumn="0" w:lastRow="0" w:noHBand="0" w:noVBand="1" w:val="04A0"/>
      </w:tblPr>
      <w:tblGrid>
        <w:gridCol w:w="4680"/>
        <w:gridCol w:w="4680"/>
      </w:tblGrid>
      <w:tr>
        <w:tc>
          <w:tcPr>
            <w:tcW w:type="dxa" w:w="6624"/>
            <w:shd w:val="clear" w:fill="002F6E"/>
          </w:tcPr>
          <w:p>
            <w:pPr>
              <w:spacing w:after="40"/>
            </w:pPr>
            <w:r/>
            <w:r>
              <w:rPr>
                <w:b/>
                <w:color w:val="FFFFFF"/>
                <w:sz w:val="17"/>
              </w:rPr>
              <w:t>Endpoint</w:t>
            </w:r>
          </w:p>
        </w:tc>
        <w:tc>
          <w:tcPr>
            <w:tcW w:type="dxa" w:w="2304"/>
            <w:shd w:val="clear" w:fill="002F6E"/>
          </w:tcPr>
          <w:p>
            <w:pPr>
              <w:spacing w:after="40"/>
            </w:pPr>
            <w:r/>
            <w:r>
              <w:rPr>
                <w:b/>
                <w:color w:val="FFFFFF"/>
                <w:sz w:val="17"/>
              </w:rPr>
              <w:t>Access</w:t>
            </w:r>
          </w:p>
        </w:tc>
      </w:tr>
      <w:tr>
        <w:tc>
          <w:tcPr>
            <w:tcW w:type="dxa" w:w="6624"/>
          </w:tcPr>
          <w:p>
            <w:pPr>
              <w:spacing w:after="40"/>
            </w:pPr>
            <w:r/>
            <w:r>
              <w:rPr>
                <w:b/>
                <w:sz w:val="17"/>
              </w:rPr>
              <w:t>/api/accounts</w:t>
            </w:r>
          </w:p>
        </w:tc>
        <w:tc>
          <w:tcPr>
            <w:tcW w:type="dxa" w:w="2304"/>
          </w:tcPr>
          <w:p>
            <w:pPr>
              <w:spacing w:after="40"/>
            </w:pPr>
            <w:r/>
            <w:r>
              <w:rPr>
                <w:sz w:val="17"/>
              </w:rPr>
              <w:t>Authenticated</w:t>
            </w:r>
          </w:p>
        </w:tc>
      </w:tr>
      <w:tr>
        <w:tc>
          <w:tcPr>
            <w:tcW w:type="dxa" w:w="6624"/>
            <w:shd w:val="clear" w:fill="F3F6FB"/>
          </w:tcPr>
          <w:p>
            <w:pPr>
              <w:spacing w:after="40"/>
            </w:pPr>
            <w:r/>
            <w:r>
              <w:rPr>
                <w:b/>
                <w:sz w:val="17"/>
              </w:rPr>
              <w:t>/api/audit</w:t>
            </w:r>
          </w:p>
        </w:tc>
        <w:tc>
          <w:tcPr>
            <w:tcW w:type="dxa" w:w="2304"/>
            <w:shd w:val="clear" w:fill="F3F6FB"/>
          </w:tcPr>
          <w:p>
            <w:pPr>
              <w:spacing w:after="40"/>
            </w:pPr>
            <w:r/>
            <w:r>
              <w:rPr>
                <w:sz w:val="17"/>
              </w:rPr>
              <w:t>Authenticated</w:t>
            </w:r>
          </w:p>
        </w:tc>
      </w:tr>
      <w:tr>
        <w:tc>
          <w:tcPr>
            <w:tcW w:type="dxa" w:w="6624"/>
          </w:tcPr>
          <w:p>
            <w:pPr>
              <w:spacing w:after="40"/>
            </w:pPr>
            <w:r/>
            <w:r>
              <w:rPr>
                <w:b/>
                <w:sz w:val="17"/>
              </w:rPr>
              <w:t>/api/auth/demo</w:t>
            </w:r>
          </w:p>
        </w:tc>
        <w:tc>
          <w:tcPr>
            <w:tcW w:type="dxa" w:w="2304"/>
          </w:tcPr>
          <w:p>
            <w:pPr>
              <w:spacing w:after="40"/>
            </w:pPr>
            <w:r/>
            <w:r>
              <w:rPr>
                <w:sz w:val="17"/>
              </w:rPr>
              <w:t>Public</w:t>
            </w:r>
          </w:p>
        </w:tc>
      </w:tr>
      <w:tr>
        <w:tc>
          <w:tcPr>
            <w:tcW w:type="dxa" w:w="6624"/>
            <w:shd w:val="clear" w:fill="F3F6FB"/>
          </w:tcPr>
          <w:p>
            <w:pPr>
              <w:spacing w:after="40"/>
            </w:pPr>
            <w:r/>
            <w:r>
              <w:rPr>
                <w:b/>
                <w:sz w:val="17"/>
              </w:rPr>
              <w:t>/api/auth/login</w:t>
            </w:r>
          </w:p>
        </w:tc>
        <w:tc>
          <w:tcPr>
            <w:tcW w:type="dxa" w:w="2304"/>
            <w:shd w:val="clear" w:fill="F3F6FB"/>
          </w:tcPr>
          <w:p>
            <w:pPr>
              <w:spacing w:after="40"/>
            </w:pPr>
            <w:r/>
            <w:r>
              <w:rPr>
                <w:sz w:val="17"/>
              </w:rPr>
              <w:t>Public</w:t>
            </w:r>
          </w:p>
        </w:tc>
      </w:tr>
      <w:tr>
        <w:tc>
          <w:tcPr>
            <w:tcW w:type="dxa" w:w="6624"/>
          </w:tcPr>
          <w:p>
            <w:pPr>
              <w:spacing w:after="40"/>
            </w:pPr>
            <w:r/>
            <w:r>
              <w:rPr>
                <w:b/>
                <w:sz w:val="17"/>
              </w:rPr>
              <w:t>/api/auth/logout</w:t>
            </w:r>
          </w:p>
        </w:tc>
        <w:tc>
          <w:tcPr>
            <w:tcW w:type="dxa" w:w="2304"/>
          </w:tcPr>
          <w:p>
            <w:pPr>
              <w:spacing w:after="40"/>
            </w:pPr>
            <w:r/>
            <w:r>
              <w:rPr>
                <w:sz w:val="17"/>
              </w:rPr>
              <w:t>Authenticated</w:t>
            </w:r>
          </w:p>
        </w:tc>
      </w:tr>
      <w:tr>
        <w:tc>
          <w:tcPr>
            <w:tcW w:type="dxa" w:w="6624"/>
            <w:shd w:val="clear" w:fill="F3F6FB"/>
          </w:tcPr>
          <w:p>
            <w:pPr>
              <w:spacing w:after="40"/>
            </w:pPr>
            <w:r/>
            <w:r>
              <w:rPr>
                <w:b/>
                <w:sz w:val="17"/>
              </w:rPr>
              <w:t>/api/auth/me</w:t>
            </w:r>
          </w:p>
        </w:tc>
        <w:tc>
          <w:tcPr>
            <w:tcW w:type="dxa" w:w="2304"/>
            <w:shd w:val="clear" w:fill="F3F6FB"/>
          </w:tcPr>
          <w:p>
            <w:pPr>
              <w:spacing w:after="40"/>
            </w:pPr>
            <w:r/>
            <w:r>
              <w:rPr>
                <w:sz w:val="17"/>
              </w:rPr>
              <w:t>Authenticated</w:t>
            </w:r>
          </w:p>
        </w:tc>
      </w:tr>
      <w:tr>
        <w:tc>
          <w:tcPr>
            <w:tcW w:type="dxa" w:w="6624"/>
          </w:tcPr>
          <w:p>
            <w:pPr>
              <w:spacing w:after="40"/>
            </w:pPr>
            <w:r/>
            <w:r>
              <w:rPr>
                <w:b/>
                <w:sz w:val="17"/>
              </w:rPr>
              <w:t>/api/auth/register</w:t>
            </w:r>
          </w:p>
        </w:tc>
        <w:tc>
          <w:tcPr>
            <w:tcW w:type="dxa" w:w="2304"/>
          </w:tcPr>
          <w:p>
            <w:pPr>
              <w:spacing w:after="40"/>
            </w:pPr>
            <w:r/>
            <w:r>
              <w:rPr>
                <w:sz w:val="17"/>
              </w:rPr>
              <w:t>Public</w:t>
            </w:r>
          </w:p>
        </w:tc>
      </w:tr>
      <w:tr>
        <w:tc>
          <w:tcPr>
            <w:tcW w:type="dxa" w:w="6624"/>
            <w:shd w:val="clear" w:fill="F3F6FB"/>
          </w:tcPr>
          <w:p>
            <w:pPr>
              <w:spacing w:after="40"/>
            </w:pPr>
            <w:r/>
            <w:r>
              <w:rPr>
                <w:b/>
                <w:sz w:val="17"/>
              </w:rPr>
              <w:t>/api/banking/accounts</w:t>
            </w:r>
          </w:p>
        </w:tc>
        <w:tc>
          <w:tcPr>
            <w:tcW w:type="dxa" w:w="2304"/>
            <w:shd w:val="clear" w:fill="F3F6FB"/>
          </w:tcPr>
          <w:p>
            <w:pPr>
              <w:spacing w:after="40"/>
            </w:pPr>
            <w:r/>
            <w:r>
              <w:rPr>
                <w:sz w:val="17"/>
              </w:rPr>
              <w:t>Authenticated</w:t>
            </w:r>
          </w:p>
        </w:tc>
      </w:tr>
      <w:tr>
        <w:tc>
          <w:tcPr>
            <w:tcW w:type="dxa" w:w="6624"/>
          </w:tcPr>
          <w:p>
            <w:pPr>
              <w:spacing w:after="40"/>
            </w:pPr>
            <w:r/>
            <w:r>
              <w:rPr>
                <w:b/>
                <w:sz w:val="17"/>
              </w:rPr>
              <w:t>/api/banking/cheques</w:t>
            </w:r>
          </w:p>
        </w:tc>
        <w:tc>
          <w:tcPr>
            <w:tcW w:type="dxa" w:w="2304"/>
          </w:tcPr>
          <w:p>
            <w:pPr>
              <w:spacing w:after="40"/>
            </w:pPr>
            <w:r/>
            <w:r>
              <w:rPr>
                <w:sz w:val="17"/>
              </w:rPr>
              <w:t>Authenticated</w:t>
            </w:r>
          </w:p>
        </w:tc>
      </w:tr>
      <w:tr>
        <w:tc>
          <w:tcPr>
            <w:tcW w:type="dxa" w:w="6624"/>
            <w:shd w:val="clear" w:fill="F3F6FB"/>
          </w:tcPr>
          <w:p>
            <w:pPr>
              <w:spacing w:after="40"/>
            </w:pPr>
            <w:r/>
            <w:r>
              <w:rPr>
                <w:b/>
                <w:sz w:val="17"/>
              </w:rPr>
              <w:t>/api/banking/import</w:t>
            </w:r>
          </w:p>
        </w:tc>
        <w:tc>
          <w:tcPr>
            <w:tcW w:type="dxa" w:w="2304"/>
            <w:shd w:val="clear" w:fill="F3F6FB"/>
          </w:tcPr>
          <w:p>
            <w:pPr>
              <w:spacing w:after="40"/>
            </w:pPr>
            <w:r/>
            <w:r>
              <w:rPr>
                <w:sz w:val="17"/>
              </w:rPr>
              <w:t>Authenticated</w:t>
            </w:r>
          </w:p>
        </w:tc>
      </w:tr>
      <w:tr>
        <w:tc>
          <w:tcPr>
            <w:tcW w:type="dxa" w:w="6624"/>
          </w:tcPr>
          <w:p>
            <w:pPr>
              <w:spacing w:after="40"/>
            </w:pPr>
            <w:r/>
            <w:r>
              <w:rPr>
                <w:b/>
                <w:sz w:val="17"/>
              </w:rPr>
              <w:t>/api/banking/rules</w:t>
            </w:r>
          </w:p>
        </w:tc>
        <w:tc>
          <w:tcPr>
            <w:tcW w:type="dxa" w:w="2304"/>
          </w:tcPr>
          <w:p>
            <w:pPr>
              <w:spacing w:after="40"/>
            </w:pPr>
            <w:r/>
            <w:r>
              <w:rPr>
                <w:sz w:val="17"/>
              </w:rPr>
              <w:t>Authenticated</w:t>
            </w:r>
          </w:p>
        </w:tc>
      </w:tr>
      <w:tr>
        <w:tc>
          <w:tcPr>
            <w:tcW w:type="dxa" w:w="6624"/>
            <w:shd w:val="clear" w:fill="F3F6FB"/>
          </w:tcPr>
          <w:p>
            <w:pPr>
              <w:spacing w:after="40"/>
            </w:pPr>
            <w:r/>
            <w:r>
              <w:rPr>
                <w:b/>
                <w:sz w:val="17"/>
              </w:rPr>
              <w:t>/api/banking/transactions</w:t>
            </w:r>
          </w:p>
        </w:tc>
        <w:tc>
          <w:tcPr>
            <w:tcW w:type="dxa" w:w="2304"/>
            <w:shd w:val="clear" w:fill="F3F6FB"/>
          </w:tcPr>
          <w:p>
            <w:pPr>
              <w:spacing w:after="40"/>
            </w:pPr>
            <w:r/>
            <w:r>
              <w:rPr>
                <w:sz w:val="17"/>
              </w:rPr>
              <w:t>Authenticated</w:t>
            </w:r>
          </w:p>
        </w:tc>
      </w:tr>
      <w:tr>
        <w:tc>
          <w:tcPr>
            <w:tcW w:type="dxa" w:w="6624"/>
          </w:tcPr>
          <w:p>
            <w:pPr>
              <w:spacing w:after="40"/>
            </w:pPr>
            <w:r/>
            <w:r>
              <w:rPr>
                <w:b/>
                <w:sz w:val="17"/>
              </w:rPr>
              <w:t>/api/banking/transfers</w:t>
            </w:r>
          </w:p>
        </w:tc>
        <w:tc>
          <w:tcPr>
            <w:tcW w:type="dxa" w:w="2304"/>
          </w:tcPr>
          <w:p>
            <w:pPr>
              <w:spacing w:after="40"/>
            </w:pPr>
            <w:r/>
            <w:r>
              <w:rPr>
                <w:sz w:val="17"/>
              </w:rPr>
              <w:t>Authenticated</w:t>
            </w:r>
          </w:p>
        </w:tc>
      </w:tr>
      <w:tr>
        <w:tc>
          <w:tcPr>
            <w:tcW w:type="dxa" w:w="6624"/>
            <w:shd w:val="clear" w:fill="F3F6FB"/>
          </w:tcPr>
          <w:p>
            <w:pPr>
              <w:spacing w:after="40"/>
            </w:pPr>
            <w:r/>
            <w:r>
              <w:rPr>
                <w:b/>
                <w:sz w:val="17"/>
              </w:rPr>
              <w:t>/api/bills</w:t>
            </w:r>
          </w:p>
        </w:tc>
        <w:tc>
          <w:tcPr>
            <w:tcW w:type="dxa" w:w="2304"/>
            <w:shd w:val="clear" w:fill="F3F6FB"/>
          </w:tcPr>
          <w:p>
            <w:pPr>
              <w:spacing w:after="40"/>
            </w:pPr>
            <w:r/>
            <w:r>
              <w:rPr>
                <w:sz w:val="17"/>
              </w:rPr>
              <w:t>Authenticated</w:t>
            </w:r>
          </w:p>
        </w:tc>
      </w:tr>
      <w:tr>
        <w:tc>
          <w:tcPr>
            <w:tcW w:type="dxa" w:w="6624"/>
          </w:tcPr>
          <w:p>
            <w:pPr>
              <w:spacing w:after="40"/>
            </w:pPr>
            <w:r/>
            <w:r>
              <w:rPr>
                <w:b/>
                <w:sz w:val="17"/>
              </w:rPr>
              <w:t>/api/bills/[id]</w:t>
            </w:r>
          </w:p>
        </w:tc>
        <w:tc>
          <w:tcPr>
            <w:tcW w:type="dxa" w:w="2304"/>
          </w:tcPr>
          <w:p>
            <w:pPr>
              <w:spacing w:after="40"/>
            </w:pPr>
            <w:r/>
            <w:r>
              <w:rPr>
                <w:sz w:val="17"/>
              </w:rPr>
              <w:t>Authenticated</w:t>
            </w:r>
          </w:p>
        </w:tc>
      </w:tr>
      <w:tr>
        <w:tc>
          <w:tcPr>
            <w:tcW w:type="dxa" w:w="6624"/>
            <w:shd w:val="clear" w:fill="F3F6FB"/>
          </w:tcPr>
          <w:p>
            <w:pPr>
              <w:spacing w:after="40"/>
            </w:pPr>
            <w:r/>
            <w:r>
              <w:rPr>
                <w:b/>
                <w:sz w:val="17"/>
              </w:rPr>
              <w:t>/api/budgets</w:t>
            </w:r>
          </w:p>
        </w:tc>
        <w:tc>
          <w:tcPr>
            <w:tcW w:type="dxa" w:w="2304"/>
            <w:shd w:val="clear" w:fill="F3F6FB"/>
          </w:tcPr>
          <w:p>
            <w:pPr>
              <w:spacing w:after="40"/>
            </w:pPr>
            <w:r/>
            <w:r>
              <w:rPr>
                <w:sz w:val="17"/>
              </w:rPr>
              <w:t>Authenticated</w:t>
            </w:r>
          </w:p>
        </w:tc>
      </w:tr>
      <w:tr>
        <w:tc>
          <w:tcPr>
            <w:tcW w:type="dxa" w:w="6624"/>
          </w:tcPr>
          <w:p>
            <w:pPr>
              <w:spacing w:after="40"/>
            </w:pPr>
            <w:r/>
            <w:r>
              <w:rPr>
                <w:b/>
                <w:sz w:val="17"/>
              </w:rPr>
              <w:t>/api/contacts</w:t>
            </w:r>
          </w:p>
        </w:tc>
        <w:tc>
          <w:tcPr>
            <w:tcW w:type="dxa" w:w="2304"/>
          </w:tcPr>
          <w:p>
            <w:pPr>
              <w:spacing w:after="40"/>
            </w:pPr>
            <w:r/>
            <w:r>
              <w:rPr>
                <w:sz w:val="17"/>
              </w:rPr>
              <w:t>Authenticated</w:t>
            </w:r>
          </w:p>
        </w:tc>
      </w:tr>
      <w:tr>
        <w:tc>
          <w:tcPr>
            <w:tcW w:type="dxa" w:w="6624"/>
            <w:shd w:val="clear" w:fill="F3F6FB"/>
          </w:tcPr>
          <w:p>
            <w:pPr>
              <w:spacing w:after="40"/>
            </w:pPr>
            <w:r/>
            <w:r>
              <w:rPr>
                <w:b/>
                <w:sz w:val="17"/>
              </w:rPr>
              <w:t>/api/contacts/[id]</w:t>
            </w:r>
          </w:p>
        </w:tc>
        <w:tc>
          <w:tcPr>
            <w:tcW w:type="dxa" w:w="2304"/>
            <w:shd w:val="clear" w:fill="F3F6FB"/>
          </w:tcPr>
          <w:p>
            <w:pPr>
              <w:spacing w:after="40"/>
            </w:pPr>
            <w:r/>
            <w:r>
              <w:rPr>
                <w:sz w:val="17"/>
              </w:rPr>
              <w:t>Authenticated</w:t>
            </w:r>
          </w:p>
        </w:tc>
      </w:tr>
      <w:tr>
        <w:tc>
          <w:tcPr>
            <w:tcW w:type="dxa" w:w="6624"/>
          </w:tcPr>
          <w:p>
            <w:pPr>
              <w:spacing w:after="40"/>
            </w:pPr>
            <w:r/>
            <w:r>
              <w:rPr>
                <w:b/>
                <w:sz w:val="17"/>
              </w:rPr>
              <w:t>/api/dashboard</w:t>
            </w:r>
          </w:p>
        </w:tc>
        <w:tc>
          <w:tcPr>
            <w:tcW w:type="dxa" w:w="2304"/>
          </w:tcPr>
          <w:p>
            <w:pPr>
              <w:spacing w:after="40"/>
            </w:pPr>
            <w:r/>
            <w:r>
              <w:rPr>
                <w:sz w:val="17"/>
              </w:rPr>
              <w:t>Authenticated</w:t>
            </w:r>
          </w:p>
        </w:tc>
      </w:tr>
      <w:tr>
        <w:tc>
          <w:tcPr>
            <w:tcW w:type="dxa" w:w="6624"/>
            <w:shd w:val="clear" w:fill="F3F6FB"/>
          </w:tcPr>
          <w:p>
            <w:pPr>
              <w:spacing w:after="40"/>
            </w:pPr>
            <w:r/>
            <w:r>
              <w:rPr>
                <w:b/>
                <w:sz w:val="17"/>
              </w:rPr>
              <w:t>/api/expenses</w:t>
            </w:r>
          </w:p>
        </w:tc>
        <w:tc>
          <w:tcPr>
            <w:tcW w:type="dxa" w:w="2304"/>
            <w:shd w:val="clear" w:fill="F3F6FB"/>
          </w:tcPr>
          <w:p>
            <w:pPr>
              <w:spacing w:after="40"/>
            </w:pPr>
            <w:r/>
            <w:r>
              <w:rPr>
                <w:sz w:val="17"/>
              </w:rPr>
              <w:t>Authenticated</w:t>
            </w:r>
          </w:p>
        </w:tc>
      </w:tr>
      <w:tr>
        <w:tc>
          <w:tcPr>
            <w:tcW w:type="dxa" w:w="6624"/>
          </w:tcPr>
          <w:p>
            <w:pPr>
              <w:spacing w:after="40"/>
            </w:pPr>
            <w:r/>
            <w:r>
              <w:rPr>
                <w:b/>
                <w:sz w:val="17"/>
              </w:rPr>
              <w:t>/api/gst</w:t>
            </w:r>
          </w:p>
        </w:tc>
        <w:tc>
          <w:tcPr>
            <w:tcW w:type="dxa" w:w="2304"/>
          </w:tcPr>
          <w:p>
            <w:pPr>
              <w:spacing w:after="40"/>
            </w:pPr>
            <w:r/>
            <w:r>
              <w:rPr>
                <w:sz w:val="17"/>
              </w:rPr>
              <w:t>Authenticated</w:t>
            </w:r>
          </w:p>
        </w:tc>
      </w:tr>
      <w:tr>
        <w:tc>
          <w:tcPr>
            <w:tcW w:type="dxa" w:w="6624"/>
            <w:shd w:val="clear" w:fill="F3F6FB"/>
          </w:tcPr>
          <w:p>
            <w:pPr>
              <w:spacing w:after="40"/>
            </w:pPr>
            <w:r/>
            <w:r>
              <w:rPr>
                <w:b/>
                <w:sz w:val="17"/>
              </w:rPr>
              <w:t>/api/health</w:t>
            </w:r>
          </w:p>
        </w:tc>
        <w:tc>
          <w:tcPr>
            <w:tcW w:type="dxa" w:w="2304"/>
            <w:shd w:val="clear" w:fill="F3F6FB"/>
          </w:tcPr>
          <w:p>
            <w:pPr>
              <w:spacing w:after="40"/>
            </w:pPr>
            <w:r/>
            <w:r>
              <w:rPr>
                <w:sz w:val="17"/>
              </w:rPr>
              <w:t>Public</w:t>
            </w:r>
          </w:p>
        </w:tc>
      </w:tr>
      <w:tr>
        <w:tc>
          <w:tcPr>
            <w:tcW w:type="dxa" w:w="6624"/>
          </w:tcPr>
          <w:p>
            <w:pPr>
              <w:spacing w:after="40"/>
            </w:pPr>
            <w:r/>
            <w:r>
              <w:rPr>
                <w:b/>
                <w:sz w:val="17"/>
              </w:rPr>
              <w:t>/api/hsn-codes</w:t>
            </w:r>
          </w:p>
        </w:tc>
        <w:tc>
          <w:tcPr>
            <w:tcW w:type="dxa" w:w="2304"/>
          </w:tcPr>
          <w:p>
            <w:pPr>
              <w:spacing w:after="40"/>
            </w:pPr>
            <w:r/>
            <w:r>
              <w:rPr>
                <w:sz w:val="17"/>
              </w:rPr>
              <w:t>Authenticated</w:t>
            </w:r>
          </w:p>
        </w:tc>
      </w:tr>
      <w:tr>
        <w:tc>
          <w:tcPr>
            <w:tcW w:type="dxa" w:w="6624"/>
            <w:shd w:val="clear" w:fill="F3F6FB"/>
          </w:tcPr>
          <w:p>
            <w:pPr>
              <w:spacing w:after="40"/>
            </w:pPr>
            <w:r/>
            <w:r>
              <w:rPr>
                <w:b/>
                <w:sz w:val="17"/>
              </w:rPr>
              <w:t>/api/insights</w:t>
            </w:r>
          </w:p>
        </w:tc>
        <w:tc>
          <w:tcPr>
            <w:tcW w:type="dxa" w:w="2304"/>
            <w:shd w:val="clear" w:fill="F3F6FB"/>
          </w:tcPr>
          <w:p>
            <w:pPr>
              <w:spacing w:after="40"/>
            </w:pPr>
            <w:r/>
            <w:r>
              <w:rPr>
                <w:sz w:val="17"/>
              </w:rPr>
              <w:t>Authenticated</w:t>
            </w:r>
          </w:p>
        </w:tc>
      </w:tr>
      <w:tr>
        <w:tc>
          <w:tcPr>
            <w:tcW w:type="dxa" w:w="6624"/>
          </w:tcPr>
          <w:p>
            <w:pPr>
              <w:spacing w:after="40"/>
            </w:pPr>
            <w:r/>
            <w:r>
              <w:rPr>
                <w:b/>
                <w:sz w:val="17"/>
              </w:rPr>
              <w:t>/api/inventory</w:t>
            </w:r>
          </w:p>
        </w:tc>
        <w:tc>
          <w:tcPr>
            <w:tcW w:type="dxa" w:w="2304"/>
          </w:tcPr>
          <w:p>
            <w:pPr>
              <w:spacing w:after="40"/>
            </w:pPr>
            <w:r/>
            <w:r>
              <w:rPr>
                <w:sz w:val="17"/>
              </w:rPr>
              <w:t>Authenticated</w:t>
            </w:r>
          </w:p>
        </w:tc>
      </w:tr>
      <w:tr>
        <w:tc>
          <w:tcPr>
            <w:tcW w:type="dxa" w:w="6624"/>
            <w:shd w:val="clear" w:fill="F3F6FB"/>
          </w:tcPr>
          <w:p>
            <w:pPr>
              <w:spacing w:after="40"/>
            </w:pPr>
            <w:r/>
            <w:r>
              <w:rPr>
                <w:b/>
                <w:sz w:val="17"/>
              </w:rPr>
              <w:t>/api/invoices</w:t>
            </w:r>
          </w:p>
        </w:tc>
        <w:tc>
          <w:tcPr>
            <w:tcW w:type="dxa" w:w="2304"/>
            <w:shd w:val="clear" w:fill="F3F6FB"/>
          </w:tcPr>
          <w:p>
            <w:pPr>
              <w:spacing w:after="40"/>
            </w:pPr>
            <w:r/>
            <w:r>
              <w:rPr>
                <w:sz w:val="17"/>
              </w:rPr>
              <w:t>Authenticated</w:t>
            </w:r>
          </w:p>
        </w:tc>
      </w:tr>
      <w:tr>
        <w:tc>
          <w:tcPr>
            <w:tcW w:type="dxa" w:w="6624"/>
          </w:tcPr>
          <w:p>
            <w:pPr>
              <w:spacing w:after="40"/>
            </w:pPr>
            <w:r/>
            <w:r>
              <w:rPr>
                <w:b/>
                <w:sz w:val="17"/>
              </w:rPr>
              <w:t>/api/invoices/[id]</w:t>
            </w:r>
          </w:p>
        </w:tc>
        <w:tc>
          <w:tcPr>
            <w:tcW w:type="dxa" w:w="2304"/>
          </w:tcPr>
          <w:p>
            <w:pPr>
              <w:spacing w:after="40"/>
            </w:pPr>
            <w:r/>
            <w:r>
              <w:rPr>
                <w:sz w:val="17"/>
              </w:rPr>
              <w:t>Authenticated</w:t>
            </w:r>
          </w:p>
        </w:tc>
      </w:tr>
      <w:tr>
        <w:tc>
          <w:tcPr>
            <w:tcW w:type="dxa" w:w="6624"/>
            <w:shd w:val="clear" w:fill="F3F6FB"/>
          </w:tcPr>
          <w:p>
            <w:pPr>
              <w:spacing w:after="40"/>
            </w:pPr>
            <w:r/>
            <w:r>
              <w:rPr>
                <w:b/>
                <w:sz w:val="17"/>
              </w:rPr>
              <w:t>/api/items</w:t>
            </w:r>
          </w:p>
        </w:tc>
        <w:tc>
          <w:tcPr>
            <w:tcW w:type="dxa" w:w="2304"/>
            <w:shd w:val="clear" w:fill="F3F6FB"/>
          </w:tcPr>
          <w:p>
            <w:pPr>
              <w:spacing w:after="40"/>
            </w:pPr>
            <w:r/>
            <w:r>
              <w:rPr>
                <w:sz w:val="17"/>
              </w:rPr>
              <w:t>Authenticated</w:t>
            </w:r>
          </w:p>
        </w:tc>
      </w:tr>
      <w:tr>
        <w:tc>
          <w:tcPr>
            <w:tcW w:type="dxa" w:w="6624"/>
          </w:tcPr>
          <w:p>
            <w:pPr>
              <w:spacing w:after="40"/>
            </w:pPr>
            <w:r/>
            <w:r>
              <w:rPr>
                <w:b/>
                <w:sz w:val="17"/>
              </w:rPr>
              <w:t>/api/journal</w:t>
            </w:r>
          </w:p>
        </w:tc>
        <w:tc>
          <w:tcPr>
            <w:tcW w:type="dxa" w:w="2304"/>
          </w:tcPr>
          <w:p>
            <w:pPr>
              <w:spacing w:after="40"/>
            </w:pPr>
            <w:r/>
            <w:r>
              <w:rPr>
                <w:sz w:val="17"/>
              </w:rPr>
              <w:t>Authenticated</w:t>
            </w:r>
          </w:p>
        </w:tc>
      </w:tr>
      <w:tr>
        <w:tc>
          <w:tcPr>
            <w:tcW w:type="dxa" w:w="6624"/>
            <w:shd w:val="clear" w:fill="F3F6FB"/>
          </w:tcPr>
          <w:p>
            <w:pPr>
              <w:spacing w:after="40"/>
            </w:pPr>
            <w:r/>
            <w:r>
              <w:rPr>
                <w:b/>
                <w:sz w:val="17"/>
              </w:rPr>
              <w:t>/api/masters</w:t>
            </w:r>
          </w:p>
        </w:tc>
        <w:tc>
          <w:tcPr>
            <w:tcW w:type="dxa" w:w="2304"/>
            <w:shd w:val="clear" w:fill="F3F6FB"/>
          </w:tcPr>
          <w:p>
            <w:pPr>
              <w:spacing w:after="40"/>
            </w:pPr>
            <w:r/>
            <w:r>
              <w:rPr>
                <w:sz w:val="17"/>
              </w:rPr>
              <w:t>Authenticated</w:t>
            </w:r>
          </w:p>
        </w:tc>
      </w:tr>
      <w:tr>
        <w:tc>
          <w:tcPr>
            <w:tcW w:type="dxa" w:w="6624"/>
          </w:tcPr>
          <w:p>
            <w:pPr>
              <w:spacing w:after="40"/>
            </w:pPr>
            <w:r/>
            <w:r>
              <w:rPr>
                <w:b/>
                <w:sz w:val="17"/>
              </w:rPr>
              <w:t>/api/msme-tracker</w:t>
            </w:r>
          </w:p>
        </w:tc>
        <w:tc>
          <w:tcPr>
            <w:tcW w:type="dxa" w:w="2304"/>
          </w:tcPr>
          <w:p>
            <w:pPr>
              <w:spacing w:after="40"/>
            </w:pPr>
            <w:r/>
            <w:r>
              <w:rPr>
                <w:sz w:val="17"/>
              </w:rPr>
              <w:t>Authenticated</w:t>
            </w:r>
          </w:p>
        </w:tc>
      </w:tr>
      <w:tr>
        <w:tc>
          <w:tcPr>
            <w:tcW w:type="dxa" w:w="6624"/>
            <w:shd w:val="clear" w:fill="F3F6FB"/>
          </w:tcPr>
          <w:p>
            <w:pPr>
              <w:spacing w:after="40"/>
            </w:pPr>
            <w:r/>
            <w:r>
              <w:rPr>
                <w:b/>
                <w:sz w:val="17"/>
              </w:rPr>
              <w:t>/api/nav-counts</w:t>
            </w:r>
          </w:p>
        </w:tc>
        <w:tc>
          <w:tcPr>
            <w:tcW w:type="dxa" w:w="2304"/>
            <w:shd w:val="clear" w:fill="F3F6FB"/>
          </w:tcPr>
          <w:p>
            <w:pPr>
              <w:spacing w:after="40"/>
            </w:pPr>
            <w:r/>
            <w:r>
              <w:rPr>
                <w:sz w:val="17"/>
              </w:rPr>
              <w:t>Authenticated</w:t>
            </w:r>
          </w:p>
        </w:tc>
      </w:tr>
      <w:tr>
        <w:tc>
          <w:tcPr>
            <w:tcW w:type="dxa" w:w="6624"/>
          </w:tcPr>
          <w:p>
            <w:pPr>
              <w:spacing w:after="40"/>
            </w:pPr>
            <w:r/>
            <w:r>
              <w:rPr>
                <w:b/>
                <w:sz w:val="17"/>
              </w:rPr>
              <w:t>/api/payments</w:t>
            </w:r>
          </w:p>
        </w:tc>
        <w:tc>
          <w:tcPr>
            <w:tcW w:type="dxa" w:w="2304"/>
          </w:tcPr>
          <w:p>
            <w:pPr>
              <w:spacing w:after="40"/>
            </w:pPr>
            <w:r/>
            <w:r>
              <w:rPr>
                <w:sz w:val="17"/>
              </w:rPr>
              <w:t>Authenticated</w:t>
            </w:r>
          </w:p>
        </w:tc>
      </w:tr>
      <w:tr>
        <w:tc>
          <w:tcPr>
            <w:tcW w:type="dxa" w:w="6624"/>
            <w:shd w:val="clear" w:fill="F3F6FB"/>
          </w:tcPr>
          <w:p>
            <w:pPr>
              <w:spacing w:after="40"/>
            </w:pPr>
            <w:r/>
            <w:r>
              <w:rPr>
                <w:b/>
                <w:sz w:val="17"/>
              </w:rPr>
              <w:t>/api/period-close</w:t>
            </w:r>
          </w:p>
        </w:tc>
        <w:tc>
          <w:tcPr>
            <w:tcW w:type="dxa" w:w="2304"/>
            <w:shd w:val="clear" w:fill="F3F6FB"/>
          </w:tcPr>
          <w:p>
            <w:pPr>
              <w:spacing w:after="40"/>
            </w:pPr>
            <w:r/>
            <w:r>
              <w:rPr>
                <w:sz w:val="17"/>
              </w:rPr>
              <w:t>Authenticated</w:t>
            </w:r>
          </w:p>
        </w:tc>
      </w:tr>
      <w:tr>
        <w:tc>
          <w:tcPr>
            <w:tcW w:type="dxa" w:w="6624"/>
          </w:tcPr>
          <w:p>
            <w:pPr>
              <w:spacing w:after="40"/>
            </w:pPr>
            <w:r/>
            <w:r>
              <w:rPr>
                <w:b/>
                <w:sz w:val="17"/>
              </w:rPr>
              <w:t>/api/purchase-documents</w:t>
            </w:r>
          </w:p>
        </w:tc>
        <w:tc>
          <w:tcPr>
            <w:tcW w:type="dxa" w:w="2304"/>
          </w:tcPr>
          <w:p>
            <w:pPr>
              <w:spacing w:after="40"/>
            </w:pPr>
            <w:r/>
            <w:r>
              <w:rPr>
                <w:sz w:val="17"/>
              </w:rPr>
              <w:t>Authenticated</w:t>
            </w:r>
          </w:p>
        </w:tc>
      </w:tr>
      <w:tr>
        <w:tc>
          <w:tcPr>
            <w:tcW w:type="dxa" w:w="6624"/>
            <w:shd w:val="clear" w:fill="F3F6FB"/>
          </w:tcPr>
          <w:p>
            <w:pPr>
              <w:spacing w:after="40"/>
            </w:pPr>
            <w:r/>
            <w:r>
              <w:rPr>
                <w:b/>
                <w:sz w:val="17"/>
              </w:rPr>
              <w:t>/api/recurring-invoices</w:t>
            </w:r>
          </w:p>
        </w:tc>
        <w:tc>
          <w:tcPr>
            <w:tcW w:type="dxa" w:w="2304"/>
            <w:shd w:val="clear" w:fill="F3F6FB"/>
          </w:tcPr>
          <w:p>
            <w:pPr>
              <w:spacing w:after="40"/>
            </w:pPr>
            <w:r/>
            <w:r>
              <w:rPr>
                <w:sz w:val="17"/>
              </w:rPr>
              <w:t>Authenticated</w:t>
            </w:r>
          </w:p>
        </w:tc>
      </w:tr>
      <w:tr>
        <w:tc>
          <w:tcPr>
            <w:tcW w:type="dxa" w:w="6624"/>
          </w:tcPr>
          <w:p>
            <w:pPr>
              <w:spacing w:after="40"/>
            </w:pPr>
            <w:r/>
            <w:r>
              <w:rPr>
                <w:b/>
                <w:sz w:val="17"/>
              </w:rPr>
              <w:t>/api/recurring-journals</w:t>
            </w:r>
          </w:p>
        </w:tc>
        <w:tc>
          <w:tcPr>
            <w:tcW w:type="dxa" w:w="2304"/>
          </w:tcPr>
          <w:p>
            <w:pPr>
              <w:spacing w:after="40"/>
            </w:pPr>
            <w:r/>
            <w:r>
              <w:rPr>
                <w:sz w:val="17"/>
              </w:rPr>
              <w:t>Authenticated</w:t>
            </w:r>
          </w:p>
        </w:tc>
      </w:tr>
      <w:tr>
        <w:tc>
          <w:tcPr>
            <w:tcW w:type="dxa" w:w="6624"/>
            <w:shd w:val="clear" w:fill="F3F6FB"/>
          </w:tcPr>
          <w:p>
            <w:pPr>
              <w:spacing w:after="40"/>
            </w:pPr>
            <w:r/>
            <w:r>
              <w:rPr>
                <w:b/>
                <w:sz w:val="17"/>
              </w:rPr>
              <w:t>/api/reports</w:t>
            </w:r>
          </w:p>
        </w:tc>
        <w:tc>
          <w:tcPr>
            <w:tcW w:type="dxa" w:w="2304"/>
            <w:shd w:val="clear" w:fill="F3F6FB"/>
          </w:tcPr>
          <w:p>
            <w:pPr>
              <w:spacing w:after="40"/>
            </w:pPr>
            <w:r/>
            <w:r>
              <w:rPr>
                <w:sz w:val="17"/>
              </w:rPr>
              <w:t>Authenticated</w:t>
            </w:r>
          </w:p>
        </w:tc>
      </w:tr>
      <w:tr>
        <w:tc>
          <w:tcPr>
            <w:tcW w:type="dxa" w:w="6624"/>
          </w:tcPr>
          <w:p>
            <w:pPr>
              <w:spacing w:after="40"/>
            </w:pPr>
            <w:r/>
            <w:r>
              <w:rPr>
                <w:b/>
                <w:sz w:val="17"/>
              </w:rPr>
              <w:t>/api/sales-documents</w:t>
            </w:r>
          </w:p>
        </w:tc>
        <w:tc>
          <w:tcPr>
            <w:tcW w:type="dxa" w:w="2304"/>
          </w:tcPr>
          <w:p>
            <w:pPr>
              <w:spacing w:after="40"/>
            </w:pPr>
            <w:r/>
            <w:r>
              <w:rPr>
                <w:sz w:val="17"/>
              </w:rPr>
              <w:t>Authenticated</w:t>
            </w:r>
          </w:p>
        </w:tc>
      </w:tr>
      <w:tr>
        <w:tc>
          <w:tcPr>
            <w:tcW w:type="dxa" w:w="6624"/>
            <w:shd w:val="clear" w:fill="F3F6FB"/>
          </w:tcPr>
          <w:p>
            <w:pPr>
              <w:spacing w:after="40"/>
            </w:pPr>
            <w:r/>
            <w:r>
              <w:rPr>
                <w:b/>
                <w:sz w:val="17"/>
              </w:rPr>
              <w:t>/api/search</w:t>
            </w:r>
          </w:p>
        </w:tc>
        <w:tc>
          <w:tcPr>
            <w:tcW w:type="dxa" w:w="2304"/>
            <w:shd w:val="clear" w:fill="F3F6FB"/>
          </w:tcPr>
          <w:p>
            <w:pPr>
              <w:spacing w:after="40"/>
            </w:pPr>
            <w:r/>
            <w:r>
              <w:rPr>
                <w:sz w:val="17"/>
              </w:rPr>
              <w:t>Authenticated</w:t>
            </w:r>
          </w:p>
        </w:tc>
      </w:tr>
      <w:tr>
        <w:tc>
          <w:tcPr>
            <w:tcW w:type="dxa" w:w="6624"/>
          </w:tcPr>
          <w:p>
            <w:pPr>
              <w:spacing w:after="40"/>
            </w:pPr>
            <w:r/>
            <w:r>
              <w:rPr>
                <w:b/>
                <w:sz w:val="17"/>
              </w:rPr>
              <w:t>/api/settings</w:t>
            </w:r>
          </w:p>
        </w:tc>
        <w:tc>
          <w:tcPr>
            <w:tcW w:type="dxa" w:w="2304"/>
          </w:tcPr>
          <w:p>
            <w:pPr>
              <w:spacing w:after="40"/>
            </w:pPr>
            <w:r/>
            <w:r>
              <w:rPr>
                <w:sz w:val="17"/>
              </w:rPr>
              <w:t>Authenticated</w:t>
            </w:r>
          </w:p>
        </w:tc>
      </w:tr>
      <w:tr>
        <w:tc>
          <w:tcPr>
            <w:tcW w:type="dxa" w:w="6624"/>
            <w:shd w:val="clear" w:fill="F3F6FB"/>
          </w:tcPr>
          <w:p>
            <w:pPr>
              <w:spacing w:after="40"/>
            </w:pPr>
            <w:r/>
            <w:r>
              <w:rPr>
                <w:b/>
                <w:sz w:val="17"/>
              </w:rPr>
              <w:t>/api/transaction-locks</w:t>
            </w:r>
          </w:p>
        </w:tc>
        <w:tc>
          <w:tcPr>
            <w:tcW w:type="dxa" w:w="2304"/>
            <w:shd w:val="clear" w:fill="F3F6FB"/>
          </w:tcPr>
          <w:p>
            <w:pPr>
              <w:spacing w:after="40"/>
            </w:pPr>
            <w:r/>
            <w:r>
              <w:rPr>
                <w:sz w:val="17"/>
              </w:rPr>
              <w:t>Authenticated</w:t>
            </w:r>
          </w:p>
        </w:tc>
      </w:tr>
    </w:tbl>
    <w:p>
      <w:pPr>
        <w:spacing w:after="80"/>
      </w:pPr>
    </w:p>
    <w:p>
      <w:r>
        <w:br w:type="page"/>
      </w:r>
    </w:p>
    <w:p>
      <w:pPr>
        <w:pStyle w:val="Heading1"/>
      </w:pPr>
      <w:r>
        <w:t>Appendix B — Database tables</w:t>
      </w:r>
    </w:p>
    <w:p>
      <w:r>
        <w:rPr>
          <w:b w:val="0"/>
          <w:i w:val="0"/>
        </w:rPr>
        <w:t>56 tables across 15 migrations.</w:t>
      </w:r>
    </w:p>
    <w:tbl>
      <w:tblPr>
        <w:tblStyle w:val="TableGrid"/>
        <w:tblW w:type="auto" w:w="0"/>
        <w:jc w:val="center"/>
        <w:tblLook w:firstColumn="1" w:firstRow="1" w:lastColumn="0" w:lastRow="0" w:noHBand="0" w:noVBand="1" w:val="04A0"/>
      </w:tblPr>
      <w:tblGrid>
        <w:gridCol w:w="4680"/>
        <w:gridCol w:w="4680"/>
      </w:tblGrid>
      <w:tr>
        <w:tc>
          <w:tcPr>
            <w:tcW w:type="dxa" w:w="4896"/>
            <w:shd w:val="clear" w:fill="002F6E"/>
          </w:tcPr>
          <w:p>
            <w:pPr>
              <w:spacing w:after="40"/>
            </w:pPr>
            <w:r/>
            <w:r>
              <w:rPr>
                <w:b/>
                <w:color w:val="FFFFFF"/>
                <w:sz w:val="17"/>
              </w:rPr>
              <w:t>Table</w:t>
            </w:r>
          </w:p>
        </w:tc>
        <w:tc>
          <w:tcPr>
            <w:tcW w:type="dxa" w:w="4032"/>
            <w:shd w:val="clear" w:fill="002F6E"/>
          </w:tcPr>
          <w:p>
            <w:pPr>
              <w:spacing w:after="40"/>
            </w:pPr>
            <w:r/>
            <w:r>
              <w:rPr>
                <w:b/>
                <w:color w:val="FFFFFF"/>
                <w:sz w:val="17"/>
              </w:rPr>
              <w:t>Introduced in</w:t>
            </w:r>
          </w:p>
        </w:tc>
      </w:tr>
      <w:tr>
        <w:tc>
          <w:tcPr>
            <w:tcW w:type="dxa" w:w="4896"/>
          </w:tcPr>
          <w:p>
            <w:pPr>
              <w:spacing w:after="40"/>
            </w:pPr>
            <w:r/>
            <w:r>
              <w:rPr>
                <w:b/>
                <w:sz w:val="17"/>
              </w:rPr>
              <w:t>organizations</w:t>
            </w:r>
          </w:p>
        </w:tc>
        <w:tc>
          <w:tcPr>
            <w:tcW w:type="dxa" w:w="4032"/>
          </w:tcPr>
          <w:p>
            <w:pPr>
              <w:spacing w:after="40"/>
            </w:pPr>
            <w:r/>
            <w:r>
              <w:rPr>
                <w:sz w:val="17"/>
              </w:rPr>
              <w:t>001_core.sql</w:t>
            </w:r>
          </w:p>
        </w:tc>
      </w:tr>
      <w:tr>
        <w:tc>
          <w:tcPr>
            <w:tcW w:type="dxa" w:w="4896"/>
            <w:shd w:val="clear" w:fill="F3F6FB"/>
          </w:tcPr>
          <w:p>
            <w:pPr>
              <w:spacing w:after="40"/>
            </w:pPr>
            <w:r/>
            <w:r>
              <w:rPr>
                <w:b/>
                <w:sz w:val="17"/>
              </w:rPr>
              <w:t>branches</w:t>
            </w:r>
          </w:p>
        </w:tc>
        <w:tc>
          <w:tcPr>
            <w:tcW w:type="dxa" w:w="4032"/>
            <w:shd w:val="clear" w:fill="F3F6FB"/>
          </w:tcPr>
          <w:p>
            <w:pPr>
              <w:spacing w:after="40"/>
            </w:pPr>
            <w:r/>
            <w:r>
              <w:rPr>
                <w:sz w:val="17"/>
              </w:rPr>
              <w:t>001_core.sql</w:t>
            </w:r>
          </w:p>
        </w:tc>
      </w:tr>
      <w:tr>
        <w:tc>
          <w:tcPr>
            <w:tcW w:type="dxa" w:w="4896"/>
          </w:tcPr>
          <w:p>
            <w:pPr>
              <w:spacing w:after="40"/>
            </w:pPr>
            <w:r/>
            <w:r>
              <w:rPr>
                <w:b/>
                <w:sz w:val="17"/>
              </w:rPr>
              <w:t>users</w:t>
            </w:r>
          </w:p>
        </w:tc>
        <w:tc>
          <w:tcPr>
            <w:tcW w:type="dxa" w:w="4032"/>
          </w:tcPr>
          <w:p>
            <w:pPr>
              <w:spacing w:after="40"/>
            </w:pPr>
            <w:r/>
            <w:r>
              <w:rPr>
                <w:sz w:val="17"/>
              </w:rPr>
              <w:t>001_core.sql</w:t>
            </w:r>
          </w:p>
        </w:tc>
      </w:tr>
      <w:tr>
        <w:tc>
          <w:tcPr>
            <w:tcW w:type="dxa" w:w="4896"/>
            <w:shd w:val="clear" w:fill="F3F6FB"/>
          </w:tcPr>
          <w:p>
            <w:pPr>
              <w:spacing w:after="40"/>
            </w:pPr>
            <w:r/>
            <w:r>
              <w:rPr>
                <w:b/>
                <w:sz w:val="17"/>
              </w:rPr>
              <w:t>user_branches</w:t>
            </w:r>
          </w:p>
        </w:tc>
        <w:tc>
          <w:tcPr>
            <w:tcW w:type="dxa" w:w="4032"/>
            <w:shd w:val="clear" w:fill="F3F6FB"/>
          </w:tcPr>
          <w:p>
            <w:pPr>
              <w:spacing w:after="40"/>
            </w:pPr>
            <w:r/>
            <w:r>
              <w:rPr>
                <w:sz w:val="17"/>
              </w:rPr>
              <w:t>001_core.sql</w:t>
            </w:r>
          </w:p>
        </w:tc>
      </w:tr>
      <w:tr>
        <w:tc>
          <w:tcPr>
            <w:tcW w:type="dxa" w:w="4896"/>
          </w:tcPr>
          <w:p>
            <w:pPr>
              <w:spacing w:after="40"/>
            </w:pPr>
            <w:r/>
            <w:r>
              <w:rPr>
                <w:b/>
                <w:sz w:val="17"/>
              </w:rPr>
              <w:t>sessions</w:t>
            </w:r>
          </w:p>
        </w:tc>
        <w:tc>
          <w:tcPr>
            <w:tcW w:type="dxa" w:w="4032"/>
          </w:tcPr>
          <w:p>
            <w:pPr>
              <w:spacing w:after="40"/>
            </w:pPr>
            <w:r/>
            <w:r>
              <w:rPr>
                <w:sz w:val="17"/>
              </w:rPr>
              <w:t>001_core.sql</w:t>
            </w:r>
          </w:p>
        </w:tc>
      </w:tr>
      <w:tr>
        <w:tc>
          <w:tcPr>
            <w:tcW w:type="dxa" w:w="4896"/>
            <w:shd w:val="clear" w:fill="F3F6FB"/>
          </w:tcPr>
          <w:p>
            <w:pPr>
              <w:spacing w:after="40"/>
            </w:pPr>
            <w:r/>
            <w:r>
              <w:rPr>
                <w:b/>
                <w:sz w:val="17"/>
              </w:rPr>
              <w:t>audit_log</w:t>
            </w:r>
          </w:p>
        </w:tc>
        <w:tc>
          <w:tcPr>
            <w:tcW w:type="dxa" w:w="4032"/>
            <w:shd w:val="clear" w:fill="F3F6FB"/>
          </w:tcPr>
          <w:p>
            <w:pPr>
              <w:spacing w:after="40"/>
            </w:pPr>
            <w:r/>
            <w:r>
              <w:rPr>
                <w:sz w:val="17"/>
              </w:rPr>
              <w:t>001_core.sql</w:t>
            </w:r>
          </w:p>
        </w:tc>
      </w:tr>
      <w:tr>
        <w:tc>
          <w:tcPr>
            <w:tcW w:type="dxa" w:w="4896"/>
          </w:tcPr>
          <w:p>
            <w:pPr>
              <w:spacing w:after="40"/>
            </w:pPr>
            <w:r/>
            <w:r>
              <w:rPr>
                <w:b/>
                <w:sz w:val="17"/>
              </w:rPr>
              <w:t>accounts</w:t>
            </w:r>
          </w:p>
        </w:tc>
        <w:tc>
          <w:tcPr>
            <w:tcW w:type="dxa" w:w="4032"/>
          </w:tcPr>
          <w:p>
            <w:pPr>
              <w:spacing w:after="40"/>
            </w:pPr>
            <w:r/>
            <w:r>
              <w:rPr>
                <w:sz w:val="17"/>
              </w:rPr>
              <w:t>002_ledger.sql</w:t>
            </w:r>
          </w:p>
        </w:tc>
      </w:tr>
      <w:tr>
        <w:tc>
          <w:tcPr>
            <w:tcW w:type="dxa" w:w="4896"/>
            <w:shd w:val="clear" w:fill="F3F6FB"/>
          </w:tcPr>
          <w:p>
            <w:pPr>
              <w:spacing w:after="40"/>
            </w:pPr>
            <w:r/>
            <w:r>
              <w:rPr>
                <w:b/>
                <w:sz w:val="17"/>
              </w:rPr>
              <w:t>number_series</w:t>
            </w:r>
          </w:p>
        </w:tc>
        <w:tc>
          <w:tcPr>
            <w:tcW w:type="dxa" w:w="4032"/>
            <w:shd w:val="clear" w:fill="F3F6FB"/>
          </w:tcPr>
          <w:p>
            <w:pPr>
              <w:spacing w:after="40"/>
            </w:pPr>
            <w:r/>
            <w:r>
              <w:rPr>
                <w:sz w:val="17"/>
              </w:rPr>
              <w:t>002_ledger.sql</w:t>
            </w:r>
          </w:p>
        </w:tc>
      </w:tr>
      <w:tr>
        <w:tc>
          <w:tcPr>
            <w:tcW w:type="dxa" w:w="4896"/>
          </w:tcPr>
          <w:p>
            <w:pPr>
              <w:spacing w:after="40"/>
            </w:pPr>
            <w:r/>
            <w:r>
              <w:rPr>
                <w:b/>
                <w:sz w:val="17"/>
              </w:rPr>
              <w:t>journal_entries</w:t>
            </w:r>
          </w:p>
        </w:tc>
        <w:tc>
          <w:tcPr>
            <w:tcW w:type="dxa" w:w="4032"/>
          </w:tcPr>
          <w:p>
            <w:pPr>
              <w:spacing w:after="40"/>
            </w:pPr>
            <w:r/>
            <w:r>
              <w:rPr>
                <w:sz w:val="17"/>
              </w:rPr>
              <w:t>002_ledger.sql</w:t>
            </w:r>
          </w:p>
        </w:tc>
      </w:tr>
      <w:tr>
        <w:tc>
          <w:tcPr>
            <w:tcW w:type="dxa" w:w="4896"/>
            <w:shd w:val="clear" w:fill="F3F6FB"/>
          </w:tcPr>
          <w:p>
            <w:pPr>
              <w:spacing w:after="40"/>
            </w:pPr>
            <w:r/>
            <w:r>
              <w:rPr>
                <w:b/>
                <w:sz w:val="17"/>
              </w:rPr>
              <w:t>journal_lines</w:t>
            </w:r>
          </w:p>
        </w:tc>
        <w:tc>
          <w:tcPr>
            <w:tcW w:type="dxa" w:w="4032"/>
            <w:shd w:val="clear" w:fill="F3F6FB"/>
          </w:tcPr>
          <w:p>
            <w:pPr>
              <w:spacing w:after="40"/>
            </w:pPr>
            <w:r/>
            <w:r>
              <w:rPr>
                <w:sz w:val="17"/>
              </w:rPr>
              <w:t>002_ledger.sql</w:t>
            </w:r>
          </w:p>
        </w:tc>
      </w:tr>
      <w:tr>
        <w:tc>
          <w:tcPr>
            <w:tcW w:type="dxa" w:w="4896"/>
          </w:tcPr>
          <w:p>
            <w:pPr>
              <w:spacing w:after="40"/>
            </w:pPr>
            <w:r/>
            <w:r>
              <w:rPr>
                <w:b/>
                <w:sz w:val="17"/>
              </w:rPr>
              <w:t>transaction_locks</w:t>
            </w:r>
          </w:p>
        </w:tc>
        <w:tc>
          <w:tcPr>
            <w:tcW w:type="dxa" w:w="4032"/>
          </w:tcPr>
          <w:p>
            <w:pPr>
              <w:spacing w:after="40"/>
            </w:pPr>
            <w:r/>
            <w:r>
              <w:rPr>
                <w:sz w:val="17"/>
              </w:rPr>
              <w:t>002_ledger.sql</w:t>
            </w:r>
          </w:p>
        </w:tc>
      </w:tr>
      <w:tr>
        <w:tc>
          <w:tcPr>
            <w:tcW w:type="dxa" w:w="4896"/>
            <w:shd w:val="clear" w:fill="F3F6FB"/>
          </w:tcPr>
          <w:p>
            <w:pPr>
              <w:spacing w:after="40"/>
            </w:pPr>
            <w:r/>
            <w:r>
              <w:rPr>
                <w:b/>
                <w:sz w:val="17"/>
              </w:rPr>
              <w:t>contacts</w:t>
            </w:r>
          </w:p>
        </w:tc>
        <w:tc>
          <w:tcPr>
            <w:tcW w:type="dxa" w:w="4032"/>
            <w:shd w:val="clear" w:fill="F3F6FB"/>
          </w:tcPr>
          <w:p>
            <w:pPr>
              <w:spacing w:after="40"/>
            </w:pPr>
            <w:r/>
            <w:r>
              <w:rPr>
                <w:sz w:val="17"/>
              </w:rPr>
              <w:t>003_masters.sql</w:t>
            </w:r>
          </w:p>
        </w:tc>
      </w:tr>
      <w:tr>
        <w:tc>
          <w:tcPr>
            <w:tcW w:type="dxa" w:w="4896"/>
          </w:tcPr>
          <w:p>
            <w:pPr>
              <w:spacing w:after="40"/>
            </w:pPr>
            <w:r/>
            <w:r>
              <w:rPr>
                <w:b/>
                <w:sz w:val="17"/>
              </w:rPr>
              <w:t>hsn_codes</w:t>
            </w:r>
          </w:p>
        </w:tc>
        <w:tc>
          <w:tcPr>
            <w:tcW w:type="dxa" w:w="4032"/>
          </w:tcPr>
          <w:p>
            <w:pPr>
              <w:spacing w:after="40"/>
            </w:pPr>
            <w:r/>
            <w:r>
              <w:rPr>
                <w:sz w:val="17"/>
              </w:rPr>
              <w:t>003_masters.sql</w:t>
            </w:r>
          </w:p>
        </w:tc>
      </w:tr>
      <w:tr>
        <w:tc>
          <w:tcPr>
            <w:tcW w:type="dxa" w:w="4896"/>
            <w:shd w:val="clear" w:fill="F3F6FB"/>
          </w:tcPr>
          <w:p>
            <w:pPr>
              <w:spacing w:after="40"/>
            </w:pPr>
            <w:r/>
            <w:r>
              <w:rPr>
                <w:b/>
                <w:sz w:val="17"/>
              </w:rPr>
              <w:t>items</w:t>
            </w:r>
          </w:p>
        </w:tc>
        <w:tc>
          <w:tcPr>
            <w:tcW w:type="dxa" w:w="4032"/>
            <w:shd w:val="clear" w:fill="F3F6FB"/>
          </w:tcPr>
          <w:p>
            <w:pPr>
              <w:spacing w:after="40"/>
            </w:pPr>
            <w:r/>
            <w:r>
              <w:rPr>
                <w:sz w:val="17"/>
              </w:rPr>
              <w:t>003_masters.sql</w:t>
            </w:r>
          </w:p>
        </w:tc>
      </w:tr>
      <w:tr>
        <w:tc>
          <w:tcPr>
            <w:tcW w:type="dxa" w:w="4896"/>
          </w:tcPr>
          <w:p>
            <w:pPr>
              <w:spacing w:after="40"/>
            </w:pPr>
            <w:r/>
            <w:r>
              <w:rPr>
                <w:b/>
                <w:sz w:val="17"/>
              </w:rPr>
              <w:t>invoices</w:t>
            </w:r>
          </w:p>
        </w:tc>
        <w:tc>
          <w:tcPr>
            <w:tcW w:type="dxa" w:w="4032"/>
          </w:tcPr>
          <w:p>
            <w:pPr>
              <w:spacing w:after="40"/>
            </w:pPr>
            <w:r/>
            <w:r>
              <w:rPr>
                <w:sz w:val="17"/>
              </w:rPr>
              <w:t>004_sales.sql</w:t>
            </w:r>
          </w:p>
        </w:tc>
      </w:tr>
      <w:tr>
        <w:tc>
          <w:tcPr>
            <w:tcW w:type="dxa" w:w="4896"/>
            <w:shd w:val="clear" w:fill="F3F6FB"/>
          </w:tcPr>
          <w:p>
            <w:pPr>
              <w:spacing w:after="40"/>
            </w:pPr>
            <w:r/>
            <w:r>
              <w:rPr>
                <w:b/>
                <w:sz w:val="17"/>
              </w:rPr>
              <w:t>invoice_lines</w:t>
            </w:r>
          </w:p>
        </w:tc>
        <w:tc>
          <w:tcPr>
            <w:tcW w:type="dxa" w:w="4032"/>
            <w:shd w:val="clear" w:fill="F3F6FB"/>
          </w:tcPr>
          <w:p>
            <w:pPr>
              <w:spacing w:after="40"/>
            </w:pPr>
            <w:r/>
            <w:r>
              <w:rPr>
                <w:sz w:val="17"/>
              </w:rPr>
              <w:t>004_sales.sql</w:t>
            </w:r>
          </w:p>
        </w:tc>
      </w:tr>
      <w:tr>
        <w:tc>
          <w:tcPr>
            <w:tcW w:type="dxa" w:w="4896"/>
          </w:tcPr>
          <w:p>
            <w:pPr>
              <w:spacing w:after="40"/>
            </w:pPr>
            <w:r/>
            <w:r>
              <w:rPr>
                <w:b/>
                <w:sz w:val="17"/>
              </w:rPr>
              <w:t>estimates</w:t>
            </w:r>
          </w:p>
        </w:tc>
        <w:tc>
          <w:tcPr>
            <w:tcW w:type="dxa" w:w="4032"/>
          </w:tcPr>
          <w:p>
            <w:pPr>
              <w:spacing w:after="40"/>
            </w:pPr>
            <w:r/>
            <w:r>
              <w:rPr>
                <w:sz w:val="17"/>
              </w:rPr>
              <w:t>004_sales.sql</w:t>
            </w:r>
          </w:p>
        </w:tc>
      </w:tr>
      <w:tr>
        <w:tc>
          <w:tcPr>
            <w:tcW w:type="dxa" w:w="4896"/>
            <w:shd w:val="clear" w:fill="F3F6FB"/>
          </w:tcPr>
          <w:p>
            <w:pPr>
              <w:spacing w:after="40"/>
            </w:pPr>
            <w:r/>
            <w:r>
              <w:rPr>
                <w:b/>
                <w:sz w:val="17"/>
              </w:rPr>
              <w:t>estimate_lines</w:t>
            </w:r>
          </w:p>
        </w:tc>
        <w:tc>
          <w:tcPr>
            <w:tcW w:type="dxa" w:w="4032"/>
            <w:shd w:val="clear" w:fill="F3F6FB"/>
          </w:tcPr>
          <w:p>
            <w:pPr>
              <w:spacing w:after="40"/>
            </w:pPr>
            <w:r/>
            <w:r>
              <w:rPr>
                <w:sz w:val="17"/>
              </w:rPr>
              <w:t>004_sales.sql</w:t>
            </w:r>
          </w:p>
        </w:tc>
      </w:tr>
      <w:tr>
        <w:tc>
          <w:tcPr>
            <w:tcW w:type="dxa" w:w="4896"/>
          </w:tcPr>
          <w:p>
            <w:pPr>
              <w:spacing w:after="40"/>
            </w:pPr>
            <w:r/>
            <w:r>
              <w:rPr>
                <w:b/>
                <w:sz w:val="17"/>
              </w:rPr>
              <w:t>sales_orders</w:t>
            </w:r>
          </w:p>
        </w:tc>
        <w:tc>
          <w:tcPr>
            <w:tcW w:type="dxa" w:w="4032"/>
          </w:tcPr>
          <w:p>
            <w:pPr>
              <w:spacing w:after="40"/>
            </w:pPr>
            <w:r/>
            <w:r>
              <w:rPr>
                <w:sz w:val="17"/>
              </w:rPr>
              <w:t>004_sales.sql</w:t>
            </w:r>
          </w:p>
        </w:tc>
      </w:tr>
      <w:tr>
        <w:tc>
          <w:tcPr>
            <w:tcW w:type="dxa" w:w="4896"/>
            <w:shd w:val="clear" w:fill="F3F6FB"/>
          </w:tcPr>
          <w:p>
            <w:pPr>
              <w:spacing w:after="40"/>
            </w:pPr>
            <w:r/>
            <w:r>
              <w:rPr>
                <w:b/>
                <w:sz w:val="17"/>
              </w:rPr>
              <w:t>sales_order_lines</w:t>
            </w:r>
          </w:p>
        </w:tc>
        <w:tc>
          <w:tcPr>
            <w:tcW w:type="dxa" w:w="4032"/>
            <w:shd w:val="clear" w:fill="F3F6FB"/>
          </w:tcPr>
          <w:p>
            <w:pPr>
              <w:spacing w:after="40"/>
            </w:pPr>
            <w:r/>
            <w:r>
              <w:rPr>
                <w:sz w:val="17"/>
              </w:rPr>
              <w:t>004_sales.sql</w:t>
            </w:r>
          </w:p>
        </w:tc>
      </w:tr>
      <w:tr>
        <w:tc>
          <w:tcPr>
            <w:tcW w:type="dxa" w:w="4896"/>
          </w:tcPr>
          <w:p>
            <w:pPr>
              <w:spacing w:after="40"/>
            </w:pPr>
            <w:r/>
            <w:r>
              <w:rPr>
                <w:b/>
                <w:sz w:val="17"/>
              </w:rPr>
              <w:t>delivery_challans</w:t>
            </w:r>
          </w:p>
        </w:tc>
        <w:tc>
          <w:tcPr>
            <w:tcW w:type="dxa" w:w="4032"/>
          </w:tcPr>
          <w:p>
            <w:pPr>
              <w:spacing w:after="40"/>
            </w:pPr>
            <w:r/>
            <w:r>
              <w:rPr>
                <w:sz w:val="17"/>
              </w:rPr>
              <w:t>004_sales.sql</w:t>
            </w:r>
          </w:p>
        </w:tc>
      </w:tr>
      <w:tr>
        <w:tc>
          <w:tcPr>
            <w:tcW w:type="dxa" w:w="4896"/>
            <w:shd w:val="clear" w:fill="F3F6FB"/>
          </w:tcPr>
          <w:p>
            <w:pPr>
              <w:spacing w:after="40"/>
            </w:pPr>
            <w:r/>
            <w:r>
              <w:rPr>
                <w:b/>
                <w:sz w:val="17"/>
              </w:rPr>
              <w:t>challan_lines</w:t>
            </w:r>
          </w:p>
        </w:tc>
        <w:tc>
          <w:tcPr>
            <w:tcW w:type="dxa" w:w="4032"/>
            <w:shd w:val="clear" w:fill="F3F6FB"/>
          </w:tcPr>
          <w:p>
            <w:pPr>
              <w:spacing w:after="40"/>
            </w:pPr>
            <w:r/>
            <w:r>
              <w:rPr>
                <w:sz w:val="17"/>
              </w:rPr>
              <w:t>004_sales.sql</w:t>
            </w:r>
          </w:p>
        </w:tc>
      </w:tr>
      <w:tr>
        <w:tc>
          <w:tcPr>
            <w:tcW w:type="dxa" w:w="4896"/>
          </w:tcPr>
          <w:p>
            <w:pPr>
              <w:spacing w:after="40"/>
            </w:pPr>
            <w:r/>
            <w:r>
              <w:rPr>
                <w:b/>
                <w:sz w:val="17"/>
              </w:rPr>
              <w:t>credit_notes</w:t>
            </w:r>
          </w:p>
        </w:tc>
        <w:tc>
          <w:tcPr>
            <w:tcW w:type="dxa" w:w="4032"/>
          </w:tcPr>
          <w:p>
            <w:pPr>
              <w:spacing w:after="40"/>
            </w:pPr>
            <w:r/>
            <w:r>
              <w:rPr>
                <w:sz w:val="17"/>
              </w:rPr>
              <w:t>004_sales.sql</w:t>
            </w:r>
          </w:p>
        </w:tc>
      </w:tr>
      <w:tr>
        <w:tc>
          <w:tcPr>
            <w:tcW w:type="dxa" w:w="4896"/>
            <w:shd w:val="clear" w:fill="F3F6FB"/>
          </w:tcPr>
          <w:p>
            <w:pPr>
              <w:spacing w:after="40"/>
            </w:pPr>
            <w:r/>
            <w:r>
              <w:rPr>
                <w:b/>
                <w:sz w:val="17"/>
              </w:rPr>
              <w:t>credit_note_lines</w:t>
            </w:r>
          </w:p>
        </w:tc>
        <w:tc>
          <w:tcPr>
            <w:tcW w:type="dxa" w:w="4032"/>
            <w:shd w:val="clear" w:fill="F3F6FB"/>
          </w:tcPr>
          <w:p>
            <w:pPr>
              <w:spacing w:after="40"/>
            </w:pPr>
            <w:r/>
            <w:r>
              <w:rPr>
                <w:sz w:val="17"/>
              </w:rPr>
              <w:t>004_sales.sql</w:t>
            </w:r>
          </w:p>
        </w:tc>
      </w:tr>
      <w:tr>
        <w:tc>
          <w:tcPr>
            <w:tcW w:type="dxa" w:w="4896"/>
          </w:tcPr>
          <w:p>
            <w:pPr>
              <w:spacing w:after="40"/>
            </w:pPr>
            <w:r/>
            <w:r>
              <w:rPr>
                <w:b/>
                <w:sz w:val="17"/>
              </w:rPr>
              <w:t>retainer_invoices</w:t>
            </w:r>
          </w:p>
        </w:tc>
        <w:tc>
          <w:tcPr>
            <w:tcW w:type="dxa" w:w="4032"/>
          </w:tcPr>
          <w:p>
            <w:pPr>
              <w:spacing w:after="40"/>
            </w:pPr>
            <w:r/>
            <w:r>
              <w:rPr>
                <w:sz w:val="17"/>
              </w:rPr>
              <w:t>004_sales.sql</w:t>
            </w:r>
          </w:p>
        </w:tc>
      </w:tr>
      <w:tr>
        <w:tc>
          <w:tcPr>
            <w:tcW w:type="dxa" w:w="4896"/>
            <w:shd w:val="clear" w:fill="F3F6FB"/>
          </w:tcPr>
          <w:p>
            <w:pPr>
              <w:spacing w:after="40"/>
            </w:pPr>
            <w:r/>
            <w:r>
              <w:rPr>
                <w:b/>
                <w:sz w:val="17"/>
              </w:rPr>
              <w:t>bills</w:t>
            </w:r>
          </w:p>
        </w:tc>
        <w:tc>
          <w:tcPr>
            <w:tcW w:type="dxa" w:w="4032"/>
            <w:shd w:val="clear" w:fill="F3F6FB"/>
          </w:tcPr>
          <w:p>
            <w:pPr>
              <w:spacing w:after="40"/>
            </w:pPr>
            <w:r/>
            <w:r>
              <w:rPr>
                <w:sz w:val="17"/>
              </w:rPr>
              <w:t>005_purchases.sql</w:t>
            </w:r>
          </w:p>
        </w:tc>
      </w:tr>
      <w:tr>
        <w:tc>
          <w:tcPr>
            <w:tcW w:type="dxa" w:w="4896"/>
          </w:tcPr>
          <w:p>
            <w:pPr>
              <w:spacing w:after="40"/>
            </w:pPr>
            <w:r/>
            <w:r>
              <w:rPr>
                <w:b/>
                <w:sz w:val="17"/>
              </w:rPr>
              <w:t>bill_lines</w:t>
            </w:r>
          </w:p>
        </w:tc>
        <w:tc>
          <w:tcPr>
            <w:tcW w:type="dxa" w:w="4032"/>
          </w:tcPr>
          <w:p>
            <w:pPr>
              <w:spacing w:after="40"/>
            </w:pPr>
            <w:r/>
            <w:r>
              <w:rPr>
                <w:sz w:val="17"/>
              </w:rPr>
              <w:t>005_purchases.sql</w:t>
            </w:r>
          </w:p>
        </w:tc>
      </w:tr>
      <w:tr>
        <w:tc>
          <w:tcPr>
            <w:tcW w:type="dxa" w:w="4896"/>
            <w:shd w:val="clear" w:fill="F3F6FB"/>
          </w:tcPr>
          <w:p>
            <w:pPr>
              <w:spacing w:after="40"/>
            </w:pPr>
            <w:r/>
            <w:r>
              <w:rPr>
                <w:b/>
                <w:sz w:val="17"/>
              </w:rPr>
              <w:t>expenses</w:t>
            </w:r>
          </w:p>
        </w:tc>
        <w:tc>
          <w:tcPr>
            <w:tcW w:type="dxa" w:w="4032"/>
            <w:shd w:val="clear" w:fill="F3F6FB"/>
          </w:tcPr>
          <w:p>
            <w:pPr>
              <w:spacing w:after="40"/>
            </w:pPr>
            <w:r/>
            <w:r>
              <w:rPr>
                <w:sz w:val="17"/>
              </w:rPr>
              <w:t>005_purchases.sql</w:t>
            </w:r>
          </w:p>
        </w:tc>
      </w:tr>
      <w:tr>
        <w:tc>
          <w:tcPr>
            <w:tcW w:type="dxa" w:w="4896"/>
          </w:tcPr>
          <w:p>
            <w:pPr>
              <w:spacing w:after="40"/>
            </w:pPr>
            <w:r/>
            <w:r>
              <w:rPr>
                <w:b/>
                <w:sz w:val="17"/>
              </w:rPr>
              <w:t>purchase_orders</w:t>
            </w:r>
          </w:p>
        </w:tc>
        <w:tc>
          <w:tcPr>
            <w:tcW w:type="dxa" w:w="4032"/>
          </w:tcPr>
          <w:p>
            <w:pPr>
              <w:spacing w:after="40"/>
            </w:pPr>
            <w:r/>
            <w:r>
              <w:rPr>
                <w:sz w:val="17"/>
              </w:rPr>
              <w:t>005_purchases.sql</w:t>
            </w:r>
          </w:p>
        </w:tc>
      </w:tr>
      <w:tr>
        <w:tc>
          <w:tcPr>
            <w:tcW w:type="dxa" w:w="4896"/>
            <w:shd w:val="clear" w:fill="F3F6FB"/>
          </w:tcPr>
          <w:p>
            <w:pPr>
              <w:spacing w:after="40"/>
            </w:pPr>
            <w:r/>
            <w:r>
              <w:rPr>
                <w:b/>
                <w:sz w:val="17"/>
              </w:rPr>
              <w:t>purchase_order_lines</w:t>
            </w:r>
          </w:p>
        </w:tc>
        <w:tc>
          <w:tcPr>
            <w:tcW w:type="dxa" w:w="4032"/>
            <w:shd w:val="clear" w:fill="F3F6FB"/>
          </w:tcPr>
          <w:p>
            <w:pPr>
              <w:spacing w:after="40"/>
            </w:pPr>
            <w:r/>
            <w:r>
              <w:rPr>
                <w:sz w:val="17"/>
              </w:rPr>
              <w:t>005_purchases.sql</w:t>
            </w:r>
          </w:p>
        </w:tc>
      </w:tr>
      <w:tr>
        <w:tc>
          <w:tcPr>
            <w:tcW w:type="dxa" w:w="4896"/>
          </w:tcPr>
          <w:p>
            <w:pPr>
              <w:spacing w:after="40"/>
            </w:pPr>
            <w:r/>
            <w:r>
              <w:rPr>
                <w:b/>
                <w:sz w:val="17"/>
              </w:rPr>
              <w:t>vendor_credits</w:t>
            </w:r>
          </w:p>
        </w:tc>
        <w:tc>
          <w:tcPr>
            <w:tcW w:type="dxa" w:w="4032"/>
          </w:tcPr>
          <w:p>
            <w:pPr>
              <w:spacing w:after="40"/>
            </w:pPr>
            <w:r/>
            <w:r>
              <w:rPr>
                <w:sz w:val="17"/>
              </w:rPr>
              <w:t>005_purchases.sql</w:t>
            </w:r>
          </w:p>
        </w:tc>
      </w:tr>
      <w:tr>
        <w:tc>
          <w:tcPr>
            <w:tcW w:type="dxa" w:w="4896"/>
            <w:shd w:val="clear" w:fill="F3F6FB"/>
          </w:tcPr>
          <w:p>
            <w:pPr>
              <w:spacing w:after="40"/>
            </w:pPr>
            <w:r/>
            <w:r>
              <w:rPr>
                <w:b/>
                <w:sz w:val="17"/>
              </w:rPr>
              <w:t>payments</w:t>
            </w:r>
          </w:p>
        </w:tc>
        <w:tc>
          <w:tcPr>
            <w:tcW w:type="dxa" w:w="4032"/>
            <w:shd w:val="clear" w:fill="F3F6FB"/>
          </w:tcPr>
          <w:p>
            <w:pPr>
              <w:spacing w:after="40"/>
            </w:pPr>
            <w:r/>
            <w:r>
              <w:rPr>
                <w:sz w:val="17"/>
              </w:rPr>
              <w:t>006_payments_banking.sql</w:t>
            </w:r>
          </w:p>
        </w:tc>
      </w:tr>
      <w:tr>
        <w:tc>
          <w:tcPr>
            <w:tcW w:type="dxa" w:w="4896"/>
          </w:tcPr>
          <w:p>
            <w:pPr>
              <w:spacing w:after="40"/>
            </w:pPr>
            <w:r/>
            <w:r>
              <w:rPr>
                <w:b/>
                <w:sz w:val="17"/>
              </w:rPr>
              <w:t>payment_allocations</w:t>
            </w:r>
          </w:p>
        </w:tc>
        <w:tc>
          <w:tcPr>
            <w:tcW w:type="dxa" w:w="4032"/>
          </w:tcPr>
          <w:p>
            <w:pPr>
              <w:spacing w:after="40"/>
            </w:pPr>
            <w:r/>
            <w:r>
              <w:rPr>
                <w:sz w:val="17"/>
              </w:rPr>
              <w:t>006_payments_banking.sql</w:t>
            </w:r>
          </w:p>
        </w:tc>
      </w:tr>
      <w:tr>
        <w:tc>
          <w:tcPr>
            <w:tcW w:type="dxa" w:w="4896"/>
            <w:shd w:val="clear" w:fill="F3F6FB"/>
          </w:tcPr>
          <w:p>
            <w:pPr>
              <w:spacing w:after="40"/>
            </w:pPr>
            <w:r/>
            <w:r>
              <w:rPr>
                <w:b/>
                <w:sz w:val="17"/>
              </w:rPr>
              <w:t>bank_accounts</w:t>
            </w:r>
          </w:p>
        </w:tc>
        <w:tc>
          <w:tcPr>
            <w:tcW w:type="dxa" w:w="4032"/>
            <w:shd w:val="clear" w:fill="F3F6FB"/>
          </w:tcPr>
          <w:p>
            <w:pPr>
              <w:spacing w:after="40"/>
            </w:pPr>
            <w:r/>
            <w:r>
              <w:rPr>
                <w:sz w:val="17"/>
              </w:rPr>
              <w:t>006_payments_banking.sql</w:t>
            </w:r>
          </w:p>
        </w:tc>
      </w:tr>
      <w:tr>
        <w:tc>
          <w:tcPr>
            <w:tcW w:type="dxa" w:w="4896"/>
          </w:tcPr>
          <w:p>
            <w:pPr>
              <w:spacing w:after="40"/>
            </w:pPr>
            <w:r/>
            <w:r>
              <w:rPr>
                <w:b/>
                <w:sz w:val="17"/>
              </w:rPr>
              <w:t>bank_transactions</w:t>
            </w:r>
          </w:p>
        </w:tc>
        <w:tc>
          <w:tcPr>
            <w:tcW w:type="dxa" w:w="4032"/>
          </w:tcPr>
          <w:p>
            <w:pPr>
              <w:spacing w:after="40"/>
            </w:pPr>
            <w:r/>
            <w:r>
              <w:rPr>
                <w:sz w:val="17"/>
              </w:rPr>
              <w:t>006_payments_banking.sql</w:t>
            </w:r>
          </w:p>
        </w:tc>
      </w:tr>
      <w:tr>
        <w:tc>
          <w:tcPr>
            <w:tcW w:type="dxa" w:w="4896"/>
            <w:shd w:val="clear" w:fill="F3F6FB"/>
          </w:tcPr>
          <w:p>
            <w:pPr>
              <w:spacing w:after="40"/>
            </w:pPr>
            <w:r/>
            <w:r>
              <w:rPr>
                <w:b/>
                <w:sz w:val="17"/>
              </w:rPr>
              <w:t>bank_statement_imports</w:t>
            </w:r>
          </w:p>
        </w:tc>
        <w:tc>
          <w:tcPr>
            <w:tcW w:type="dxa" w:w="4032"/>
            <w:shd w:val="clear" w:fill="F3F6FB"/>
          </w:tcPr>
          <w:p>
            <w:pPr>
              <w:spacing w:after="40"/>
            </w:pPr>
            <w:r/>
            <w:r>
              <w:rPr>
                <w:sz w:val="17"/>
              </w:rPr>
              <w:t>006_payments_banking.sql</w:t>
            </w:r>
          </w:p>
        </w:tc>
      </w:tr>
      <w:tr>
        <w:tc>
          <w:tcPr>
            <w:tcW w:type="dxa" w:w="4896"/>
          </w:tcPr>
          <w:p>
            <w:pPr>
              <w:spacing w:after="40"/>
            </w:pPr>
            <w:r/>
            <w:r>
              <w:rPr>
                <w:b/>
                <w:sz w:val="17"/>
              </w:rPr>
              <w:t>bank_rules</w:t>
            </w:r>
          </w:p>
        </w:tc>
        <w:tc>
          <w:tcPr>
            <w:tcW w:type="dxa" w:w="4032"/>
          </w:tcPr>
          <w:p>
            <w:pPr>
              <w:spacing w:after="40"/>
            </w:pPr>
            <w:r/>
            <w:r>
              <w:rPr>
                <w:sz w:val="17"/>
              </w:rPr>
              <w:t>006_payments_banking.sql</w:t>
            </w:r>
          </w:p>
        </w:tc>
      </w:tr>
      <w:tr>
        <w:tc>
          <w:tcPr>
            <w:tcW w:type="dxa" w:w="4896"/>
            <w:shd w:val="clear" w:fill="F3F6FB"/>
          </w:tcPr>
          <w:p>
            <w:pPr>
              <w:spacing w:after="40"/>
            </w:pPr>
            <w:r/>
            <w:r>
              <w:rPr>
                <w:b/>
                <w:sz w:val="17"/>
              </w:rPr>
              <w:t>bank_transfers</w:t>
            </w:r>
          </w:p>
        </w:tc>
        <w:tc>
          <w:tcPr>
            <w:tcW w:type="dxa" w:w="4032"/>
            <w:shd w:val="clear" w:fill="F3F6FB"/>
          </w:tcPr>
          <w:p>
            <w:pPr>
              <w:spacing w:after="40"/>
            </w:pPr>
            <w:r/>
            <w:r>
              <w:rPr>
                <w:sz w:val="17"/>
              </w:rPr>
              <w:t>006_payments_banking.sql</w:t>
            </w:r>
          </w:p>
        </w:tc>
      </w:tr>
      <w:tr>
        <w:tc>
          <w:tcPr>
            <w:tcW w:type="dxa" w:w="4896"/>
          </w:tcPr>
          <w:p>
            <w:pPr>
              <w:spacing w:after="40"/>
            </w:pPr>
            <w:r/>
            <w:r>
              <w:rPr>
                <w:b/>
                <w:sz w:val="17"/>
              </w:rPr>
              <w:t>cheques</w:t>
            </w:r>
          </w:p>
        </w:tc>
        <w:tc>
          <w:tcPr>
            <w:tcW w:type="dxa" w:w="4032"/>
          </w:tcPr>
          <w:p>
            <w:pPr>
              <w:spacing w:after="40"/>
            </w:pPr>
            <w:r/>
            <w:r>
              <w:rPr>
                <w:sz w:val="17"/>
              </w:rPr>
              <w:t>006_payments_banking.sql</w:t>
            </w:r>
          </w:p>
        </w:tc>
      </w:tr>
      <w:tr>
        <w:tc>
          <w:tcPr>
            <w:tcW w:type="dxa" w:w="4896"/>
            <w:shd w:val="clear" w:fill="F3F6FB"/>
          </w:tcPr>
          <w:p>
            <w:pPr>
              <w:spacing w:after="40"/>
            </w:pPr>
            <w:r/>
            <w:r>
              <w:rPr>
                <w:b/>
                <w:sz w:val="17"/>
              </w:rPr>
              <w:t>einvoices</w:t>
            </w:r>
          </w:p>
        </w:tc>
        <w:tc>
          <w:tcPr>
            <w:tcW w:type="dxa" w:w="4032"/>
            <w:shd w:val="clear" w:fill="F3F6FB"/>
          </w:tcPr>
          <w:p>
            <w:pPr>
              <w:spacing w:after="40"/>
            </w:pPr>
            <w:r/>
            <w:r>
              <w:rPr>
                <w:sz w:val="17"/>
              </w:rPr>
              <w:t>007_gst_platform.sql</w:t>
            </w:r>
          </w:p>
        </w:tc>
      </w:tr>
      <w:tr>
        <w:tc>
          <w:tcPr>
            <w:tcW w:type="dxa" w:w="4896"/>
          </w:tcPr>
          <w:p>
            <w:pPr>
              <w:spacing w:after="40"/>
            </w:pPr>
            <w:r/>
            <w:r>
              <w:rPr>
                <w:b/>
                <w:sz w:val="17"/>
              </w:rPr>
              <w:t>eway_bills</w:t>
            </w:r>
          </w:p>
        </w:tc>
        <w:tc>
          <w:tcPr>
            <w:tcW w:type="dxa" w:w="4032"/>
          </w:tcPr>
          <w:p>
            <w:pPr>
              <w:spacing w:after="40"/>
            </w:pPr>
            <w:r/>
            <w:r>
              <w:rPr>
                <w:sz w:val="17"/>
              </w:rPr>
              <w:t>007_gst_platform.sql</w:t>
            </w:r>
          </w:p>
        </w:tc>
      </w:tr>
      <w:tr>
        <w:tc>
          <w:tcPr>
            <w:tcW w:type="dxa" w:w="4896"/>
            <w:shd w:val="clear" w:fill="F3F6FB"/>
          </w:tcPr>
          <w:p>
            <w:pPr>
              <w:spacing w:after="40"/>
            </w:pPr>
            <w:r/>
            <w:r>
              <w:rPr>
                <w:b/>
                <w:sz w:val="17"/>
              </w:rPr>
              <w:t>gstr2b_entries</w:t>
            </w:r>
          </w:p>
        </w:tc>
        <w:tc>
          <w:tcPr>
            <w:tcW w:type="dxa" w:w="4032"/>
            <w:shd w:val="clear" w:fill="F3F6FB"/>
          </w:tcPr>
          <w:p>
            <w:pPr>
              <w:spacing w:after="40"/>
            </w:pPr>
            <w:r/>
            <w:r>
              <w:rPr>
                <w:sz w:val="17"/>
              </w:rPr>
              <w:t>007_gst_platform.sql</w:t>
            </w:r>
          </w:p>
        </w:tc>
      </w:tr>
      <w:tr>
        <w:tc>
          <w:tcPr>
            <w:tcW w:type="dxa" w:w="4896"/>
          </w:tcPr>
          <w:p>
            <w:pPr>
              <w:spacing w:after="40"/>
            </w:pPr>
            <w:r/>
            <w:r>
              <w:rPr>
                <w:b/>
                <w:sz w:val="17"/>
              </w:rPr>
              <w:t>files</w:t>
            </w:r>
          </w:p>
        </w:tc>
        <w:tc>
          <w:tcPr>
            <w:tcW w:type="dxa" w:w="4032"/>
          </w:tcPr>
          <w:p>
            <w:pPr>
              <w:spacing w:after="40"/>
            </w:pPr>
            <w:r/>
            <w:r>
              <w:rPr>
                <w:sz w:val="17"/>
              </w:rPr>
              <w:t>007_gst_platform.sql</w:t>
            </w:r>
          </w:p>
        </w:tc>
      </w:tr>
      <w:tr>
        <w:tc>
          <w:tcPr>
            <w:tcW w:type="dxa" w:w="4896"/>
            <w:shd w:val="clear" w:fill="F3F6FB"/>
          </w:tcPr>
          <w:p>
            <w:pPr>
              <w:spacing w:after="40"/>
            </w:pPr>
            <w:r/>
            <w:r>
              <w:rPr>
                <w:b/>
                <w:sz w:val="17"/>
              </w:rPr>
              <w:t>jobs</w:t>
            </w:r>
          </w:p>
        </w:tc>
        <w:tc>
          <w:tcPr>
            <w:tcW w:type="dxa" w:w="4032"/>
            <w:shd w:val="clear" w:fill="F3F6FB"/>
          </w:tcPr>
          <w:p>
            <w:pPr>
              <w:spacing w:after="40"/>
            </w:pPr>
            <w:r/>
            <w:r>
              <w:rPr>
                <w:sz w:val="17"/>
              </w:rPr>
              <w:t>007_gst_platform.sql</w:t>
            </w:r>
          </w:p>
        </w:tc>
      </w:tr>
      <w:tr>
        <w:tc>
          <w:tcPr>
            <w:tcW w:type="dxa" w:w="4896"/>
          </w:tcPr>
          <w:p>
            <w:pPr>
              <w:spacing w:after="40"/>
            </w:pPr>
            <w:r/>
            <w:r>
              <w:rPr>
                <w:b/>
                <w:sz w:val="17"/>
              </w:rPr>
              <w:t>settings</w:t>
            </w:r>
          </w:p>
        </w:tc>
        <w:tc>
          <w:tcPr>
            <w:tcW w:type="dxa" w:w="4032"/>
          </w:tcPr>
          <w:p>
            <w:pPr>
              <w:spacing w:after="40"/>
            </w:pPr>
            <w:r/>
            <w:r>
              <w:rPr>
                <w:sz w:val="17"/>
              </w:rPr>
              <w:t>007_gst_platform.sql</w:t>
            </w:r>
          </w:p>
        </w:tc>
      </w:tr>
      <w:tr>
        <w:tc>
          <w:tcPr>
            <w:tcW w:type="dxa" w:w="4896"/>
            <w:shd w:val="clear" w:fill="F3F6FB"/>
          </w:tcPr>
          <w:p>
            <w:pPr>
              <w:spacing w:after="40"/>
            </w:pPr>
            <w:r/>
            <w:r>
              <w:rPr>
                <w:b/>
                <w:sz w:val="17"/>
              </w:rPr>
              <w:t>custom_fields</w:t>
            </w:r>
          </w:p>
        </w:tc>
        <w:tc>
          <w:tcPr>
            <w:tcW w:type="dxa" w:w="4032"/>
            <w:shd w:val="clear" w:fill="F3F6FB"/>
          </w:tcPr>
          <w:p>
            <w:pPr>
              <w:spacing w:after="40"/>
            </w:pPr>
            <w:r/>
            <w:r>
              <w:rPr>
                <w:sz w:val="17"/>
              </w:rPr>
              <w:t>007_gst_platform.sql</w:t>
            </w:r>
          </w:p>
        </w:tc>
      </w:tr>
      <w:tr>
        <w:tc>
          <w:tcPr>
            <w:tcW w:type="dxa" w:w="4896"/>
          </w:tcPr>
          <w:p>
            <w:pPr>
              <w:spacing w:after="40"/>
            </w:pPr>
            <w:r/>
            <w:r>
              <w:rPr>
                <w:b/>
                <w:sz w:val="17"/>
              </w:rPr>
              <w:t>custom_field_values</w:t>
            </w:r>
          </w:p>
        </w:tc>
        <w:tc>
          <w:tcPr>
            <w:tcW w:type="dxa" w:w="4032"/>
          </w:tcPr>
          <w:p>
            <w:pPr>
              <w:spacing w:after="40"/>
            </w:pPr>
            <w:r/>
            <w:r>
              <w:rPr>
                <w:sz w:val="17"/>
              </w:rPr>
              <w:t>007_gst_platform.sql</w:t>
            </w:r>
          </w:p>
        </w:tc>
      </w:tr>
      <w:tr>
        <w:tc>
          <w:tcPr>
            <w:tcW w:type="dxa" w:w="4896"/>
            <w:shd w:val="clear" w:fill="F3F6FB"/>
          </w:tcPr>
          <w:p>
            <w:pPr>
              <w:spacing w:after="40"/>
            </w:pPr>
            <w:r/>
            <w:r>
              <w:rPr>
                <w:b/>
                <w:sz w:val="17"/>
              </w:rPr>
              <w:t>approval_rules</w:t>
            </w:r>
          </w:p>
        </w:tc>
        <w:tc>
          <w:tcPr>
            <w:tcW w:type="dxa" w:w="4032"/>
            <w:shd w:val="clear" w:fill="F3F6FB"/>
          </w:tcPr>
          <w:p>
            <w:pPr>
              <w:spacing w:after="40"/>
            </w:pPr>
            <w:r/>
            <w:r>
              <w:rPr>
                <w:sz w:val="17"/>
              </w:rPr>
              <w:t>007_gst_platform.sql</w:t>
            </w:r>
          </w:p>
        </w:tc>
      </w:tr>
      <w:tr>
        <w:tc>
          <w:tcPr>
            <w:tcW w:type="dxa" w:w="4896"/>
          </w:tcPr>
          <w:p>
            <w:pPr>
              <w:spacing w:after="40"/>
            </w:pPr>
            <w:r/>
            <w:r>
              <w:rPr>
                <w:b/>
                <w:sz w:val="17"/>
              </w:rPr>
              <w:t>workflow_rules</w:t>
            </w:r>
          </w:p>
        </w:tc>
        <w:tc>
          <w:tcPr>
            <w:tcW w:type="dxa" w:w="4032"/>
          </w:tcPr>
          <w:p>
            <w:pPr>
              <w:spacing w:after="40"/>
            </w:pPr>
            <w:r/>
            <w:r>
              <w:rPr>
                <w:sz w:val="17"/>
              </w:rPr>
              <w:t>007_gst_platform.sql</w:t>
            </w:r>
          </w:p>
        </w:tc>
      </w:tr>
      <w:tr>
        <w:tc>
          <w:tcPr>
            <w:tcW w:type="dxa" w:w="4896"/>
            <w:shd w:val="clear" w:fill="F3F6FB"/>
          </w:tcPr>
          <w:p>
            <w:pPr>
              <w:spacing w:after="40"/>
            </w:pPr>
            <w:r/>
            <w:r>
              <w:rPr>
                <w:b/>
                <w:sz w:val="17"/>
              </w:rPr>
              <w:t>recurring_journals</w:t>
            </w:r>
          </w:p>
        </w:tc>
        <w:tc>
          <w:tcPr>
            <w:tcW w:type="dxa" w:w="4032"/>
            <w:shd w:val="clear" w:fill="F3F6FB"/>
          </w:tcPr>
          <w:p>
            <w:pPr>
              <w:spacing w:after="40"/>
            </w:pPr>
            <w:r/>
            <w:r>
              <w:rPr>
                <w:sz w:val="17"/>
              </w:rPr>
              <w:t>007_gst_platform.sql</w:t>
            </w:r>
          </w:p>
        </w:tc>
      </w:tr>
      <w:tr>
        <w:tc>
          <w:tcPr>
            <w:tcW w:type="dxa" w:w="4896"/>
          </w:tcPr>
          <w:p>
            <w:pPr>
              <w:spacing w:after="40"/>
            </w:pPr>
            <w:r/>
            <w:r>
              <w:rPr>
                <w:b/>
                <w:sz w:val="17"/>
              </w:rPr>
              <w:t>recurring_invoices</w:t>
            </w:r>
          </w:p>
        </w:tc>
        <w:tc>
          <w:tcPr>
            <w:tcW w:type="dxa" w:w="4032"/>
          </w:tcPr>
          <w:p>
            <w:pPr>
              <w:spacing w:after="40"/>
            </w:pPr>
            <w:r/>
            <w:r>
              <w:rPr>
                <w:sz w:val="17"/>
              </w:rPr>
              <w:t>007_gst_platform.sql</w:t>
            </w:r>
          </w:p>
        </w:tc>
      </w:tr>
      <w:tr>
        <w:tc>
          <w:tcPr>
            <w:tcW w:type="dxa" w:w="4896"/>
            <w:shd w:val="clear" w:fill="F3F6FB"/>
          </w:tcPr>
          <w:p>
            <w:pPr>
              <w:spacing w:after="40"/>
            </w:pPr>
            <w:r/>
            <w:r>
              <w:rPr>
                <w:b/>
                <w:sz w:val="17"/>
              </w:rPr>
              <w:t>api_tokens</w:t>
            </w:r>
          </w:p>
        </w:tc>
        <w:tc>
          <w:tcPr>
            <w:tcW w:type="dxa" w:w="4032"/>
            <w:shd w:val="clear" w:fill="F3F6FB"/>
          </w:tcPr>
          <w:p>
            <w:pPr>
              <w:spacing w:after="40"/>
            </w:pPr>
            <w:r/>
            <w:r>
              <w:rPr>
                <w:sz w:val="17"/>
              </w:rPr>
              <w:t>007_gst_platform.sql</w:t>
            </w:r>
          </w:p>
        </w:tc>
      </w:tr>
      <w:tr>
        <w:tc>
          <w:tcPr>
            <w:tcW w:type="dxa" w:w="4896"/>
          </w:tcPr>
          <w:p>
            <w:pPr>
              <w:spacing w:after="40"/>
            </w:pPr>
            <w:r/>
            <w:r>
              <w:rPr>
                <w:b/>
                <w:sz w:val="17"/>
              </w:rPr>
              <w:t>sequences</w:t>
            </w:r>
          </w:p>
        </w:tc>
        <w:tc>
          <w:tcPr>
            <w:tcW w:type="dxa" w:w="4032"/>
          </w:tcPr>
          <w:p>
            <w:pPr>
              <w:spacing w:after="40"/>
            </w:pPr>
            <w:r/>
            <w:r>
              <w:rPr>
                <w:sz w:val="17"/>
              </w:rPr>
              <w:t>010_sequences.sql</w:t>
            </w:r>
          </w:p>
        </w:tc>
      </w:tr>
      <w:tr>
        <w:tc>
          <w:tcPr>
            <w:tcW w:type="dxa" w:w="4896"/>
            <w:shd w:val="clear" w:fill="F3F6FB"/>
          </w:tcPr>
          <w:p>
            <w:pPr>
              <w:spacing w:after="40"/>
            </w:pPr>
            <w:r/>
            <w:r>
              <w:rPr>
                <w:b/>
                <w:sz w:val="17"/>
              </w:rPr>
              <w:t>budgets</w:t>
            </w:r>
          </w:p>
        </w:tc>
        <w:tc>
          <w:tcPr>
            <w:tcW w:type="dxa" w:w="4032"/>
            <w:shd w:val="clear" w:fill="F3F6FB"/>
          </w:tcPr>
          <w:p>
            <w:pPr>
              <w:spacing w:after="40"/>
            </w:pPr>
            <w:r/>
            <w:r>
              <w:rPr>
                <w:sz w:val="17"/>
              </w:rPr>
              <w:t>012_budgets.sql</w:t>
            </w:r>
          </w:p>
        </w:tc>
      </w:tr>
      <w:tr>
        <w:tc>
          <w:tcPr>
            <w:tcW w:type="dxa" w:w="4896"/>
          </w:tcPr>
          <w:p>
            <w:pPr>
              <w:spacing w:after="40"/>
            </w:pPr>
            <w:r/>
            <w:r>
              <w:rPr>
                <w:b/>
                <w:sz w:val="17"/>
              </w:rPr>
              <w:t>warehouses</w:t>
            </w:r>
          </w:p>
        </w:tc>
        <w:tc>
          <w:tcPr>
            <w:tcW w:type="dxa" w:w="4032"/>
          </w:tcPr>
          <w:p>
            <w:pPr>
              <w:spacing w:after="40"/>
            </w:pPr>
            <w:r/>
            <w:r>
              <w:rPr>
                <w:sz w:val="17"/>
              </w:rPr>
              <w:t>014_inventory.sql</w:t>
            </w:r>
          </w:p>
        </w:tc>
      </w:tr>
      <w:tr>
        <w:tc>
          <w:tcPr>
            <w:tcW w:type="dxa" w:w="4896"/>
            <w:shd w:val="clear" w:fill="F3F6FB"/>
          </w:tcPr>
          <w:p>
            <w:pPr>
              <w:spacing w:after="40"/>
            </w:pPr>
            <w:r/>
            <w:r>
              <w:rPr>
                <w:b/>
                <w:sz w:val="17"/>
              </w:rPr>
              <w:t>stock_adjustments</w:t>
            </w:r>
          </w:p>
        </w:tc>
        <w:tc>
          <w:tcPr>
            <w:tcW w:type="dxa" w:w="4032"/>
            <w:shd w:val="clear" w:fill="F3F6FB"/>
          </w:tcPr>
          <w:p>
            <w:pPr>
              <w:spacing w:after="40"/>
            </w:pPr>
            <w:r/>
            <w:r>
              <w:rPr>
                <w:sz w:val="17"/>
              </w:rPr>
              <w:t>014_inventory.sql</w:t>
            </w:r>
          </w:p>
        </w:tc>
      </w:tr>
    </w:tbl>
    <w:p>
      <w:pPr>
        <w:spacing w:after="80"/>
      </w:pPr>
    </w:p>
    <w:p>
      <w:r>
        <w:br w:type="page"/>
      </w:r>
    </w:p>
    <w:p>
      <w:pPr>
        <w:pStyle w:val="Heading1"/>
      </w:pPr>
      <w:r>
        <w:t>Appendix C — Reports</w:t>
      </w:r>
    </w:p>
    <w:p>
      <w:r>
        <w:rPr>
          <w:b w:val="0"/>
          <w:i w:val="0"/>
        </w:rPr>
        <w:t>32 reports, every figure computed from the journal on request.</w:t>
      </w:r>
    </w:p>
    <w:tbl>
      <w:tblPr>
        <w:tblStyle w:val="TableGrid"/>
        <w:tblW w:type="auto" w:w="0"/>
        <w:jc w:val="center"/>
        <w:tblLook w:firstColumn="1" w:firstRow="1" w:lastColumn="0" w:lastRow="0" w:noHBand="0" w:noVBand="1" w:val="04A0"/>
      </w:tblPr>
      <w:tblGrid>
        <w:gridCol w:w="4680"/>
        <w:gridCol w:w="4680"/>
      </w:tblGrid>
      <w:tr>
        <w:tc>
          <w:tcPr>
            <w:tcW w:type="dxa" w:w="4608"/>
            <w:shd w:val="clear" w:fill="002F6E"/>
          </w:tcPr>
          <w:p>
            <w:pPr>
              <w:spacing w:after="40"/>
            </w:pPr>
            <w:r/>
            <w:r>
              <w:rPr>
                <w:b/>
                <w:color w:val="FFFFFF"/>
                <w:sz w:val="17"/>
              </w:rPr>
              <w:t>Report</w:t>
            </w:r>
          </w:p>
        </w:tc>
        <w:tc>
          <w:tcPr>
            <w:tcW w:type="dxa" w:w="4320"/>
            <w:shd w:val="clear" w:fill="002F6E"/>
          </w:tcPr>
          <w:p>
            <w:pPr>
              <w:spacing w:after="40"/>
            </w:pPr>
            <w:r/>
            <w:r>
              <w:rPr>
                <w:b/>
                <w:color w:val="FFFFFF"/>
                <w:sz w:val="17"/>
              </w:rPr>
              <w:t>Route</w:t>
            </w:r>
          </w:p>
        </w:tc>
      </w:tr>
      <w:tr>
        <w:tc>
          <w:tcPr>
            <w:tcW w:type="dxa" w:w="4608"/>
          </w:tcPr>
          <w:p>
            <w:pPr>
              <w:spacing w:after="40"/>
            </w:pPr>
            <w:r/>
            <w:r>
              <w:rPr>
                <w:b/>
                <w:sz w:val="17"/>
              </w:rPr>
              <w:t>Account Transactions</w:t>
            </w:r>
          </w:p>
        </w:tc>
        <w:tc>
          <w:tcPr>
            <w:tcW w:type="dxa" w:w="4320"/>
          </w:tcPr>
          <w:p>
            <w:pPr>
              <w:spacing w:after="40"/>
            </w:pPr>
            <w:r/>
            <w:r>
              <w:rPr>
                <w:sz w:val="17"/>
              </w:rPr>
              <w:t>/reports/account-transactions</w:t>
            </w:r>
          </w:p>
        </w:tc>
      </w:tr>
      <w:tr>
        <w:tc>
          <w:tcPr>
            <w:tcW w:type="dxa" w:w="4608"/>
            <w:shd w:val="clear" w:fill="F3F6FB"/>
          </w:tcPr>
          <w:p>
            <w:pPr>
              <w:spacing w:after="40"/>
            </w:pPr>
            <w:r/>
            <w:r>
              <w:rPr>
                <w:b/>
                <w:sz w:val="17"/>
              </w:rPr>
              <w:t>Account Type Summary</w:t>
            </w:r>
          </w:p>
        </w:tc>
        <w:tc>
          <w:tcPr>
            <w:tcW w:type="dxa" w:w="4320"/>
            <w:shd w:val="clear" w:fill="F3F6FB"/>
          </w:tcPr>
          <w:p>
            <w:pPr>
              <w:spacing w:after="40"/>
            </w:pPr>
            <w:r/>
            <w:r>
              <w:rPr>
                <w:sz w:val="17"/>
              </w:rPr>
              <w:t>/reports/account-type-summary</w:t>
            </w:r>
          </w:p>
        </w:tc>
      </w:tr>
      <w:tr>
        <w:tc>
          <w:tcPr>
            <w:tcW w:type="dxa" w:w="4608"/>
          </w:tcPr>
          <w:p>
            <w:pPr>
              <w:spacing w:after="40"/>
            </w:pPr>
            <w:r/>
            <w:r>
              <w:rPr>
                <w:b/>
                <w:sz w:val="17"/>
              </w:rPr>
              <w:t>AP Ageing Summary</w:t>
            </w:r>
          </w:p>
        </w:tc>
        <w:tc>
          <w:tcPr>
            <w:tcW w:type="dxa" w:w="4320"/>
          </w:tcPr>
          <w:p>
            <w:pPr>
              <w:spacing w:after="40"/>
            </w:pPr>
            <w:r/>
            <w:r>
              <w:rPr>
                <w:sz w:val="17"/>
              </w:rPr>
              <w:t>/reports/ap-ageing</w:t>
            </w:r>
          </w:p>
        </w:tc>
      </w:tr>
      <w:tr>
        <w:tc>
          <w:tcPr>
            <w:tcW w:type="dxa" w:w="4608"/>
            <w:shd w:val="clear" w:fill="F3F6FB"/>
          </w:tcPr>
          <w:p>
            <w:pPr>
              <w:spacing w:after="40"/>
            </w:pPr>
            <w:r/>
            <w:r>
              <w:rPr>
                <w:b/>
                <w:sz w:val="17"/>
              </w:rPr>
              <w:t>AR Ageing Summary</w:t>
            </w:r>
          </w:p>
        </w:tc>
        <w:tc>
          <w:tcPr>
            <w:tcW w:type="dxa" w:w="4320"/>
            <w:shd w:val="clear" w:fill="F3F6FB"/>
          </w:tcPr>
          <w:p>
            <w:pPr>
              <w:spacing w:after="40"/>
            </w:pPr>
            <w:r/>
            <w:r>
              <w:rPr>
                <w:sz w:val="17"/>
              </w:rPr>
              <w:t>/reports/ar-ageing</w:t>
            </w:r>
          </w:p>
        </w:tc>
      </w:tr>
      <w:tr>
        <w:tc>
          <w:tcPr>
            <w:tcW w:type="dxa" w:w="4608"/>
          </w:tcPr>
          <w:p>
            <w:pPr>
              <w:spacing w:after="40"/>
            </w:pPr>
            <w:r/>
            <w:r>
              <w:rPr>
                <w:b/>
                <w:sz w:val="17"/>
              </w:rPr>
              <w:t>AR Ageing Details</w:t>
            </w:r>
          </w:p>
        </w:tc>
        <w:tc>
          <w:tcPr>
            <w:tcW w:type="dxa" w:w="4320"/>
          </w:tcPr>
          <w:p>
            <w:pPr>
              <w:spacing w:after="40"/>
            </w:pPr>
            <w:r/>
            <w:r>
              <w:rPr>
                <w:sz w:val="17"/>
              </w:rPr>
              <w:t>/reports/ar-ageing-details</w:t>
            </w:r>
          </w:p>
        </w:tc>
      </w:tr>
      <w:tr>
        <w:tc>
          <w:tcPr>
            <w:tcW w:type="dxa" w:w="4608"/>
            <w:shd w:val="clear" w:fill="F3F6FB"/>
          </w:tcPr>
          <w:p>
            <w:pPr>
              <w:spacing w:after="40"/>
            </w:pPr>
            <w:r/>
            <w:r>
              <w:rPr>
                <w:b/>
                <w:sz w:val="17"/>
              </w:rPr>
              <w:t>Balance Sheet</w:t>
            </w:r>
          </w:p>
        </w:tc>
        <w:tc>
          <w:tcPr>
            <w:tcW w:type="dxa" w:w="4320"/>
            <w:shd w:val="clear" w:fill="F3F6FB"/>
          </w:tcPr>
          <w:p>
            <w:pPr>
              <w:spacing w:after="40"/>
            </w:pPr>
            <w:r/>
            <w:r>
              <w:rPr>
                <w:sz w:val="17"/>
              </w:rPr>
              <w:t>/reports/balance-sheet</w:t>
            </w:r>
          </w:p>
        </w:tc>
      </w:tr>
      <w:tr>
        <w:tc>
          <w:tcPr>
            <w:tcW w:type="dxa" w:w="4608"/>
          </w:tcPr>
          <w:p>
            <w:pPr>
              <w:spacing w:after="40"/>
            </w:pPr>
            <w:r/>
            <w:r>
              <w:rPr>
                <w:b/>
                <w:sz w:val="17"/>
              </w:rPr>
              <w:t>Bill Details</w:t>
            </w:r>
          </w:p>
        </w:tc>
        <w:tc>
          <w:tcPr>
            <w:tcW w:type="dxa" w:w="4320"/>
          </w:tcPr>
          <w:p>
            <w:pPr>
              <w:spacing w:after="40"/>
            </w:pPr>
            <w:r/>
            <w:r>
              <w:rPr>
                <w:sz w:val="17"/>
              </w:rPr>
              <w:t>/reports/bill-details</w:t>
            </w:r>
          </w:p>
        </w:tc>
      </w:tr>
      <w:tr>
        <w:tc>
          <w:tcPr>
            <w:tcW w:type="dxa" w:w="4608"/>
            <w:shd w:val="clear" w:fill="F3F6FB"/>
          </w:tcPr>
          <w:p>
            <w:pPr>
              <w:spacing w:after="40"/>
            </w:pPr>
            <w:r/>
            <w:r>
              <w:rPr>
                <w:b/>
                <w:sz w:val="17"/>
              </w:rPr>
              <w:t>Business Ratios</w:t>
            </w:r>
          </w:p>
        </w:tc>
        <w:tc>
          <w:tcPr>
            <w:tcW w:type="dxa" w:w="4320"/>
            <w:shd w:val="clear" w:fill="F3F6FB"/>
          </w:tcPr>
          <w:p>
            <w:pPr>
              <w:spacing w:after="40"/>
            </w:pPr>
            <w:r/>
            <w:r>
              <w:rPr>
                <w:sz w:val="17"/>
              </w:rPr>
              <w:t>/reports/business-ratios</w:t>
            </w:r>
          </w:p>
        </w:tc>
      </w:tr>
      <w:tr>
        <w:tc>
          <w:tcPr>
            <w:tcW w:type="dxa" w:w="4608"/>
          </w:tcPr>
          <w:p>
            <w:pPr>
              <w:spacing w:after="40"/>
            </w:pPr>
            <w:r/>
            <w:r>
              <w:rPr>
                <w:b/>
                <w:sz w:val="17"/>
              </w:rPr>
              <w:t>Cash Flow</w:t>
            </w:r>
          </w:p>
        </w:tc>
        <w:tc>
          <w:tcPr>
            <w:tcW w:type="dxa" w:w="4320"/>
          </w:tcPr>
          <w:p>
            <w:pPr>
              <w:spacing w:after="40"/>
            </w:pPr>
            <w:r/>
            <w:r>
              <w:rPr>
                <w:sz w:val="17"/>
              </w:rPr>
              <w:t>/reports/cash-flow</w:t>
            </w:r>
          </w:p>
        </w:tc>
      </w:tr>
      <w:tr>
        <w:tc>
          <w:tcPr>
            <w:tcW w:type="dxa" w:w="4608"/>
            <w:shd w:val="clear" w:fill="F3F6FB"/>
          </w:tcPr>
          <w:p>
            <w:pPr>
              <w:spacing w:after="40"/>
            </w:pPr>
            <w:r/>
            <w:r>
              <w:rPr>
                <w:b/>
                <w:sz w:val="17"/>
              </w:rPr>
              <w:t>Credit Note Details</w:t>
            </w:r>
          </w:p>
        </w:tc>
        <w:tc>
          <w:tcPr>
            <w:tcW w:type="dxa" w:w="4320"/>
            <w:shd w:val="clear" w:fill="F3F6FB"/>
          </w:tcPr>
          <w:p>
            <w:pPr>
              <w:spacing w:after="40"/>
            </w:pPr>
            <w:r/>
            <w:r>
              <w:rPr>
                <w:sz w:val="17"/>
              </w:rPr>
              <w:t>/reports/credit-note-details</w:t>
            </w:r>
          </w:p>
        </w:tc>
      </w:tr>
      <w:tr>
        <w:tc>
          <w:tcPr>
            <w:tcW w:type="dxa" w:w="4608"/>
          </w:tcPr>
          <w:p>
            <w:pPr>
              <w:spacing w:after="40"/>
            </w:pPr>
            <w:r/>
            <w:r>
              <w:rPr>
                <w:b/>
                <w:sz w:val="17"/>
              </w:rPr>
              <w:t>Customer Balances</w:t>
            </w:r>
          </w:p>
        </w:tc>
        <w:tc>
          <w:tcPr>
            <w:tcW w:type="dxa" w:w="4320"/>
          </w:tcPr>
          <w:p>
            <w:pPr>
              <w:spacing w:after="40"/>
            </w:pPr>
            <w:r/>
            <w:r>
              <w:rPr>
                <w:sz w:val="17"/>
              </w:rPr>
              <w:t>/reports/customer-balances</w:t>
            </w:r>
          </w:p>
        </w:tc>
      </w:tr>
      <w:tr>
        <w:tc>
          <w:tcPr>
            <w:tcW w:type="dxa" w:w="4608"/>
            <w:shd w:val="clear" w:fill="F3F6FB"/>
          </w:tcPr>
          <w:p>
            <w:pPr>
              <w:spacing w:after="40"/>
            </w:pPr>
            <w:r/>
            <w:r>
              <w:rPr>
                <w:b/>
                <w:sz w:val="17"/>
              </w:rPr>
              <w:t>Day Book</w:t>
            </w:r>
          </w:p>
        </w:tc>
        <w:tc>
          <w:tcPr>
            <w:tcW w:type="dxa" w:w="4320"/>
            <w:shd w:val="clear" w:fill="F3F6FB"/>
          </w:tcPr>
          <w:p>
            <w:pPr>
              <w:spacing w:after="40"/>
            </w:pPr>
            <w:r/>
            <w:r>
              <w:rPr>
                <w:sz w:val="17"/>
              </w:rPr>
              <w:t>/reports/day-book</w:t>
            </w:r>
          </w:p>
        </w:tc>
      </w:tr>
      <w:tr>
        <w:tc>
          <w:tcPr>
            <w:tcW w:type="dxa" w:w="4608"/>
          </w:tcPr>
          <w:p>
            <w:pPr>
              <w:spacing w:after="40"/>
            </w:pPr>
            <w:r/>
            <w:r>
              <w:rPr>
                <w:b/>
                <w:sz w:val="17"/>
              </w:rPr>
              <w:t>Estimate Details</w:t>
            </w:r>
          </w:p>
        </w:tc>
        <w:tc>
          <w:tcPr>
            <w:tcW w:type="dxa" w:w="4320"/>
          </w:tcPr>
          <w:p>
            <w:pPr>
              <w:spacing w:after="40"/>
            </w:pPr>
            <w:r/>
            <w:r>
              <w:rPr>
                <w:sz w:val="17"/>
              </w:rPr>
              <w:t>/reports/estimate-details</w:t>
            </w:r>
          </w:p>
        </w:tc>
      </w:tr>
      <w:tr>
        <w:tc>
          <w:tcPr>
            <w:tcW w:type="dxa" w:w="4608"/>
            <w:shd w:val="clear" w:fill="F3F6FB"/>
          </w:tcPr>
          <w:p>
            <w:pPr>
              <w:spacing w:after="40"/>
            </w:pPr>
            <w:r/>
            <w:r>
              <w:rPr>
                <w:b/>
                <w:sz w:val="17"/>
              </w:rPr>
              <w:t>Expense Details</w:t>
            </w:r>
          </w:p>
        </w:tc>
        <w:tc>
          <w:tcPr>
            <w:tcW w:type="dxa" w:w="4320"/>
            <w:shd w:val="clear" w:fill="F3F6FB"/>
          </w:tcPr>
          <w:p>
            <w:pPr>
              <w:spacing w:after="40"/>
            </w:pPr>
            <w:r/>
            <w:r>
              <w:rPr>
                <w:sz w:val="17"/>
              </w:rPr>
              <w:t>/reports/expense-details</w:t>
            </w:r>
          </w:p>
        </w:tc>
      </w:tr>
      <w:tr>
        <w:tc>
          <w:tcPr>
            <w:tcW w:type="dxa" w:w="4608"/>
          </w:tcPr>
          <w:p>
            <w:pPr>
              <w:spacing w:after="40"/>
            </w:pPr>
            <w:r/>
            <w:r>
              <w:rPr>
                <w:b/>
                <w:sz w:val="17"/>
              </w:rPr>
              <w:t>Expenses By Category</w:t>
            </w:r>
          </w:p>
        </w:tc>
        <w:tc>
          <w:tcPr>
            <w:tcW w:type="dxa" w:w="4320"/>
          </w:tcPr>
          <w:p>
            <w:pPr>
              <w:spacing w:after="40"/>
            </w:pPr>
            <w:r/>
            <w:r>
              <w:rPr>
                <w:sz w:val="17"/>
              </w:rPr>
              <w:t>/reports/expenses-by-category</w:t>
            </w:r>
          </w:p>
        </w:tc>
      </w:tr>
      <w:tr>
        <w:tc>
          <w:tcPr>
            <w:tcW w:type="dxa" w:w="4608"/>
            <w:shd w:val="clear" w:fill="F3F6FB"/>
          </w:tcPr>
          <w:p>
            <w:pPr>
              <w:spacing w:after="40"/>
            </w:pPr>
            <w:r/>
            <w:r>
              <w:rPr>
                <w:b/>
                <w:sz w:val="17"/>
              </w:rPr>
              <w:t>General Ledger</w:t>
            </w:r>
          </w:p>
        </w:tc>
        <w:tc>
          <w:tcPr>
            <w:tcW w:type="dxa" w:w="4320"/>
            <w:shd w:val="clear" w:fill="F3F6FB"/>
          </w:tcPr>
          <w:p>
            <w:pPr>
              <w:spacing w:after="40"/>
            </w:pPr>
            <w:r/>
            <w:r>
              <w:rPr>
                <w:sz w:val="17"/>
              </w:rPr>
              <w:t>/reports/general-ledger</w:t>
            </w:r>
          </w:p>
        </w:tc>
      </w:tr>
      <w:tr>
        <w:tc>
          <w:tcPr>
            <w:tcW w:type="dxa" w:w="4608"/>
          </w:tcPr>
          <w:p>
            <w:pPr>
              <w:spacing w:after="40"/>
            </w:pPr>
            <w:r/>
            <w:r>
              <w:rPr>
                <w:b/>
                <w:sz w:val="17"/>
              </w:rPr>
              <w:t>Invoice Details</w:t>
            </w:r>
          </w:p>
        </w:tc>
        <w:tc>
          <w:tcPr>
            <w:tcW w:type="dxa" w:w="4320"/>
          </w:tcPr>
          <w:p>
            <w:pPr>
              <w:spacing w:after="40"/>
            </w:pPr>
            <w:r/>
            <w:r>
              <w:rPr>
                <w:sz w:val="17"/>
              </w:rPr>
              <w:t>/reports/invoice-details</w:t>
            </w:r>
          </w:p>
        </w:tc>
      </w:tr>
      <w:tr>
        <w:tc>
          <w:tcPr>
            <w:tcW w:type="dxa" w:w="4608"/>
            <w:shd w:val="clear" w:fill="F3F6FB"/>
          </w:tcPr>
          <w:p>
            <w:pPr>
              <w:spacing w:after="40"/>
            </w:pPr>
            <w:r/>
            <w:r>
              <w:rPr>
                <w:b/>
                <w:sz w:val="17"/>
              </w:rPr>
              <w:t>Journal Report</w:t>
            </w:r>
          </w:p>
        </w:tc>
        <w:tc>
          <w:tcPr>
            <w:tcW w:type="dxa" w:w="4320"/>
            <w:shd w:val="clear" w:fill="F3F6FB"/>
          </w:tcPr>
          <w:p>
            <w:pPr>
              <w:spacing w:after="40"/>
            </w:pPr>
            <w:r/>
            <w:r>
              <w:rPr>
                <w:sz w:val="17"/>
              </w:rPr>
              <w:t>/reports/journal-report</w:t>
            </w:r>
          </w:p>
        </w:tc>
      </w:tr>
      <w:tr>
        <w:tc>
          <w:tcPr>
            <w:tcW w:type="dxa" w:w="4608"/>
          </w:tcPr>
          <w:p>
            <w:pPr>
              <w:spacing w:after="40"/>
            </w:pPr>
            <w:r/>
            <w:r>
              <w:rPr>
                <w:b/>
                <w:sz w:val="17"/>
              </w:rPr>
              <w:t>Movement Of Equity</w:t>
            </w:r>
          </w:p>
        </w:tc>
        <w:tc>
          <w:tcPr>
            <w:tcW w:type="dxa" w:w="4320"/>
          </w:tcPr>
          <w:p>
            <w:pPr>
              <w:spacing w:after="40"/>
            </w:pPr>
            <w:r/>
            <w:r>
              <w:rPr>
                <w:sz w:val="17"/>
              </w:rPr>
              <w:t>/reports/movement-of-equity</w:t>
            </w:r>
          </w:p>
        </w:tc>
      </w:tr>
      <w:tr>
        <w:tc>
          <w:tcPr>
            <w:tcW w:type="dxa" w:w="4608"/>
            <w:shd w:val="clear" w:fill="F3F6FB"/>
          </w:tcPr>
          <w:p>
            <w:pPr>
              <w:spacing w:after="40"/>
            </w:pPr>
            <w:r/>
            <w:r>
              <w:rPr>
                <w:b/>
                <w:sz w:val="17"/>
              </w:rPr>
              <w:t>Payments Made</w:t>
            </w:r>
          </w:p>
        </w:tc>
        <w:tc>
          <w:tcPr>
            <w:tcW w:type="dxa" w:w="4320"/>
            <w:shd w:val="clear" w:fill="F3F6FB"/>
          </w:tcPr>
          <w:p>
            <w:pPr>
              <w:spacing w:after="40"/>
            </w:pPr>
            <w:r/>
            <w:r>
              <w:rPr>
                <w:sz w:val="17"/>
              </w:rPr>
              <w:t>/reports/payments-made</w:t>
            </w:r>
          </w:p>
        </w:tc>
      </w:tr>
      <w:tr>
        <w:tc>
          <w:tcPr>
            <w:tcW w:type="dxa" w:w="4608"/>
          </w:tcPr>
          <w:p>
            <w:pPr>
              <w:spacing w:after="40"/>
            </w:pPr>
            <w:r/>
            <w:r>
              <w:rPr>
                <w:b/>
                <w:sz w:val="17"/>
              </w:rPr>
              <w:t>Payments Received</w:t>
            </w:r>
          </w:p>
        </w:tc>
        <w:tc>
          <w:tcPr>
            <w:tcW w:type="dxa" w:w="4320"/>
          </w:tcPr>
          <w:p>
            <w:pPr>
              <w:spacing w:after="40"/>
            </w:pPr>
            <w:r/>
            <w:r>
              <w:rPr>
                <w:sz w:val="17"/>
              </w:rPr>
              <w:t>/reports/payments-received</w:t>
            </w:r>
          </w:p>
        </w:tc>
      </w:tr>
      <w:tr>
        <w:tc>
          <w:tcPr>
            <w:tcW w:type="dxa" w:w="4608"/>
            <w:shd w:val="clear" w:fill="F3F6FB"/>
          </w:tcPr>
          <w:p>
            <w:pPr>
              <w:spacing w:after="40"/>
            </w:pPr>
            <w:r/>
            <w:r>
              <w:rPr>
                <w:b/>
                <w:sz w:val="17"/>
              </w:rPr>
              <w:t>Profit and Loss</w:t>
            </w:r>
          </w:p>
        </w:tc>
        <w:tc>
          <w:tcPr>
            <w:tcW w:type="dxa" w:w="4320"/>
            <w:shd w:val="clear" w:fill="F3F6FB"/>
          </w:tcPr>
          <w:p>
            <w:pPr>
              <w:spacing w:after="40"/>
            </w:pPr>
            <w:r/>
            <w:r>
              <w:rPr>
                <w:sz w:val="17"/>
              </w:rPr>
              <w:t>/reports/profit-and-loss</w:t>
            </w:r>
          </w:p>
        </w:tc>
      </w:tr>
      <w:tr>
        <w:tc>
          <w:tcPr>
            <w:tcW w:type="dxa" w:w="4608"/>
          </w:tcPr>
          <w:p>
            <w:pPr>
              <w:spacing w:after="40"/>
            </w:pPr>
            <w:r/>
            <w:r>
              <w:rPr>
                <w:b/>
                <w:sz w:val="17"/>
              </w:rPr>
              <w:t>Purchases By Vendor</w:t>
            </w:r>
          </w:p>
        </w:tc>
        <w:tc>
          <w:tcPr>
            <w:tcW w:type="dxa" w:w="4320"/>
          </w:tcPr>
          <w:p>
            <w:pPr>
              <w:spacing w:after="40"/>
            </w:pPr>
            <w:r/>
            <w:r>
              <w:rPr>
                <w:sz w:val="17"/>
              </w:rPr>
              <w:t>/reports/purchases-by-vendor</w:t>
            </w:r>
          </w:p>
        </w:tc>
      </w:tr>
      <w:tr>
        <w:tc>
          <w:tcPr>
            <w:tcW w:type="dxa" w:w="4608"/>
            <w:shd w:val="clear" w:fill="F3F6FB"/>
          </w:tcPr>
          <w:p>
            <w:pPr>
              <w:spacing w:after="40"/>
            </w:pPr>
            <w:r/>
            <w:r>
              <w:rPr>
                <w:b/>
                <w:sz w:val="17"/>
              </w:rPr>
              <w:t>Refund History</w:t>
            </w:r>
          </w:p>
        </w:tc>
        <w:tc>
          <w:tcPr>
            <w:tcW w:type="dxa" w:w="4320"/>
            <w:shd w:val="clear" w:fill="F3F6FB"/>
          </w:tcPr>
          <w:p>
            <w:pPr>
              <w:spacing w:after="40"/>
            </w:pPr>
            <w:r/>
            <w:r>
              <w:rPr>
                <w:sz w:val="17"/>
              </w:rPr>
              <w:t>/reports/refund-history</w:t>
            </w:r>
          </w:p>
        </w:tc>
      </w:tr>
      <w:tr>
        <w:tc>
          <w:tcPr>
            <w:tcW w:type="dxa" w:w="4608"/>
          </w:tcPr>
          <w:p>
            <w:pPr>
              <w:spacing w:after="40"/>
            </w:pPr>
            <w:r/>
            <w:r>
              <w:rPr>
                <w:b/>
                <w:sz w:val="17"/>
              </w:rPr>
              <w:t>Retainer Details</w:t>
            </w:r>
          </w:p>
        </w:tc>
        <w:tc>
          <w:tcPr>
            <w:tcW w:type="dxa" w:w="4320"/>
          </w:tcPr>
          <w:p>
            <w:pPr>
              <w:spacing w:after="40"/>
            </w:pPr>
            <w:r/>
            <w:r>
              <w:rPr>
                <w:sz w:val="17"/>
              </w:rPr>
              <w:t>/reports/retainer-details</w:t>
            </w:r>
          </w:p>
        </w:tc>
      </w:tr>
      <w:tr>
        <w:tc>
          <w:tcPr>
            <w:tcW w:type="dxa" w:w="4608"/>
            <w:shd w:val="clear" w:fill="F3F6FB"/>
          </w:tcPr>
          <w:p>
            <w:pPr>
              <w:spacing w:after="40"/>
            </w:pPr>
            <w:r/>
            <w:r>
              <w:rPr>
                <w:b/>
                <w:sz w:val="17"/>
              </w:rPr>
              <w:t>Sales By Customer</w:t>
            </w:r>
          </w:p>
        </w:tc>
        <w:tc>
          <w:tcPr>
            <w:tcW w:type="dxa" w:w="4320"/>
            <w:shd w:val="clear" w:fill="F3F6FB"/>
          </w:tcPr>
          <w:p>
            <w:pPr>
              <w:spacing w:after="40"/>
            </w:pPr>
            <w:r/>
            <w:r>
              <w:rPr>
                <w:sz w:val="17"/>
              </w:rPr>
              <w:t>/reports/sales-by-customer</w:t>
            </w:r>
          </w:p>
        </w:tc>
      </w:tr>
      <w:tr>
        <w:tc>
          <w:tcPr>
            <w:tcW w:type="dxa" w:w="4608"/>
          </w:tcPr>
          <w:p>
            <w:pPr>
              <w:spacing w:after="40"/>
            </w:pPr>
            <w:r/>
            <w:r>
              <w:rPr>
                <w:b/>
                <w:sz w:val="17"/>
              </w:rPr>
              <w:t>Sales By Item</w:t>
            </w:r>
          </w:p>
        </w:tc>
        <w:tc>
          <w:tcPr>
            <w:tcW w:type="dxa" w:w="4320"/>
          </w:tcPr>
          <w:p>
            <w:pPr>
              <w:spacing w:after="40"/>
            </w:pPr>
            <w:r/>
            <w:r>
              <w:rPr>
                <w:sz w:val="17"/>
              </w:rPr>
              <w:t>/reports/sales-by-item</w:t>
            </w:r>
          </w:p>
        </w:tc>
      </w:tr>
      <w:tr>
        <w:tc>
          <w:tcPr>
            <w:tcW w:type="dxa" w:w="4608"/>
            <w:shd w:val="clear" w:fill="F3F6FB"/>
          </w:tcPr>
          <w:p>
            <w:pPr>
              <w:spacing w:after="40"/>
            </w:pPr>
            <w:r/>
            <w:r>
              <w:rPr>
                <w:b/>
                <w:sz w:val="17"/>
              </w:rPr>
              <w:t>Sales By Salesperson</w:t>
            </w:r>
          </w:p>
        </w:tc>
        <w:tc>
          <w:tcPr>
            <w:tcW w:type="dxa" w:w="4320"/>
            <w:shd w:val="clear" w:fill="F3F6FB"/>
          </w:tcPr>
          <w:p>
            <w:pPr>
              <w:spacing w:after="40"/>
            </w:pPr>
            <w:r/>
            <w:r>
              <w:rPr>
                <w:sz w:val="17"/>
              </w:rPr>
              <w:t>/reports/sales-by-salesperson</w:t>
            </w:r>
          </w:p>
        </w:tc>
      </w:tr>
      <w:tr>
        <w:tc>
          <w:tcPr>
            <w:tcW w:type="dxa" w:w="4608"/>
          </w:tcPr>
          <w:p>
            <w:pPr>
              <w:spacing w:after="40"/>
            </w:pPr>
            <w:r/>
            <w:r>
              <w:rPr>
                <w:b/>
                <w:sz w:val="17"/>
              </w:rPr>
              <w:t>Sales Order Details</w:t>
            </w:r>
          </w:p>
        </w:tc>
        <w:tc>
          <w:tcPr>
            <w:tcW w:type="dxa" w:w="4320"/>
          </w:tcPr>
          <w:p>
            <w:pPr>
              <w:spacing w:after="40"/>
            </w:pPr>
            <w:r/>
            <w:r>
              <w:rPr>
                <w:sz w:val="17"/>
              </w:rPr>
              <w:t>/reports/sales-order-details</w:t>
            </w:r>
          </w:p>
        </w:tc>
      </w:tr>
      <w:tr>
        <w:tc>
          <w:tcPr>
            <w:tcW w:type="dxa" w:w="4608"/>
            <w:shd w:val="clear" w:fill="F3F6FB"/>
          </w:tcPr>
          <w:p>
            <w:pPr>
              <w:spacing w:after="40"/>
            </w:pPr>
            <w:r/>
            <w:r>
              <w:rPr>
                <w:b/>
                <w:sz w:val="17"/>
              </w:rPr>
              <w:t>Time To Get Paid</w:t>
            </w:r>
          </w:p>
        </w:tc>
        <w:tc>
          <w:tcPr>
            <w:tcW w:type="dxa" w:w="4320"/>
            <w:shd w:val="clear" w:fill="F3F6FB"/>
          </w:tcPr>
          <w:p>
            <w:pPr>
              <w:spacing w:after="40"/>
            </w:pPr>
            <w:r/>
            <w:r>
              <w:rPr>
                <w:sz w:val="17"/>
              </w:rPr>
              <w:t>/reports/time-to-get-paid</w:t>
            </w:r>
          </w:p>
        </w:tc>
      </w:tr>
      <w:tr>
        <w:tc>
          <w:tcPr>
            <w:tcW w:type="dxa" w:w="4608"/>
          </w:tcPr>
          <w:p>
            <w:pPr>
              <w:spacing w:after="40"/>
            </w:pPr>
            <w:r/>
            <w:r>
              <w:rPr>
                <w:b/>
                <w:sz w:val="17"/>
              </w:rPr>
              <w:t>Trial Balance</w:t>
            </w:r>
          </w:p>
        </w:tc>
        <w:tc>
          <w:tcPr>
            <w:tcW w:type="dxa" w:w="4320"/>
          </w:tcPr>
          <w:p>
            <w:pPr>
              <w:spacing w:after="40"/>
            </w:pPr>
            <w:r/>
            <w:r>
              <w:rPr>
                <w:sz w:val="17"/>
              </w:rPr>
              <w:t>/reports/trial-balance</w:t>
            </w:r>
          </w:p>
        </w:tc>
      </w:tr>
      <w:tr>
        <w:tc>
          <w:tcPr>
            <w:tcW w:type="dxa" w:w="4608"/>
            <w:shd w:val="clear" w:fill="F3F6FB"/>
          </w:tcPr>
          <w:p>
            <w:pPr>
              <w:spacing w:after="40"/>
            </w:pPr>
            <w:r/>
            <w:r>
              <w:rPr>
                <w:b/>
                <w:sz w:val="17"/>
              </w:rPr>
              <w:t>Vendor Balances</w:t>
            </w:r>
          </w:p>
        </w:tc>
        <w:tc>
          <w:tcPr>
            <w:tcW w:type="dxa" w:w="4320"/>
            <w:shd w:val="clear" w:fill="F3F6FB"/>
          </w:tcPr>
          <w:p>
            <w:pPr>
              <w:spacing w:after="40"/>
            </w:pPr>
            <w:r/>
            <w:r>
              <w:rPr>
                <w:sz w:val="17"/>
              </w:rPr>
              <w:t>/reports/vendor-balances</w:t>
            </w:r>
          </w:p>
        </w:tc>
      </w:tr>
    </w:tbl>
    <w:p>
      <w:pPr>
        <w:spacing w:after="80"/>
      </w:pP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482"/>
        <w:sz w:val="16"/>
      </w:rPr>
      <w:t>REKONZA AI — Project Documentation · 08 September 2026 · build 7f58a19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2F6E"/>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2F6E"/>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0A5CC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