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libri" w:cs="Calibri" w:eastAsia="Calibri" w:hAnsi="Calibri"/>
          <w:b/>
          <w:bCs/>
          <w:i w:val="false"/>
          <w:iCs w:val="false"/>
          <w:strike w:val="false"/>
          <w:color w:val="0D1F3C"/>
          <w:spacing w:val="20"/>
          <w:sz w:val="64"/>
          <w:szCs w:val="64"/>
        </w:rPr>
        <w:t xml:space="preserve">DEGEN ECOSYSTEM</w:t>
      </w:r>
    </w:p>
    <w:p>
      <w:pPr>
        <w:spacing w:after="240" w:line="360" w:lineRule="auto"/>
        <w:jc w:val="center"/>
      </w:pPr>
      <w:r>
        <w:rPr>
          <w:rFonts w:ascii="Calibri" w:cs="Calibri" w:eastAsia="Calibri" w:hAnsi="Calibri"/>
          <w:b w:val="false"/>
          <w:bCs w:val="false"/>
          <w:i w:val="false"/>
          <w:iCs w:val="false"/>
          <w:strike w:val="false"/>
          <w:color w:val="1A3A6B"/>
          <w:sz w:val="32"/>
          <w:szCs w:val="32"/>
        </w:rPr>
        <w:t xml:space="preserve">Whitepaper &amp; Tokenomics</w:t>
      </w:r>
    </w:p>
    <w:p>
      <w:pPr>
        <w:spacing w:after="240" w:line="360" w:lineRule="auto"/>
        <w:jc w:val="center"/>
      </w:pPr>
      <w:r>
        <w:rPr>
          <w:rFonts w:ascii="Calibri" w:cs="Calibri" w:eastAsia="Calibri" w:hAnsi="Calibri"/>
          <w:b/>
          <w:bCs/>
          <w:i w:val="false"/>
          <w:iCs w:val="false"/>
          <w:strike w:val="false"/>
          <w:color w:val="000000"/>
          <w:sz w:val="22"/>
          <w:szCs w:val="22"/>
        </w:rPr>
        <w:t xml:space="preserve">Document Version:</w:t>
      </w:r>
      <w:r>
        <w:rPr>
          <w:rFonts w:ascii="Calibri" w:cs="Calibri" w:eastAsia="Calibri" w:hAnsi="Calibri"/>
          <w:b w:val="false"/>
          <w:bCs w:val="false"/>
          <w:i w:val="false"/>
          <w:iCs w:val="false"/>
          <w:strike w:val="false"/>
          <w:color w:val="555555"/>
          <w:sz w:val="20"/>
          <w:szCs w:val="20"/>
        </w:rPr>
        <w:t xml:space="preserve"> 1.0   |   </w:t>
      </w:r>
      <w:r>
        <w:rPr>
          <w:rFonts w:ascii="Calibri" w:cs="Calibri" w:eastAsia="Calibri" w:hAnsi="Calibri"/>
          <w:b/>
          <w:bCs/>
          <w:i w:val="false"/>
          <w:iCs w:val="false"/>
          <w:strike w:val="false"/>
          <w:color w:val="000000"/>
          <w:sz w:val="22"/>
          <w:szCs w:val="22"/>
        </w:rPr>
        <w:t xml:space="preserve">Published:</w:t>
      </w:r>
      <w:r>
        <w:rPr>
          <w:rFonts w:ascii="Calibri" w:cs="Calibri" w:eastAsia="Calibri" w:hAnsi="Calibri"/>
          <w:b w:val="false"/>
          <w:bCs w:val="false"/>
          <w:i w:val="false"/>
          <w:iCs w:val="false"/>
          <w:strike w:val="false"/>
          <w:color w:val="555555"/>
          <w:sz w:val="20"/>
          <w:szCs w:val="20"/>
        </w:rPr>
        <w:t xml:space="preserve"> September 25, 2026   |   </w:t>
      </w: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555555"/>
          <w:sz w:val="20"/>
          <w:szCs w:val="20"/>
        </w:rPr>
        <w:t xml:space="preserve"> The Degen Ecosystem Core Team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6B" w:color="auto" w:val="clear"/>
            <w:tcMar>
              <w:top w:type="dxa" w:w="45"/>
              <w:left w:type="dxa" w:w="180"/>
              <w:bottom w:type="dxa" w:w="45"/>
              <w:right w:type="dxa" w:w="180"/>
            </w:tcMar>
          </w:tcPr>
          <w:p>
            <w:pPr>
              <w:spacing w:after="120" w:line="408" w:lineRule="auto"/>
            </w:pPr>
            <w:r>
              <w:t xml:space="preserve">Community-First</w:t>
            </w:r>
          </w:p>
          <w:p>
            <w:pPr>
              <w:spacing w:after="120" w:line="408" w:lineRule="auto"/>
            </w:pPr>
            <w:r>
              <w:t xml:space="preserve">|</w:t>
            </w:r>
          </w:p>
          <w:p>
            <w:pPr>
              <w:spacing w:after="120" w:line="408" w:lineRule="auto"/>
            </w:pPr>
            <w:r>
              <w:t xml:space="preserve">XP-Driven</w:t>
            </w:r>
          </w:p>
          <w:p>
            <w:pPr>
              <w:spacing w:after="120" w:line="408" w:lineRule="auto"/>
            </w:pPr>
            <w:r>
              <w:t xml:space="preserve">|</w:t>
            </w:r>
          </w:p>
          <w:p>
            <w:pPr>
              <w:spacing w:after="120" w:line="408" w:lineRule="auto"/>
            </w:pPr>
            <w:r>
              <w:t xml:space="preserve">Governed by All</w:t>
            </w:r>
          </w:p>
        </w:tc>
      </w:tr>
    </w:tbl>
    <w:p>
      <w:pPr>
        <w:spacing w:after="240" w:before="0"/>
      </w:pPr>
    </w:p>
    <w:p>
      <w:pPr>
        <w:pBdr>
          <w:bottom w:val="single" w:color="1A3A6B"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FE8" w:sz="6"/>
              <w:left w:val="single" w:color="C0CFE8" w:sz="6"/>
              <w:bottom w:val="single" w:color="C0CFE8" w:sz="6"/>
              <w:right w:val="single" w:color="C0CFE8" w:sz="6"/>
            </w:tcBorders>
            <w:shd w:fill="F0F4FB" w:color="auto" w:val="clear"/>
            <w:tcMar>
              <w:top w:type="dxa" w:w="240"/>
              <w:left w:type="dxa" w:w="360"/>
              <w:bottom w:type="dxa" w:w="240"/>
              <w:right w:type="dxa" w:w="360"/>
            </w:tcMar>
          </w:tcPr>
          <w:p>
            <w:pPr>
              <w:spacing w:after="120" w:line="408" w:lineRule="auto"/>
            </w:pPr>
            <w:r>
              <w:rPr>
                <w:b/>
                <w:bCs/>
                <w:i w:val="false"/>
                <w:iCs w:val="false"/>
                <w:color w:val="0D1F3C"/>
              </w:rPr>
              <w:t xml:space="preserve">■ Table of Contents</w:t>
            </w:r>
          </w:p>
          <w:p>
            <w:pPr>
              <w:spacing w:after="120" w:line="408" w:lineRule="auto"/>
            </w:pPr>
            <w:r>
              <w:rPr>
                <w:rFonts w:ascii="Calibri" w:cs="Calibri" w:eastAsia="Calibri" w:hAnsi="Calibri"/>
                <w:b/>
                <w:bCs/>
                <w:i w:val="false"/>
                <w:iCs w:val="false"/>
                <w:strike w:val="false"/>
                <w:color w:val="000000"/>
                <w:sz w:val="22"/>
                <w:szCs w:val="22"/>
              </w:rPr>
              <w:t xml:space="preserve">1.</w:t>
            </w:r>
            <w:r>
              <w:rPr>
                <w:rFonts w:ascii="Calibri" w:cs="Calibri" w:eastAsia="Calibri" w:hAnsi="Calibri"/>
                <w:b w:val="false"/>
                <w:bCs w:val="false"/>
                <w:i w:val="false"/>
                <w:iCs w:val="false"/>
                <w:strike w:val="false"/>
                <w:color w:val="1A3A6B"/>
                <w:sz w:val="21"/>
                <w:szCs w:val="21"/>
              </w:rPr>
              <w:t xml:space="preserve"> Executive Summary</w:t>
            </w:r>
          </w:p>
          <w:p>
            <w:pPr>
              <w:spacing w:after="120" w:line="408" w:lineRule="auto"/>
            </w:pPr>
            <w:r>
              <w:rPr>
                <w:rFonts w:ascii="Calibri" w:cs="Calibri" w:eastAsia="Calibri" w:hAnsi="Calibri"/>
                <w:b/>
                <w:bCs/>
                <w:i w:val="false"/>
                <w:iCs w:val="false"/>
                <w:strike w:val="false"/>
                <w:color w:val="000000"/>
                <w:sz w:val="22"/>
                <w:szCs w:val="22"/>
              </w:rPr>
              <w:t xml:space="preserve">2.</w:t>
            </w:r>
            <w:r>
              <w:rPr>
                <w:rFonts w:ascii="Calibri" w:cs="Calibri" w:eastAsia="Calibri" w:hAnsi="Calibri"/>
                <w:b w:val="false"/>
                <w:bCs w:val="false"/>
                <w:i w:val="false"/>
                <w:iCs w:val="false"/>
                <w:strike w:val="false"/>
                <w:color w:val="1A3A6B"/>
                <w:sz w:val="21"/>
                <w:szCs w:val="21"/>
              </w:rPr>
              <w:t xml:space="preserve"> Introduction &amp; Background</w:t>
            </w:r>
          </w:p>
          <w:p>
            <w:pPr>
              <w:spacing w:after="120" w:line="408" w:lineRule="auto"/>
            </w:pPr>
            <w:r>
              <w:rPr>
                <w:rFonts w:ascii="Calibri" w:cs="Calibri" w:eastAsia="Calibri" w:hAnsi="Calibri"/>
                <w:b/>
                <w:bCs/>
                <w:i w:val="false"/>
                <w:iCs w:val="false"/>
                <w:strike w:val="false"/>
                <w:color w:val="000000"/>
                <w:sz w:val="22"/>
                <w:szCs w:val="22"/>
              </w:rPr>
              <w:t xml:space="preserve">3.</w:t>
            </w:r>
            <w:r>
              <w:rPr>
                <w:rFonts w:ascii="Calibri" w:cs="Calibri" w:eastAsia="Calibri" w:hAnsi="Calibri"/>
                <w:b w:val="false"/>
                <w:bCs w:val="false"/>
                <w:i w:val="false"/>
                <w:iCs w:val="false"/>
                <w:strike w:val="false"/>
                <w:color w:val="1A3A6B"/>
                <w:sz w:val="21"/>
                <w:szCs w:val="21"/>
              </w:rPr>
              <w:t xml:space="preserve"> The Degen Dollar Token ($DEGEN)</w:t>
            </w:r>
          </w:p>
          <w:p>
            <w:pPr>
              <w:spacing w:after="120" w:line="408" w:lineRule="auto"/>
            </w:pPr>
            <w:r>
              <w:rPr>
                <w:rFonts w:ascii="Calibri" w:cs="Calibri" w:eastAsia="Calibri" w:hAnsi="Calibri"/>
                <w:b/>
                <w:bCs/>
                <w:i w:val="false"/>
                <w:iCs w:val="false"/>
                <w:strike w:val="false"/>
                <w:color w:val="000000"/>
                <w:sz w:val="22"/>
                <w:szCs w:val="22"/>
              </w:rPr>
              <w:t xml:space="preserve">4.</w:t>
            </w:r>
            <w:r>
              <w:rPr>
                <w:rFonts w:ascii="Calibri" w:cs="Calibri" w:eastAsia="Calibri" w:hAnsi="Calibri"/>
                <w:b w:val="false"/>
                <w:bCs w:val="false"/>
                <w:i w:val="false"/>
                <w:iCs w:val="false"/>
                <w:strike w:val="false"/>
                <w:color w:val="1A3A6B"/>
                <w:sz w:val="21"/>
                <w:szCs w:val="21"/>
              </w:rPr>
              <w:t xml:space="preserve"> Token Allocation &amp; Distribution</w:t>
            </w:r>
          </w:p>
          <w:p>
            <w:pPr>
              <w:spacing w:after="120" w:line="408" w:lineRule="auto"/>
            </w:pPr>
            <w:r>
              <w:rPr>
                <w:rFonts w:ascii="Calibri" w:cs="Calibri" w:eastAsia="Calibri" w:hAnsi="Calibri"/>
                <w:b/>
                <w:bCs/>
                <w:i w:val="false"/>
                <w:iCs w:val="false"/>
                <w:strike w:val="false"/>
                <w:color w:val="000000"/>
                <w:sz w:val="22"/>
                <w:szCs w:val="22"/>
              </w:rPr>
              <w:t xml:space="preserve">5.</w:t>
            </w:r>
            <w:r>
              <w:rPr>
                <w:rFonts w:ascii="Calibri" w:cs="Calibri" w:eastAsia="Calibri" w:hAnsi="Calibri"/>
                <w:b w:val="false"/>
                <w:bCs w:val="false"/>
                <w:i w:val="false"/>
                <w:iCs w:val="false"/>
                <w:strike w:val="false"/>
                <w:color w:val="1A3A6B"/>
                <w:sz w:val="21"/>
                <w:szCs w:val="21"/>
              </w:rPr>
              <w:t xml:space="preserve"> Vesting Schedules</w:t>
            </w:r>
          </w:p>
          <w:p>
            <w:pPr>
              <w:spacing w:after="120" w:line="408" w:lineRule="auto"/>
            </w:pPr>
            <w:r>
              <w:rPr>
                <w:rFonts w:ascii="Calibri" w:cs="Calibri" w:eastAsia="Calibri" w:hAnsi="Calibri"/>
                <w:b/>
                <w:bCs/>
                <w:i w:val="false"/>
                <w:iCs w:val="false"/>
                <w:strike w:val="false"/>
                <w:color w:val="000000"/>
                <w:sz w:val="22"/>
                <w:szCs w:val="22"/>
              </w:rPr>
              <w:t xml:space="preserve">6.</w:t>
            </w:r>
            <w:r>
              <w:rPr>
                <w:rFonts w:ascii="Calibri" w:cs="Calibri" w:eastAsia="Calibri" w:hAnsi="Calibri"/>
                <w:b w:val="false"/>
                <w:bCs w:val="false"/>
                <w:i w:val="false"/>
                <w:iCs w:val="false"/>
                <w:strike w:val="false"/>
                <w:color w:val="1A3A6B"/>
                <w:sz w:val="21"/>
                <w:szCs w:val="21"/>
              </w:rPr>
              <w:t xml:space="preserve"> XP System &amp; Community Ranking</w:t>
            </w:r>
          </w:p>
          <w:p>
            <w:pPr>
              <w:spacing w:after="120" w:line="408" w:lineRule="auto"/>
            </w:pPr>
            <w:r>
              <w:rPr>
                <w:rFonts w:ascii="Calibri" w:cs="Calibri" w:eastAsia="Calibri" w:hAnsi="Calibri"/>
                <w:b/>
                <w:bCs/>
                <w:i w:val="false"/>
                <w:iCs w:val="false"/>
                <w:strike w:val="false"/>
                <w:color w:val="000000"/>
                <w:sz w:val="22"/>
                <w:szCs w:val="22"/>
              </w:rPr>
              <w:t xml:space="preserve">7.</w:t>
            </w:r>
            <w:r>
              <w:rPr>
                <w:rFonts w:ascii="Calibri" w:cs="Calibri" w:eastAsia="Calibri" w:hAnsi="Calibri"/>
                <w:b w:val="false"/>
                <w:bCs w:val="false"/>
                <w:i w:val="false"/>
                <w:iCs w:val="false"/>
                <w:strike w:val="false"/>
                <w:color w:val="1A3A6B"/>
                <w:sz w:val="21"/>
                <w:szCs w:val="21"/>
              </w:rPr>
              <w:t xml:space="preserve"> Leaderboard Rules &amp; Epoch Rewards</w:t>
            </w:r>
          </w:p>
          <w:p>
            <w:pPr>
              <w:spacing w:after="120" w:line="408" w:lineRule="auto"/>
            </w:pPr>
            <w:r>
              <w:rPr>
                <w:rFonts w:ascii="Calibri" w:cs="Calibri" w:eastAsia="Calibri" w:hAnsi="Calibri"/>
                <w:b/>
                <w:bCs/>
                <w:i w:val="false"/>
                <w:iCs w:val="false"/>
                <w:strike w:val="false"/>
                <w:color w:val="000000"/>
                <w:sz w:val="22"/>
                <w:szCs w:val="22"/>
              </w:rPr>
              <w:t xml:space="preserve">8.</w:t>
            </w:r>
            <w:r>
              <w:rPr>
                <w:rFonts w:ascii="Calibri" w:cs="Calibri" w:eastAsia="Calibri" w:hAnsi="Calibri"/>
                <w:b w:val="false"/>
                <w:bCs w:val="false"/>
                <w:i w:val="false"/>
                <w:iCs w:val="false"/>
                <w:strike w:val="false"/>
                <w:color w:val="1A3A6B"/>
                <w:sz w:val="21"/>
                <w:szCs w:val="21"/>
              </w:rPr>
              <w:t xml:space="preserve"> Community Participation Mechanics</w:t>
            </w:r>
          </w:p>
          <w:p>
            <w:pPr>
              <w:spacing w:after="120" w:line="408" w:lineRule="auto"/>
            </w:pPr>
            <w:r>
              <w:rPr>
                <w:rFonts w:ascii="Calibri" w:cs="Calibri" w:eastAsia="Calibri" w:hAnsi="Calibri"/>
                <w:b/>
                <w:bCs/>
                <w:i w:val="false"/>
                <w:iCs w:val="false"/>
                <w:strike w:val="false"/>
                <w:color w:val="000000"/>
                <w:sz w:val="22"/>
                <w:szCs w:val="22"/>
              </w:rPr>
              <w:t xml:space="preserve">9.</w:t>
            </w:r>
            <w:r>
              <w:rPr>
                <w:rFonts w:ascii="Calibri" w:cs="Calibri" w:eastAsia="Calibri" w:hAnsi="Calibri"/>
                <w:b w:val="false"/>
                <w:bCs w:val="false"/>
                <w:i w:val="false"/>
                <w:iCs w:val="false"/>
                <w:strike w:val="false"/>
                <w:color w:val="1A3A6B"/>
                <w:sz w:val="21"/>
                <w:szCs w:val="21"/>
              </w:rPr>
              <w:t xml:space="preserve"> Governance</w:t>
            </w:r>
          </w:p>
          <w:p>
            <w:pPr>
              <w:spacing w:after="120" w:line="408" w:lineRule="auto"/>
            </w:pPr>
            <w:r>
              <w:rPr>
                <w:rFonts w:ascii="Calibri" w:cs="Calibri" w:eastAsia="Calibri" w:hAnsi="Calibri"/>
                <w:b/>
                <w:bCs/>
                <w:i w:val="false"/>
                <w:iCs w:val="false"/>
                <w:strike w:val="false"/>
                <w:color w:val="000000"/>
                <w:sz w:val="22"/>
                <w:szCs w:val="22"/>
              </w:rPr>
              <w:t xml:space="preserve">10.</w:t>
            </w:r>
            <w:r>
              <w:rPr>
                <w:rFonts w:ascii="Calibri" w:cs="Calibri" w:eastAsia="Calibri" w:hAnsi="Calibri"/>
                <w:b w:val="false"/>
                <w:bCs w:val="false"/>
                <w:i w:val="false"/>
                <w:iCs w:val="false"/>
                <w:strike w:val="false"/>
                <w:color w:val="1A3A6B"/>
                <w:sz w:val="21"/>
                <w:szCs w:val="21"/>
              </w:rPr>
              <w:t xml:space="preserve"> Charity Distribution</w:t>
            </w:r>
          </w:p>
          <w:p>
            <w:pPr>
              <w:spacing w:after="120" w:line="408" w:lineRule="auto"/>
            </w:pPr>
            <w:r>
              <w:rPr>
                <w:rFonts w:ascii="Calibri" w:cs="Calibri" w:eastAsia="Calibri" w:hAnsi="Calibri"/>
                <w:b/>
                <w:bCs/>
                <w:i w:val="false"/>
                <w:iCs w:val="false"/>
                <w:strike w:val="false"/>
                <w:color w:val="000000"/>
                <w:sz w:val="22"/>
                <w:szCs w:val="22"/>
              </w:rPr>
              <w:t xml:space="preserve">11.</w:t>
            </w:r>
            <w:r>
              <w:rPr>
                <w:rFonts w:ascii="Calibri" w:cs="Calibri" w:eastAsia="Calibri" w:hAnsi="Calibri"/>
                <w:b w:val="false"/>
                <w:bCs w:val="false"/>
                <w:i w:val="false"/>
                <w:iCs w:val="false"/>
                <w:strike w:val="false"/>
                <w:color w:val="1A3A6B"/>
                <w:sz w:val="21"/>
                <w:szCs w:val="21"/>
              </w:rPr>
              <w:t xml:space="preserve"> Long-Term Sustainability</w:t>
            </w:r>
          </w:p>
          <w:p>
            <w:pPr>
              <w:spacing w:after="120" w:line="408" w:lineRule="auto"/>
            </w:pPr>
            <w:r>
              <w:rPr>
                <w:rFonts w:ascii="Calibri" w:cs="Calibri" w:eastAsia="Calibri" w:hAnsi="Calibri"/>
                <w:b/>
                <w:bCs/>
                <w:i w:val="false"/>
                <w:iCs w:val="false"/>
                <w:strike w:val="false"/>
                <w:color w:val="000000"/>
                <w:sz w:val="22"/>
                <w:szCs w:val="22"/>
              </w:rPr>
              <w:t xml:space="preserve">12.</w:t>
            </w:r>
            <w:r>
              <w:rPr>
                <w:rFonts w:ascii="Calibri" w:cs="Calibri" w:eastAsia="Calibri" w:hAnsi="Calibri"/>
                <w:b w:val="false"/>
                <w:bCs w:val="false"/>
                <w:i w:val="false"/>
                <w:iCs w:val="false"/>
                <w:strike w:val="false"/>
                <w:color w:val="1A3A6B"/>
                <w:sz w:val="21"/>
                <w:szCs w:val="21"/>
              </w:rPr>
              <w:t xml:space="preserve"> Roadmap</w:t>
            </w:r>
          </w:p>
          <w:p>
            <w:pPr>
              <w:spacing w:after="120" w:line="408" w:lineRule="auto"/>
            </w:pPr>
            <w:r>
              <w:rPr>
                <w:rFonts w:ascii="Calibri" w:cs="Calibri" w:eastAsia="Calibri" w:hAnsi="Calibri"/>
                <w:b/>
                <w:bCs/>
                <w:i w:val="false"/>
                <w:iCs w:val="false"/>
                <w:strike w:val="false"/>
                <w:color w:val="000000"/>
                <w:sz w:val="22"/>
                <w:szCs w:val="22"/>
              </w:rPr>
              <w:t xml:space="preserve">13.</w:t>
            </w:r>
            <w:r>
              <w:rPr>
                <w:rFonts w:ascii="Calibri" w:cs="Calibri" w:eastAsia="Calibri" w:hAnsi="Calibri"/>
                <w:b w:val="false"/>
                <w:bCs w:val="false"/>
                <w:i w:val="false"/>
                <w:iCs w:val="false"/>
                <w:strike w:val="false"/>
                <w:color w:val="1A3A6B"/>
                <w:sz w:val="21"/>
                <w:szCs w:val="21"/>
              </w:rPr>
              <w:t xml:space="preserve"> Legal Disclaimer</w:t>
            </w:r>
          </w:p>
          <w:p>
            <w:pPr>
              <w:spacing w:after="120" w:line="408" w:lineRule="auto"/>
            </w:pPr>
            <w:r>
              <w:rPr>
                <w:rFonts w:ascii="Calibri" w:cs="Calibri" w:eastAsia="Calibri" w:hAnsi="Calibri"/>
                <w:b/>
                <w:bCs/>
                <w:i w:val="false"/>
                <w:iCs w:val="false"/>
                <w:strike w:val="false"/>
                <w:color w:val="000000"/>
                <w:sz w:val="22"/>
                <w:szCs w:val="22"/>
              </w:rPr>
              <w:t xml:space="preserve">14.</w:t>
            </w:r>
            <w:r>
              <w:rPr>
                <w:rFonts w:ascii="Calibri" w:cs="Calibri" w:eastAsia="Calibri" w:hAnsi="Calibri"/>
                <w:b w:val="false"/>
                <w:bCs w:val="false"/>
                <w:i w:val="false"/>
                <w:iCs w:val="false"/>
                <w:strike w:val="false"/>
                <w:color w:val="1A3A6B"/>
                <w:sz w:val="21"/>
                <w:szCs w:val="21"/>
              </w:rPr>
              <w:t xml:space="preserve"> Conclusion</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1. Executive Summary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Degen Ecosystem is a community-governed, participation-first blockchain economy designed to challenge the extractive and opaque norms that have long plagued community token projects. At its center is the </w:t>
      </w:r>
      <w:r>
        <w:rPr>
          <w:rFonts w:ascii="Consolas" w:cs="Consolas" w:eastAsia="Consolas" w:hAnsi="Consolas"/>
          <w:b/>
          <w:bCs/>
          <w:i w:val="false"/>
          <w:iCs w:val="false"/>
          <w:strike w:val="false"/>
          <w:color w:val="1A3A6B"/>
          <w:sz w:val="22"/>
          <w:szCs w:val="22"/>
          <w:shd w:fill="EAF0FB" w:color="auto" w:val="clear"/>
        </w:rPr>
        <w:t xml:space="preserve">$DD</w:t>
      </w:r>
      <w:r>
        <w:rPr>
          <w:rFonts w:ascii="Calibri" w:cs="Calibri" w:eastAsia="Calibri" w:hAnsi="Calibri"/>
          <w:b w:val="false"/>
          <w:bCs w:val="false"/>
          <w:i w:val="false"/>
          <w:iCs w:val="false"/>
          <w:strike w:val="false"/>
          <w:color w:val="000000"/>
          <w:sz w:val="22"/>
          <w:szCs w:val="22"/>
        </w:rPr>
        <w:t xml:space="preserve"> — the Degen Dollar — a dual-purpose utility and governance token engineered to reward genuine participation, elevate contributors, and vest real decision-making authority in the hands of its holders.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Where most community tokens distribute value passively to early holders and insiders, the Degen Ecosystem introduces a fundamentally different premise: </w:t>
      </w:r>
      <w:r>
        <w:rPr>
          <w:rFonts w:ascii="Calibri" w:cs="Calibri" w:eastAsia="Calibri" w:hAnsi="Calibri"/>
          <w:b/>
          <w:bCs/>
          <w:i w:val="false"/>
          <w:iCs w:val="false"/>
          <w:strike w:val="false"/>
          <w:color w:val="000000"/>
          <w:sz w:val="22"/>
          <w:szCs w:val="22"/>
        </w:rPr>
        <w:t xml:space="preserve">participation is the primary unit of value.</w:t>
      </w:r>
      <w:r>
        <w:rPr>
          <w:rFonts w:ascii="Calibri" w:cs="Calibri" w:eastAsia="Calibri" w:hAnsi="Calibri"/>
          <w:b w:val="false"/>
          <w:bCs w:val="false"/>
          <w:i w:val="false"/>
          <w:iCs w:val="false"/>
          <w:strike w:val="false"/>
          <w:color w:val="000000"/>
          <w:sz w:val="22"/>
          <w:szCs w:val="22"/>
        </w:rPr>
        <w:t xml:space="preserve"> Through a proprietary XP (Experience Point) system, every meaningful on-chain and verified off-chain action — voting, contributing, competing, holding, and referring — is scored, ranked, and rewarded. The community does not merely hold a token; it shapes the ecosystem through active engagement.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B" w:color="auto" w:val="clear"/>
            <w:tcMar>
              <w:top w:type="dxa" w:w="180"/>
              <w:left w:type="dxa" w:w="240"/>
              <w:bottom w:type="dxa" w:w="180"/>
              <w:right w:type="dxa" w:w="240"/>
            </w:tcMar>
          </w:tcPr>
          <w:p>
            <w:pPr>
              <w:spacing w:after="120" w:line="408" w:lineRule="auto"/>
            </w:pPr>
            <w:r>
              <w:rPr>
                <w:b/>
                <w:bCs/>
                <w:i w:val="false"/>
                <w:iCs w:val="false"/>
                <w:color w:val="1A3A6B"/>
              </w:rPr>
              <w:t xml:space="preserve">◆ Mission Statement</w:t>
            </w:r>
          </w:p>
          <w:p>
            <w:pPr>
              <w:spacing w:after="160" w:line="360" w:lineRule="auto"/>
            </w:pPr>
            <w:r>
              <w:rPr>
                <w:rFonts w:ascii="Calibri" w:cs="Calibri" w:eastAsia="Calibri" w:hAnsi="Calibri"/>
                <w:b w:val="false"/>
                <w:bCs w:val="false"/>
                <w:i w:val="false"/>
                <w:iCs w:val="false"/>
                <w:strike w:val="false"/>
                <w:color w:val="000000"/>
                <w:sz w:val="22"/>
                <w:szCs w:val="22"/>
              </w:rPr>
              <w:t xml:space="preserve">To build the most transparent, participatory, and sustainable community token ecosystem in Web3 — where every wallet has a voice, every contribution is valued, and power is earned rather than bought.</w:t>
            </w:r>
          </w:p>
        </w:tc>
      </w:tr>
    </w:tbl>
    <w:p>
      <w:pPr>
        <w:spacing w:after="240" w:before="0"/>
      </w:pPr>
    </w:p>
    <w:p>
      <w:pPr>
        <w:pStyle w:val="Heading2"/>
        <w:spacing w:after="120" w:before="360" w:line="312" w:lineRule="auto"/>
      </w:pPr>
      <w:r>
        <w:rPr>
          <w:rFonts w:ascii="Calibri" w:cs="Calibri" w:eastAsia="Calibri" w:hAnsi="Calibri"/>
          <w:color w:val="1A3A6B"/>
          <w:sz w:val="32"/>
          <w:szCs w:val="32"/>
        </w:rPr>
        <w:t xml:space="preserve">1.1 Key Differentiators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XP-Based Community Ranking:</w:t>
      </w:r>
      <w:r>
        <w:rPr>
          <w:rFonts w:ascii="Calibri" w:cs="Calibri" w:eastAsia="Calibri" w:hAnsi="Calibri"/>
          <w:b w:val="false"/>
          <w:bCs w:val="false"/>
          <w:i w:val="false"/>
          <w:iCs w:val="false"/>
          <w:strike w:val="false"/>
          <w:color w:val="000000"/>
          <w:sz w:val="22"/>
          <w:szCs w:val="22"/>
        </w:rPr>
        <w:t xml:space="preserve"> A non-transferable reputation layer assigns every participant a dynamic rank based on their ecosystem contributions, creating a meritocratic social graph on-chain.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Democratic, XP-Weighted Governance:</w:t>
      </w:r>
      <w:r>
        <w:rPr>
          <w:rFonts w:ascii="Calibri" w:cs="Calibri" w:eastAsia="Calibri" w:hAnsi="Calibri"/>
          <w:b w:val="false"/>
          <w:bCs w:val="false"/>
          <w:i w:val="false"/>
          <w:iCs w:val="false"/>
          <w:strike w:val="false"/>
          <w:color w:val="000000"/>
          <w:sz w:val="22"/>
          <w:szCs w:val="22"/>
        </w:rPr>
        <w:t xml:space="preserve"> All major protocol decisions are made through on-chain votes, with vote weight determined by a hybrid of token holdings and XP rank — preventing both plutocracy and pure token-vote capture.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Veto-Booster Mechanics:</w:t>
      </w:r>
      <w:r>
        <w:rPr>
          <w:rFonts w:ascii="Calibri" w:cs="Calibri" w:eastAsia="Calibri" w:hAnsi="Calibri"/>
          <w:b w:val="false"/>
          <w:bCs w:val="false"/>
          <w:i w:val="false"/>
          <w:iCs w:val="false"/>
          <w:strike w:val="false"/>
          <w:color w:val="000000"/>
          <w:sz w:val="22"/>
          <w:szCs w:val="22"/>
        </w:rPr>
        <w:t xml:space="preserve"> A unique safeguard allowing senior community members to challenge and return any governance proposal for revision, ensuring no single majority can push through changes against the community's deeper interest.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Charitable Giving by Design:</w:t>
      </w:r>
      <w:r>
        <w:rPr>
          <w:rFonts w:ascii="Calibri" w:cs="Calibri" w:eastAsia="Calibri" w:hAnsi="Calibri"/>
          <w:b w:val="false"/>
          <w:bCs w:val="false"/>
          <w:i w:val="false"/>
          <w:iCs w:val="false"/>
          <w:strike w:val="false"/>
          <w:color w:val="000000"/>
          <w:sz w:val="22"/>
          <w:szCs w:val="22"/>
        </w:rPr>
        <w:t xml:space="preserve"> Three percent of total token supply is permanently allocated to charitable causes, governed and distributed by community vote each quarter — making social impact a structural feature, not an afterthought.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Fixed Supply with Deflationary Pressure:</w:t>
      </w:r>
      <w:r>
        <w:rPr>
          <w:rFonts w:ascii="Calibri" w:cs="Calibri" w:eastAsia="Calibri" w:hAnsi="Calibri"/>
          <w:b w:val="false"/>
          <w:bCs w:val="false"/>
          <w:i w:val="false"/>
          <w:iCs w:val="false"/>
          <w:strike w:val="false"/>
          <w:color w:val="000000"/>
          <w:sz w:val="22"/>
          <w:szCs w:val="22"/>
        </w:rPr>
        <w:t xml:space="preserve"> A one-time genesis mint with no future inflation, supplemented by a transaction fee burn mechanism, ensures long-term supply discipline.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Degen Ecosystem is not a promise of returns. It is an invitation to build — a shared economic and social infrastructure where community members are the architects, the governors, and the primary beneficiaries.</w:t>
      </w: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2. Introduction &amp; Background</w:t>
      </w:r>
    </w:p>
    <w:p>
      <w:pPr>
        <w:pStyle w:val="Heading2"/>
        <w:spacing w:after="120" w:before="360" w:line="312" w:lineRule="auto"/>
      </w:pPr>
      <w:r>
        <w:rPr>
          <w:rFonts w:ascii="Calibri" w:cs="Calibri" w:eastAsia="Calibri" w:hAnsi="Calibri"/>
          <w:color w:val="1A3A6B"/>
          <w:sz w:val="32"/>
          <w:szCs w:val="32"/>
        </w:rPr>
        <w:t xml:space="preserve">2.1 The Problem with Current Community Token Models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community token space has produced thousands of projects — and the vast majority share a common set of structural failures. These failures are not accidental; they are the predictable outcomes of incentive models that prioritize early insiders over ongoing participants, price speculation over ecosystem utility, and opacity over accountability.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most critical failure patterns observed across the landscape include: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Passive holding culture:</w:t>
      </w:r>
      <w:r>
        <w:rPr>
          <w:rFonts w:ascii="Calibri" w:cs="Calibri" w:eastAsia="Calibri" w:hAnsi="Calibri"/>
          <w:b w:val="false"/>
          <w:bCs w:val="false"/>
          <w:i w:val="false"/>
          <w:iCs w:val="false"/>
          <w:strike w:val="false"/>
          <w:color w:val="000000"/>
          <w:sz w:val="22"/>
          <w:szCs w:val="22"/>
        </w:rPr>
        <w:t xml:space="preserve"> Most community tokens reward wallets simply for existing, with no mechanism to distinguish an engaged contributor from a dormant speculator. This creates perverse incentives that favor hoarding over participation.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Opaque governance:</w:t>
      </w:r>
      <w:r>
        <w:rPr>
          <w:rFonts w:ascii="Calibri" w:cs="Calibri" w:eastAsia="Calibri" w:hAnsi="Calibri"/>
          <w:b w:val="false"/>
          <w:bCs w:val="false"/>
          <w:i w:val="false"/>
          <w:iCs w:val="false"/>
          <w:strike w:val="false"/>
          <w:color w:val="000000"/>
          <w:sz w:val="22"/>
          <w:szCs w:val="22"/>
        </w:rPr>
        <w:t xml:space="preserve"> Many projects with governance frameworks see participation rates below 5% of token holders, with proposals routinely passed by a small cluster of whale wallets who hold disproportionate vote weight.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 accountability structures:</w:t>
      </w:r>
      <w:r>
        <w:rPr>
          <w:rFonts w:ascii="Calibri" w:cs="Calibri" w:eastAsia="Calibri" w:hAnsi="Calibri"/>
          <w:b w:val="false"/>
          <w:bCs w:val="false"/>
          <w:i w:val="false"/>
          <w:iCs w:val="false"/>
          <w:strike w:val="false"/>
          <w:color w:val="000000"/>
          <w:sz w:val="22"/>
          <w:szCs w:val="22"/>
        </w:rPr>
        <w:t xml:space="preserve"> Development and marketing allocations are frequently controlled by a small team with no public oversight, vesting schedules that are technically present but unenforceable in practice, and no community recourse when funds are misused.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Unsustainable tokenomics:</w:t>
      </w:r>
      <w:r>
        <w:rPr>
          <w:rFonts w:ascii="Calibri" w:cs="Calibri" w:eastAsia="Calibri" w:hAnsi="Calibri"/>
          <w:b w:val="false"/>
          <w:bCs w:val="false"/>
          <w:i w:val="false"/>
          <w:iCs w:val="false"/>
          <w:strike w:val="false"/>
          <w:color w:val="000000"/>
          <w:sz w:val="22"/>
          <w:szCs w:val="22"/>
        </w:rPr>
        <w:t xml:space="preserve"> Inflationary reward structures, poorly locked liquidity, and large team allocations with short vesting periods have been the primary vectors of value erosion in community projects.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Charity as marketing:</w:t>
      </w:r>
      <w:r>
        <w:rPr>
          <w:rFonts w:ascii="Calibri" w:cs="Calibri" w:eastAsia="Calibri" w:hAnsi="Calibri"/>
          <w:b w:val="false"/>
          <w:bCs w:val="false"/>
          <w:i w:val="false"/>
          <w:iCs w:val="false"/>
          <w:strike w:val="false"/>
          <w:color w:val="000000"/>
          <w:sz w:val="22"/>
          <w:szCs w:val="22"/>
        </w:rPr>
        <w:t xml:space="preserve"> Projects that nominally commit to charitable giving rarely establish structured, transparent mechanisms for distribution — rendering the commitment cosmetic.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40"/>
              <w:bottom w:type="dxa" w:w="180"/>
              <w:right w:type="dxa" w:w="240"/>
            </w:tcMar>
          </w:tcPr>
          <w:p>
            <w:pPr>
              <w:spacing w:after="120" w:line="408" w:lineRule="auto"/>
            </w:pPr>
            <w:r>
              <w:rPr>
                <w:b/>
                <w:bCs/>
                <w:i w:val="false"/>
                <w:iCs w:val="false"/>
                <w:color w:val="B36B00"/>
              </w:rPr>
              <w:t xml:space="preserve">⚠ The Engagement Gap</w:t>
            </w:r>
          </w:p>
          <w:p>
            <w:pPr>
              <w:spacing w:after="160" w:line="360" w:lineRule="auto"/>
            </w:pPr>
            <w:r>
              <w:rPr>
                <w:rFonts w:ascii="Calibri" w:cs="Calibri" w:eastAsia="Calibri" w:hAnsi="Calibri"/>
                <w:b w:val="false"/>
                <w:bCs w:val="false"/>
                <w:i w:val="false"/>
                <w:iCs w:val="false"/>
                <w:strike w:val="false"/>
                <w:color w:val="000000"/>
                <w:sz w:val="22"/>
                <w:szCs w:val="22"/>
              </w:rPr>
              <w:t xml:space="preserve">In the majority of community token projects launched since 2021, governance participation rates have remained below 8% of eligible holders, and fewer than 12% of wallets have engaged with any on-chain mechanic beyond buying and selling. The Degen Ecosystem is architected specifically to close this gap.</w:t>
            </w:r>
          </w:p>
        </w:tc>
      </w:tr>
    </w:tbl>
    <w:p>
      <w:pPr>
        <w:spacing w:after="240" w:before="0"/>
      </w:pPr>
    </w:p>
    <w:p>
      <w:pPr>
        <w:pStyle w:val="Heading2"/>
        <w:spacing w:after="120" w:before="360" w:line="312" w:lineRule="auto"/>
      </w:pPr>
      <w:r>
        <w:rPr>
          <w:rFonts w:ascii="Calibri" w:cs="Calibri" w:eastAsia="Calibri" w:hAnsi="Calibri"/>
          <w:color w:val="1A3A6B"/>
          <w:sz w:val="32"/>
          <w:szCs w:val="32"/>
        </w:rPr>
        <w:t xml:space="preserve">2.2 The Degen Ecosystem Solution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Degen Ecosystem addresses each of these failures through deliberate design. Rather than bolting governance and community features onto a standard token contract, the ecosystem treats participation as a first-class economic primitive. The XP system creates a quantified, persistent record of each wallet's contribution to the community. Governance weight is determined not purely by holdings, but by a combination of holdings and earned reputation. Vesting is enforceable at the contract level. Liquidity is locked from day one. Charitable distributions are governed publicly and reported transparently.</w:t>
      </w:r>
    </w:p>
    <w:p>
      <w:pPr>
        <w:pStyle w:val="Heading2"/>
        <w:spacing w:after="120" w:before="360" w:line="312" w:lineRule="auto"/>
      </w:pPr>
      <w:r>
        <w:rPr>
          <w:rFonts w:ascii="Calibri" w:cs="Calibri" w:eastAsia="Calibri" w:hAnsi="Calibri"/>
          <w:color w:val="1A3A6B"/>
          <w:sz w:val="32"/>
          <w:szCs w:val="32"/>
        </w:rPr>
        <w:t xml:space="preserve">2.3 Core Principles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Principle</w:t>
            </w:r>
          </w:p>
        </w:tc>
        <w:tc>
          <w:tcPr>
            <w:tcW w:type="pct" w:w="49%"/>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Definition</w:t>
            </w:r>
          </w:p>
        </w:tc>
        <w:tc>
          <w:tcPr>
            <w:tcW w:type="pct" w:w="37%"/>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Structural Implementation</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Transparency</w:t>
            </w:r>
          </w:p>
        </w:tc>
        <w:tc>
          <w:tcPr>
            <w:tcW w:type="pct" w:w="4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All significant economic and governance actions are verifiable on-chain or via public reporting</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On-chain leaderboard, public DAO treasury, quarterly charity reports</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Participation</w:t>
            </w:r>
          </w:p>
        </w:tc>
        <w:tc>
          <w:tcPr>
            <w:tcW w:type="pct" w:w="4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Value accrual is tied to active contribution, not passive holding</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XP system, epoch rewards, challenge &amp; contest mechanics</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Fairness</w:t>
            </w:r>
          </w:p>
        </w:tc>
        <w:tc>
          <w:tcPr>
            <w:tcW w:type="pct" w:w="4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No single wallet or group can unilaterally dominate governance or reward distribution</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XP vote caps, Veto-Booster safeguards, multi-sig DAO treasury</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Sustainability</w:t>
            </w:r>
          </w:p>
        </w:tc>
        <w:tc>
          <w:tcPr>
            <w:tcW w:type="pct" w:w="4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Token supply mechanics, vesting, and treasury management are designed for multi-year durability</w:t>
            </w:r>
          </w:p>
        </w:tc>
        <w:tc>
          <w:tcPr>
            <w:tcW w:type="pct" w:w="3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Fixed supply, fee burn, time-locked liquidity, diversified treasury</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3. The Degen Dollar Token ($DDLR)</w:t>
      </w:r>
    </w:p>
    <w:p>
      <w:pPr>
        <w:pStyle w:val="Heading2"/>
        <w:spacing w:after="120" w:before="360" w:line="312" w:lineRule="auto"/>
      </w:pPr>
      <w:r>
        <w:rPr>
          <w:rFonts w:ascii="Calibri" w:cs="Calibri" w:eastAsia="Calibri" w:hAnsi="Calibri"/>
          <w:color w:val="1A3A6B"/>
          <w:sz w:val="32"/>
          <w:szCs w:val="32"/>
        </w:rPr>
        <w:t xml:space="preserve">3.1 Token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Parameter</w:t>
            </w:r>
          </w:p>
        </w:tc>
        <w:tc>
          <w:tcPr>
            <w:tcW w:type="pct" w:w="74%"/>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Value</w:t>
            </w:r>
          </w:p>
        </w:tc>
      </w:tr>
      <w:tr>
        <w:trPr>
          <w:tblHeader w:val="false"/>
        </w:trPr>
        <w:tc>
          <w:tcPr>
            <w:tcW w:type="pct" w:w="26%"/>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Token Name</w:t>
            </w:r>
          </w:p>
        </w:tc>
        <w:tc>
          <w:tcPr>
            <w:tcW w:type="pct" w:w="7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Degen Dollar</w:t>
            </w:r>
          </w:p>
        </w:tc>
      </w:tr>
      <w:tr>
        <w:trPr>
          <w:tblHeader w:val="false"/>
        </w:trPr>
        <w:tc>
          <w:tcPr>
            <w:tcW w:type="pct" w:w="26%"/>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Ticker Symbol</w:t>
            </w:r>
          </w:p>
        </w:tc>
        <w:tc>
          <w:tcPr>
            <w:tcW w:type="pct" w:w="74%"/>
            <w:tcMar>
              <w:top w:type="dxa" w:w="105"/>
              <w:left w:type="dxa" w:w="150"/>
              <w:bottom w:type="dxa" w:w="105"/>
              <w:right w:type="dxa" w:w="150"/>
            </w:tcMar>
          </w:tcPr>
          <w:p>
            <w:r>
              <w:rPr>
                <w:rFonts w:ascii="Consolas" w:cs="Consolas" w:eastAsia="Consolas" w:hAnsi="Consolas"/>
                <w:b/>
                <w:bCs/>
                <w:i w:val="false"/>
                <w:iCs w:val="false"/>
                <w:strike w:val="false"/>
                <w:color w:val="1A3A6B"/>
                <w:sz w:val="22"/>
                <w:szCs w:val="22"/>
                <w:shd w:fill="EAF0FB" w:color="auto" w:val="clear"/>
              </w:rPr>
              <w:t xml:space="preserve">$DDLR</w:t>
            </w:r>
          </w:p>
        </w:tc>
      </w:tr>
      <w:tr>
        <w:trPr>
          <w:tblHeader w:val="false"/>
        </w:trPr>
        <w:tc>
          <w:tcPr>
            <w:tcW w:type="pct" w:w="26%"/>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Blockchain</w:t>
            </w:r>
          </w:p>
        </w:tc>
        <w:tc>
          <w:tcPr>
            <w:tcW w:type="pct" w:w="74%"/>
            <w:tcMar>
              <w:top w:type="dxa" w:w="105"/>
              <w:left w:type="dxa" w:w="150"/>
              <w:bottom w:type="dxa" w:w="105"/>
              <w:right w:type="dxa" w:w="150"/>
            </w:tcMar>
          </w:tcPr>
          <w:p>
            <w:r>
              <w:rPr>
                <w:rFonts w:ascii="Calibri" w:cs="Calibri" w:eastAsia="Calibri" w:hAnsi="Calibri"/>
                <w:b w:val="false"/>
                <w:bCs w:val="false"/>
                <w:i/>
                <w:iCs/>
                <w:strike w:val="false"/>
                <w:color w:val="888888"/>
                <w:sz w:val="22"/>
                <w:szCs w:val="22"/>
              </w:rPr>
              <w:t xml:space="preserve">[TBD — Chain-agnostic; to be specified prior to launch]</w:t>
            </w:r>
          </w:p>
        </w:tc>
      </w:tr>
      <w:tr>
        <w:trPr>
          <w:tblHeader w:val="false"/>
        </w:trPr>
        <w:tc>
          <w:tcPr>
            <w:tcW w:type="pct" w:w="26%"/>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Token Type</w:t>
            </w:r>
          </w:p>
        </w:tc>
        <w:tc>
          <w:tcPr>
            <w:tcW w:type="pct" w:w="7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Utility + Governance</w:t>
            </w:r>
          </w:p>
        </w:tc>
      </w:tr>
      <w:tr>
        <w:trPr>
          <w:tblHeader w:val="false"/>
        </w:trPr>
        <w:tc>
          <w:tcPr>
            <w:tcW w:type="pct" w:w="26%"/>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Total Supply</w:t>
            </w:r>
          </w:p>
        </w:tc>
        <w:tc>
          <w:tcPr>
            <w:tcW w:type="pct" w:w="74%"/>
            <w:tcMar>
              <w:top w:type="dxa" w:w="105"/>
              <w:left w:type="dxa" w:w="150"/>
              <w:bottom w:type="dxa" w:w="105"/>
              <w:right w:type="dxa" w:w="150"/>
            </w:tcMar>
          </w:tcPr>
          <w:p>
            <w:r>
              <w:rPr>
                <w:rFonts w:ascii="Calibri" w:cs="Calibri" w:eastAsia="Calibri" w:hAnsi="Calibri"/>
                <w:b w:val="false"/>
                <w:bCs w:val="false"/>
                <w:i/>
                <w:iCs/>
                <w:strike w:val="false"/>
                <w:color w:val="888888"/>
                <w:sz w:val="22"/>
                <w:szCs w:val="22"/>
              </w:rPr>
              <w:t xml:space="preserve">[To Be Defined — fixed maximum supply]</w:t>
            </w:r>
          </w:p>
        </w:tc>
      </w:tr>
      <w:tr>
        <w:trPr>
          <w:tblHeader w:val="false"/>
        </w:trPr>
        <w:tc>
          <w:tcPr>
            <w:tcW w:type="pct" w:w="26%"/>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Decimals</w:t>
            </w:r>
          </w:p>
        </w:tc>
        <w:tc>
          <w:tcPr>
            <w:tcW w:type="pct" w:w="7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18</w:t>
            </w:r>
          </w:p>
        </w:tc>
      </w:tr>
      <w:tr>
        <w:trPr>
          <w:tblHeader w:val="false"/>
        </w:trPr>
        <w:tc>
          <w:tcPr>
            <w:tcW w:type="pct" w:w="26%"/>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Contract Address</w:t>
            </w:r>
          </w:p>
        </w:tc>
        <w:tc>
          <w:tcPr>
            <w:tcW w:type="pct" w:w="74%"/>
            <w:tcMar>
              <w:top w:type="dxa" w:w="105"/>
              <w:left w:type="dxa" w:w="150"/>
              <w:bottom w:type="dxa" w:w="105"/>
              <w:right w:type="dxa" w:w="150"/>
            </w:tcMar>
          </w:tcPr>
          <w:p>
            <w:r>
              <w:rPr>
                <w:rFonts w:ascii="Calibri" w:cs="Calibri" w:eastAsia="Calibri" w:hAnsi="Calibri"/>
                <w:b w:val="false"/>
                <w:bCs w:val="false"/>
                <w:i/>
                <w:iCs/>
                <w:strike w:val="false"/>
                <w:color w:val="888888"/>
                <w:sz w:val="22"/>
                <w:szCs w:val="22"/>
              </w:rPr>
              <w:t xml:space="preserve">[To Be Finalized at Deployment]</w:t>
            </w:r>
          </w:p>
        </w:tc>
      </w:tr>
      <w:tr>
        <w:trPr>
          <w:tblHeader w:val="false"/>
        </w:trPr>
        <w:tc>
          <w:tcPr>
            <w:tcW w:type="pct" w:w="26%"/>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Minting Policy</w:t>
            </w:r>
          </w:p>
        </w:tc>
        <w:tc>
          <w:tcPr>
            <w:tcW w:type="pct" w:w="7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Fixed maximum supply; no inflationary minting after genesis</w:t>
            </w:r>
          </w:p>
        </w:tc>
      </w:tr>
      <w:tr>
        <w:trPr>
          <w:tblHeader w:val="false"/>
        </w:trPr>
        <w:tc>
          <w:tcPr>
            <w:tcW w:type="pct" w:w="26%"/>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Burn Mechanism</w:t>
            </w:r>
          </w:p>
        </w:tc>
        <w:tc>
          <w:tcPr>
            <w:tcW w:type="pct" w:w="7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 of all transaction fees permanently burned</w:t>
            </w:r>
          </w:p>
        </w:tc>
      </w:tr>
    </w:tbl>
    <w:p>
      <w:pPr>
        <w:spacing w:after="200" w:before="0"/>
      </w:pPr>
    </w:p>
    <w:p>
      <w:pPr>
        <w:pStyle w:val="Heading2"/>
        <w:spacing w:after="120" w:before="360" w:line="312" w:lineRule="auto"/>
      </w:pPr>
      <w:r>
        <w:rPr>
          <w:rFonts w:ascii="Calibri" w:cs="Calibri" w:eastAsia="Calibri" w:hAnsi="Calibri"/>
          <w:color w:val="1A3A6B"/>
          <w:sz w:val="32"/>
          <w:szCs w:val="32"/>
        </w:rPr>
        <w:t xml:space="preserve">3.2 Token Utility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Degen Dollar serves two distinct but complementary functions within the ecosystem: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Utility:</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is the medium of exchange for all ecosystem rewards, contest prizes, referral bonuses, leaderboard payouts, developer grants, and charity distributions. It is the native currency of the Degen community economy.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Governance:</w:t>
      </w:r>
      <w:r>
        <w:rPr>
          <w:rFonts w:ascii="Calibri" w:cs="Calibri" w:eastAsia="Calibri" w:hAnsi="Calibri"/>
          <w:b w:val="false"/>
          <w:bCs w:val="false"/>
          <w:i w:val="false"/>
          <w:iCs w:val="false"/>
          <w:strike w:val="false"/>
          <w:color w:val="000000"/>
          <w:sz w:val="22"/>
          <w:szCs w:val="22"/>
        </w:rPr>
        <w:t xml:space="preserve"> Token holdings, combined with XP rank, determine a wallet's weight in governance proposals. Holding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is required to participate in on-chain votes. This creates a meaningful link between economic stake and governance voice, while the XP multiplier ensures that active participants have greater influence than passive holders of equal token quantity.</w:t>
      </w:r>
    </w:p>
    <w:p>
      <w:pPr>
        <w:pStyle w:val="Heading2"/>
        <w:spacing w:after="120" w:before="360" w:line="312" w:lineRule="auto"/>
      </w:pPr>
      <w:r>
        <w:rPr>
          <w:rFonts w:ascii="Calibri" w:cs="Calibri" w:eastAsia="Calibri" w:hAnsi="Calibri"/>
          <w:color w:val="1A3A6B"/>
          <w:sz w:val="32"/>
          <w:szCs w:val="32"/>
        </w:rPr>
        <w:t xml:space="preserve">3.3 The Genesis Mint Event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entire total supply of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is minted exactly once, at launch, in a single event referred to as the </w:t>
      </w:r>
      <w:r>
        <w:rPr>
          <w:rFonts w:ascii="Calibri" w:cs="Calibri" w:eastAsia="Calibri" w:hAnsi="Calibri"/>
          <w:b/>
          <w:bCs/>
          <w:i w:val="false"/>
          <w:iCs w:val="false"/>
          <w:strike w:val="false"/>
          <w:color w:val="000000"/>
          <w:sz w:val="22"/>
          <w:szCs w:val="22"/>
        </w:rPr>
        <w:t xml:space="preserve">Genesis Mint</w:t>
      </w:r>
      <w:r>
        <w:rPr>
          <w:rFonts w:ascii="Calibri" w:cs="Calibri" w:eastAsia="Calibri" w:hAnsi="Calibri"/>
          <w:b w:val="false"/>
          <w:bCs w:val="false"/>
          <w:i w:val="false"/>
          <w:iCs w:val="false"/>
          <w:strike w:val="false"/>
          <w:color w:val="000000"/>
          <w:sz w:val="22"/>
          <w:szCs w:val="22"/>
        </w:rPr>
        <w:t xml:space="preserve">. There is no mechanism in the token contract that permits any additional minting after this event. This design ensures absolute supply certainty from day one and eliminates the risk of dilutive token issuance by any future team, governance body, or smart contract upgrade.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B" w:color="auto" w:val="clear"/>
            <w:tcMar>
              <w:top w:type="dxa" w:w="180"/>
              <w:left w:type="dxa" w:w="240"/>
              <w:bottom w:type="dxa" w:w="180"/>
              <w:right w:type="dxa" w:w="240"/>
            </w:tcMar>
          </w:tcPr>
          <w:p>
            <w:pPr>
              <w:spacing w:after="120" w:line="408" w:lineRule="auto"/>
            </w:pPr>
            <w:r>
              <w:rPr>
                <w:b/>
                <w:bCs/>
                <w:i w:val="false"/>
                <w:iCs w:val="false"/>
                <w:color w:val="1A3A6B"/>
              </w:rPr>
              <w:t xml:space="preserve">◆ Genesis Mint Rationale</w:t>
            </w:r>
          </w:p>
          <w:p>
            <w:pPr>
              <w:spacing w:after="160" w:line="360" w:lineRule="auto"/>
            </w:pPr>
            <w:r>
              <w:rPr>
                <w:rFonts w:ascii="Calibri" w:cs="Calibri" w:eastAsia="Calibri" w:hAnsi="Calibri"/>
                <w:b w:val="false"/>
                <w:bCs w:val="false"/>
                <w:i w:val="false"/>
                <w:iCs w:val="false"/>
                <w:strike w:val="false"/>
                <w:color w:val="000000"/>
                <w:sz w:val="22"/>
                <w:szCs w:val="22"/>
              </w:rPr>
              <w:t xml:space="preserve">A one-time genesis mint provides the strongest possible guarantee against supply-side inflation. Unlike projects that retain minting rights "for future incentives," the Degen Ecosystem pre-distributes all tokens via a transparent allocation table. Every future reward paid from the Community Rewards pool is a transfer of already-minted tokens — not the creation of new supply. This structure is verifiable by any participant at any time through the contract's read functions.</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At genesis, the full supply is distributed to five smart contract vaults corresponding to each allocation category. These vaults enforce all vesting schedules described in Section 5, and no allocation can be released outside the parameters defined at deployment.</w:t>
      </w: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4. Token Allocation &amp; Distribution</w:t>
      </w:r>
    </w:p>
    <w:p>
      <w:pPr>
        <w:pStyle w:val="Heading2"/>
        <w:spacing w:after="120" w:before="360" w:line="312" w:lineRule="auto"/>
      </w:pPr>
      <w:r>
        <w:rPr>
          <w:rFonts w:ascii="Calibri" w:cs="Calibri" w:eastAsia="Calibri" w:hAnsi="Calibri"/>
          <w:color w:val="1A3A6B"/>
          <w:sz w:val="32"/>
          <w:szCs w:val="32"/>
        </w:rPr>
        <w:t xml:space="preserve">4.1 Allocation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Allocation Category</w:t>
            </w:r>
          </w:p>
        </w:tc>
        <w:tc>
          <w:tcPr>
            <w:tcW w:type="pct" w:w="9%"/>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Percentage</w:t>
            </w:r>
          </w:p>
        </w:tc>
        <w:tc>
          <w:tcPr>
            <w:tcW w:type="pct" w:w="77%"/>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Purpose &amp; Description</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Liquidity Pool</w:t>
            </w:r>
          </w:p>
        </w:tc>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50%</w:t>
            </w:r>
          </w:p>
        </w:tc>
        <w:tc>
          <w:tcPr>
            <w:tcW w:type="pct" w:w="7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Locked into decentralized exchange liquidity pools to ensure price stability, deep trading markets, and reliable entry/exit for all participants from day one</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Community Rewards</w:t>
            </w:r>
          </w:p>
        </w:tc>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30%</w:t>
            </w:r>
          </w:p>
        </w:tc>
        <w:tc>
          <w:tcPr>
            <w:tcW w:type="pct" w:w="7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Distributed to active participants via XP rankings, leaderboard epoch rewards, contests, challenges, and referral programs</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Marketing</w:t>
            </w:r>
          </w:p>
        </w:tc>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10%</w:t>
            </w:r>
          </w:p>
        </w:tc>
        <w:tc>
          <w:tcPr>
            <w:tcW w:type="pct" w:w="7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Ecosystem awareness campaigns, strategic partnerships, influencer collaborations, exchange listing fees, and community growth initiatives</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Development</w:t>
            </w:r>
          </w:p>
        </w:tc>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7%</w:t>
            </w:r>
          </w:p>
        </w:tc>
        <w:tc>
          <w:tcPr>
            <w:tcW w:type="pct" w:w="7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Core team compensation, smart contract development, third-party security audits, infrastructure costs, and ecosystem developer grants</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Charity</w:t>
            </w:r>
          </w:p>
        </w:tc>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3%</w:t>
            </w:r>
          </w:p>
        </w:tc>
        <w:tc>
          <w:tcPr>
            <w:tcW w:type="pct" w:w="7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Distributed quarterly to vetted charitable organizations selected by community governance vote; focused on global causes including financial inclusion, education, disaster relief, and mental health</w:t>
            </w:r>
          </w:p>
        </w:tc>
      </w:tr>
      <w:tr>
        <w:trPr>
          <w:tblHeader w:val="false"/>
        </w:trPr>
        <w:tc>
          <w:tcPr>
            <w:tcW w:type="pct" w:w="14%"/>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TOTAL</w:t>
            </w:r>
          </w:p>
        </w:tc>
        <w:tc>
          <w:tcPr>
            <w:tcW w:type="pct" w:w="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100%</w:t>
            </w:r>
          </w:p>
        </w:tc>
        <w:tc>
          <w:tcPr>
            <w:tcW w:type="pct" w:w="77%"/>
            <w:tcMar>
              <w:top w:type="dxa" w:w="105"/>
              <w:left w:type="dxa" w:w="150"/>
              <w:bottom w:type="dxa" w:w="105"/>
              <w:right w:type="dxa" w:w="150"/>
            </w:tcMar>
          </w:tcPr>
          <w:p>
            <w:r>
              <w:rPr>
                <w:b w:val="false"/>
                <w:bCs w:val="false"/>
              </w:rPr>
              <w:t xml:space="preserve"/>
            </w:r>
          </w:p>
        </w:tc>
      </w:tr>
    </w:tbl>
    <w:p>
      <w:pPr>
        <w:spacing w:after="200" w:before="0"/>
      </w:pPr>
    </w:p>
    <w:p>
      <w:pPr>
        <w:pStyle w:val="Heading2"/>
        <w:spacing w:after="120" w:before="360" w:line="312" w:lineRule="auto"/>
      </w:pPr>
      <w:r>
        <w:rPr>
          <w:rFonts w:ascii="Calibri" w:cs="Calibri" w:eastAsia="Calibri" w:hAnsi="Calibri"/>
          <w:color w:val="1A3A6B"/>
          <w:sz w:val="32"/>
          <w:szCs w:val="32"/>
        </w:rPr>
        <w:t xml:space="preserve">4.2 Allocation Narrative</w:t>
      </w:r>
    </w:p>
    <w:p>
      <w:pPr>
        <w:pStyle w:val="Heading3"/>
        <w:spacing w:after="120" w:before="240" w:line="312" w:lineRule="auto"/>
      </w:pPr>
      <w:r>
        <w:rPr>
          <w:rFonts w:ascii="Calibri" w:cs="Calibri" w:eastAsia="Calibri" w:hAnsi="Calibri"/>
          <w:color w:val="1A3A6B"/>
          <w:sz w:val="26"/>
          <w:szCs w:val="26"/>
        </w:rPr>
        <w:t xml:space="preserve">Liquidity Pool — 50%</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decision to allocate fifty percent of total supply to liquidity is deliberate and structural. Deep liquidity from genesis reduces price volatility, lowers slippage for traders, and signals long-term commitment to the ecosystem's market health. Critically, this liquidity is not controlled by any single wallet or team member. At launch, the full liquidity allocation is deposited into the designated DEX pool and the resulting LP tokens are either burned or time-locked for a minimum of twelve months via an independently audited smart contract time-lock mechanism.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F7EE" w:color="auto" w:val="clear"/>
            <w:tcMar>
              <w:top w:type="dxa" w:w="180"/>
              <w:left w:type="dxa" w:w="240"/>
              <w:bottom w:type="dxa" w:w="180"/>
              <w:right w:type="dxa" w:w="240"/>
            </w:tcMar>
          </w:tcPr>
          <w:p>
            <w:pPr>
              <w:spacing w:after="120" w:line="408" w:lineRule="auto"/>
            </w:pPr>
            <w:r>
              <w:rPr>
                <w:b/>
                <w:bCs/>
                <w:i w:val="false"/>
                <w:iCs w:val="false"/>
                <w:color w:val="1A6B3A"/>
              </w:rPr>
              <w:t xml:space="preserve">✓ Liquidity Guarantee</w:t>
            </w:r>
          </w:p>
          <w:p>
            <w:pPr>
              <w:spacing w:after="160" w:line="360" w:lineRule="auto"/>
            </w:pPr>
            <w:r>
              <w:rPr>
                <w:rFonts w:ascii="Calibri" w:cs="Calibri" w:eastAsia="Calibri" w:hAnsi="Calibri"/>
                <w:b w:val="false"/>
                <w:bCs w:val="false"/>
                <w:i w:val="false"/>
                <w:iCs w:val="false"/>
                <w:strike w:val="false"/>
                <w:color w:val="000000"/>
                <w:sz w:val="22"/>
                <w:szCs w:val="22"/>
              </w:rPr>
              <w:t xml:space="preserve">No single wallet controls the liquidity. LP tokens are locked at the contract level for a minimum of 120 months from the date of genesis. This is verifiable on-chain by any participant. The Degen Ecosystem team has no unilateral ability to drain, remove, or redirect liquidity during this period.</w:t>
            </w:r>
          </w:p>
        </w:tc>
      </w:tr>
    </w:tbl>
    <w:p>
      <w:pPr>
        <w:spacing w:after="240" w:before="0"/>
      </w:pPr>
    </w:p>
    <w:p>
      <w:pPr>
        <w:pStyle w:val="Heading3"/>
        <w:spacing w:after="120" w:before="240" w:line="312" w:lineRule="auto"/>
      </w:pPr>
      <w:r>
        <w:rPr>
          <w:rFonts w:ascii="Calibri" w:cs="Calibri" w:eastAsia="Calibri" w:hAnsi="Calibri"/>
          <w:color w:val="1A3A6B"/>
          <w:sz w:val="26"/>
          <w:szCs w:val="26"/>
        </w:rPr>
        <w:t xml:space="preserve">Community Rewards — 30%</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community rewards pool is the engine of the ecosystem's participation economy. Tokens are released continuously through the XP reward engine rather than in large, disruptive batches. Payouts are triggered by on-chain events — epoch completions, challenge milestones, contest resolutions, and referral confirmations. The release rate is calibrated by governance to prevent sudden market oversupply while maintaining meaningful reward levels for active participants.</w:t>
      </w:r>
    </w:p>
    <w:p>
      <w:pPr>
        <w:pStyle w:val="Heading3"/>
        <w:spacing w:after="120" w:before="240" w:line="312" w:lineRule="auto"/>
      </w:pPr>
      <w:r>
        <w:rPr>
          <w:rFonts w:ascii="Calibri" w:cs="Calibri" w:eastAsia="Calibri" w:hAnsi="Calibri"/>
          <w:color w:val="1A3A6B"/>
          <w:sz w:val="26"/>
          <w:szCs w:val="26"/>
        </w:rPr>
        <w:t xml:space="preserve">Marketing — 10%</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marketing allocation funds growth and visibility. All marketing expenditures above a governance-defined threshold require DAO approval via the multi-sig treasury process. The allocation is subject to a vesting schedule with a six-month cliff to prevent immediate dump risk and ensure that marketing spend is tied to demonstrated ecosystem progress.</w:t>
      </w:r>
    </w:p>
    <w:p>
      <w:pPr>
        <w:pStyle w:val="Heading3"/>
        <w:spacing w:after="120" w:before="240" w:line="312" w:lineRule="auto"/>
      </w:pPr>
      <w:r>
        <w:rPr>
          <w:rFonts w:ascii="Calibri" w:cs="Calibri" w:eastAsia="Calibri" w:hAnsi="Calibri"/>
          <w:color w:val="1A3A6B"/>
          <w:sz w:val="26"/>
          <w:szCs w:val="26"/>
        </w:rPr>
        <w:t xml:space="preserve">Development — 7%</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development allocation covers all technical, infrastructure, and team costs. It is subject to the longest vesting schedule in the ecosystem — a twelve-month cliff followed by twenty-four months of linear vesting — aligning team incentives with long-term ecosystem success. A portion of this allocation is ring-fenced for the community developer grants program, enabling high-XP external contributors to fund ecosystem tools and integrations.</w:t>
      </w:r>
    </w:p>
    <w:p>
      <w:pPr>
        <w:pStyle w:val="Heading3"/>
        <w:spacing w:after="120" w:before="240" w:line="312" w:lineRule="auto"/>
      </w:pPr>
      <w:r>
        <w:rPr>
          <w:rFonts w:ascii="Calibri" w:cs="Calibri" w:eastAsia="Calibri" w:hAnsi="Calibri"/>
          <w:color w:val="1A3A6B"/>
          <w:sz w:val="26"/>
          <w:szCs w:val="26"/>
        </w:rPr>
        <w:t xml:space="preserve">Charity — 3%</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charity allocation represents the Degen Ecosystem's commitment to real-world impact. It is released in quarterly tranches, with each quarter's recipient selected by community governance vote. Eligible charities must meet verification standards defined by the community. All distributions are published on-chain and summarized in publicly available quarterly transparency reports.</w:t>
      </w: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5. Vesting Schedules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All non-liquidity allocations are subject to enforced vesting schedules. Vesting parameters are encoded into the respective smart contract vault at genesis and cannot be modified without a supermajority governance vote followed by a mandatory security audit. The following table summarizes the vesting terms for each allocation category:</w:t>
      </w:r>
    </w:p>
    <w:p>
      <w:pPr>
        <w:pStyle w:val="Heading2"/>
        <w:spacing w:after="120" w:before="360" w:line="312" w:lineRule="auto"/>
      </w:pPr>
      <w:r>
        <w:rPr>
          <w:rFonts w:ascii="Calibri" w:cs="Calibri" w:eastAsia="Calibri" w:hAnsi="Calibri"/>
          <w:color w:val="1A3A6B"/>
          <w:sz w:val="32"/>
          <w:szCs w:val="32"/>
        </w:rPr>
        <w:t xml:space="preserve">5.1 Vesting Summary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5%"/>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Category</w:t>
            </w:r>
          </w:p>
        </w:tc>
        <w:tc>
          <w:tcPr>
            <w:tcW w:type="pct" w:w="9%"/>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 of Supply</w:t>
            </w:r>
          </w:p>
        </w:tc>
        <w:tc>
          <w:tcPr>
            <w:tcW w:type="pct" w:w="12%"/>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Cliff Period</w:t>
            </w:r>
          </w:p>
        </w:tc>
        <w:tc>
          <w:tcPr>
            <w:tcW w:type="pct" w:w="20%"/>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Vesting Duration</w:t>
            </w:r>
          </w:p>
        </w:tc>
        <w:tc>
          <w:tcPr>
            <w:tcW w:type="pct" w:w="44%"/>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Release Mechanism</w:t>
            </w:r>
          </w:p>
        </w:tc>
      </w:tr>
      <w:tr>
        <w:trPr>
          <w:tblHeader w:val="false"/>
        </w:trPr>
        <w:tc>
          <w:tcPr>
            <w:tcW w:type="pct" w:w="15%"/>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Liquidity Pool</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50%</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N/A</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LP tokens locked ≥ 120 months</w:t>
            </w:r>
          </w:p>
        </w:tc>
        <w:tc>
          <w:tcPr>
            <w:tcW w:type="pct" w:w="4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LP tokens burned or time-locked at genesis; unlock subject to governance post-lock period</w:t>
            </w:r>
          </w:p>
        </w:tc>
      </w:tr>
      <w:tr>
        <w:trPr>
          <w:tblHeader w:val="false"/>
        </w:trPr>
        <w:tc>
          <w:tcPr>
            <w:tcW w:type="pct" w:w="15%"/>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Community Rewards</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30%</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None</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Continuous release; no end date</w:t>
            </w:r>
          </w:p>
        </w:tc>
        <w:tc>
          <w:tcPr>
            <w:tcW w:type="pct" w:w="4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Distributed via XP reward engine per epoch; rate set by governance</w:t>
            </w:r>
          </w:p>
        </w:tc>
      </w:tr>
      <w:tr>
        <w:trPr>
          <w:tblHeader w:val="false"/>
        </w:trPr>
        <w:tc>
          <w:tcPr>
            <w:tcW w:type="pct" w:w="15%"/>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Marketing</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10%</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6 months</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18 months linear</w:t>
            </w:r>
          </w:p>
        </w:tc>
        <w:tc>
          <w:tcPr>
            <w:tcW w:type="pct" w:w="4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Monthly linear release after cliff; held in DAO multi-sig treasury</w:t>
            </w:r>
          </w:p>
        </w:tc>
      </w:tr>
      <w:tr>
        <w:trPr>
          <w:tblHeader w:val="false"/>
        </w:trPr>
        <w:tc>
          <w:tcPr>
            <w:tcW w:type="pct" w:w="15%"/>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Development</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7%</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12 months</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24 months linear</w:t>
            </w:r>
          </w:p>
        </w:tc>
        <w:tc>
          <w:tcPr>
            <w:tcW w:type="pct" w:w="4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Monthly linear release after cliff; held in DAO multi-sig treasury</w:t>
            </w:r>
          </w:p>
        </w:tc>
      </w:tr>
      <w:tr>
        <w:trPr>
          <w:tblHeader w:val="false"/>
        </w:trPr>
        <w:tc>
          <w:tcPr>
            <w:tcW w:type="pct" w:w="15%"/>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Charity</w:t>
            </w:r>
          </w:p>
        </w:tc>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3%</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None</w:t>
            </w:r>
          </w:p>
        </w:tc>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Ongoing quarterly tranches</w:t>
            </w:r>
          </w:p>
        </w:tc>
        <w:tc>
          <w:tcPr>
            <w:tcW w:type="pct" w:w="4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Released each quarter upon passing of governance vote selecting recipient</w:t>
            </w:r>
          </w:p>
        </w:tc>
      </w:tr>
    </w:tbl>
    <w:p>
      <w:pPr>
        <w:spacing w:after="200" w:before="0"/>
      </w:pPr>
    </w:p>
    <w:p>
      <w:pPr>
        <w:pStyle w:val="Heading2"/>
        <w:spacing w:after="120" w:before="360" w:line="312" w:lineRule="auto"/>
      </w:pPr>
      <w:r>
        <w:rPr>
          <w:rFonts w:ascii="Calibri" w:cs="Calibri" w:eastAsia="Calibri" w:hAnsi="Calibri"/>
          <w:color w:val="1A3A6B"/>
          <w:sz w:val="32"/>
          <w:szCs w:val="32"/>
        </w:rPr>
        <w:t xml:space="preserve">5.2 Vesting Design Rationale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 cliff on community rewards</w:t>
      </w:r>
      <w:r>
        <w:rPr>
          <w:rFonts w:ascii="Calibri" w:cs="Calibri" w:eastAsia="Calibri" w:hAnsi="Calibri"/>
          <w:b w:val="false"/>
          <w:bCs w:val="false"/>
          <w:i w:val="false"/>
          <w:iCs w:val="false"/>
          <w:strike w:val="false"/>
          <w:color w:val="000000"/>
          <w:sz w:val="22"/>
          <w:szCs w:val="22"/>
        </w:rPr>
        <w:t xml:space="preserve"> ensures that participants can earn and receive tokens from the very first epoch, creating immediate incentive to engage at launch.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6-month marketing cliff</w:t>
      </w:r>
      <w:r>
        <w:rPr>
          <w:rFonts w:ascii="Calibri" w:cs="Calibri" w:eastAsia="Calibri" w:hAnsi="Calibri"/>
          <w:b w:val="false"/>
          <w:bCs w:val="false"/>
          <w:i w:val="false"/>
          <w:iCs w:val="false"/>
          <w:strike w:val="false"/>
          <w:color w:val="000000"/>
          <w:sz w:val="22"/>
          <w:szCs w:val="22"/>
        </w:rPr>
        <w:t xml:space="preserve"> ensures that the project has demonstrated real traction before any marketing wallet can unlock — preventing a scenario where marketing funds are distributed before a meaningful community exists.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12-month development cliff</w:t>
      </w:r>
      <w:r>
        <w:rPr>
          <w:rFonts w:ascii="Calibri" w:cs="Calibri" w:eastAsia="Calibri" w:hAnsi="Calibri"/>
          <w:b w:val="false"/>
          <w:bCs w:val="false"/>
          <w:i w:val="false"/>
          <w:iCs w:val="false"/>
          <w:strike w:val="false"/>
          <w:color w:val="000000"/>
          <w:sz w:val="22"/>
          <w:szCs w:val="22"/>
        </w:rPr>
        <w:t xml:space="preserve"> is the industry's strongest standard for team alignment. Core contributors are incentivized to build for at least a full year before any personal financial benefit accrues from the development allocation.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Quarterly charity releases</w:t>
      </w:r>
      <w:r>
        <w:rPr>
          <w:rFonts w:ascii="Calibri" w:cs="Calibri" w:eastAsia="Calibri" w:hAnsi="Calibri"/>
          <w:b w:val="false"/>
          <w:bCs w:val="false"/>
          <w:i w:val="false"/>
          <w:iCs w:val="false"/>
          <w:strike w:val="false"/>
          <w:color w:val="000000"/>
          <w:sz w:val="22"/>
          <w:szCs w:val="22"/>
        </w:rPr>
        <w:t xml:space="preserve"> tied to governance votes ensure that charity funds cannot be hoarded or redirected — each quarter's tranche must be actively approved and directed by the community.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rPr>
                <w:b/>
                <w:bCs/>
                <w:i w:val="false"/>
                <w:iCs w:val="false"/>
                <w:color w:val="555555"/>
              </w:rPr>
              <w:t xml:space="preserve">ⓘ Note on Reserve Redirects</w:t>
            </w:r>
          </w:p>
          <w:p>
            <w:pPr>
              <w:spacing w:after="160" w:line="360" w:lineRule="auto"/>
            </w:pPr>
            <w:r>
              <w:rPr>
                <w:rFonts w:ascii="Calibri" w:cs="Calibri" w:eastAsia="Calibri" w:hAnsi="Calibri"/>
                <w:b w:val="false"/>
                <w:bCs w:val="false"/>
                <w:i w:val="false"/>
                <w:iCs w:val="false"/>
                <w:strike w:val="false"/>
                <w:color w:val="000000"/>
                <w:sz w:val="22"/>
                <w:szCs w:val="22"/>
              </w:rPr>
              <w:t xml:space="preserve">In bear market conditions, governance may vote to redirect a portion of the marketing allocation to a strategic reserve fund. This redirect is capped at 30% of the remaining marketing allocation and requires a supermajority governance vote. It does not affect the development, community rewards, or charity allocations.</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6. XP System &amp; Community Ranking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Experience Point (XP) system is the Degen Ecosystem's most distinctive architectural feature. It transforms the community from a passive audience of token holders into an active, ranked, and rewarded contributor network. XP is the backbone of governance weighting, leaderboard competition, and rank-based privilege — and it must be earned, not purchased or transferred.</w:t>
      </w:r>
    </w:p>
    <w:p>
      <w:pPr>
        <w:pStyle w:val="Heading2"/>
        <w:spacing w:after="120" w:before="360" w:line="312" w:lineRule="auto"/>
      </w:pPr>
      <w:r>
        <w:rPr>
          <w:rFonts w:ascii="Calibri" w:cs="Calibri" w:eastAsia="Calibri" w:hAnsi="Calibri"/>
          <w:color w:val="1A3A6B"/>
          <w:sz w:val="32"/>
          <w:szCs w:val="32"/>
        </w:rPr>
        <w:t xml:space="preserve">6.1 What XP 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XP is a non-transferable reputation score assigned to each wallet address. It cannot be bought, sold, gifted, or delegated. It is accumulated exclusively through verifiable participation in the Degen Ecosystem. Depending on final chain selection, XP scores are either recorded directly on-chain as a mapping in the ecosystem contract or logged off-chain in a signed, publicly verifiable ledger updated at each epoch boundary. In either case, the XP record for every wallet is publicly readable at all times.</w:t>
      </w:r>
    </w:p>
    <w:p>
      <w:pPr>
        <w:pStyle w:val="Heading2"/>
        <w:spacing w:after="120" w:before="360" w:line="312" w:lineRule="auto"/>
      </w:pPr>
      <w:r>
        <w:rPr>
          <w:rFonts w:ascii="Calibri" w:cs="Calibri" w:eastAsia="Calibri" w:hAnsi="Calibri"/>
          <w:color w:val="1A3A6B"/>
          <w:sz w:val="32"/>
          <w:szCs w:val="32"/>
        </w:rPr>
        <w:t xml:space="preserve">6.2 How XP Is Earned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8%"/>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Activity</w:t>
            </w:r>
          </w:p>
        </w:tc>
        <w:tc>
          <w:tcPr>
            <w:tcW w:type="pct" w:w="19%"/>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XP Earned</w:t>
            </w:r>
          </w:p>
        </w:tc>
        <w:tc>
          <w:tcPr>
            <w:tcW w:type="pct" w:w="53%"/>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Notes</w:t>
            </w:r>
          </w:p>
        </w:tc>
      </w:tr>
      <w:tr>
        <w:trPr>
          <w:tblHeader w:val="false"/>
        </w:trPr>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Casting a valid governance vote</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50 XP per vote</w:t>
            </w:r>
          </w:p>
        </w:tc>
        <w:tc>
          <w:tcPr>
            <w:tcW w:type="pct" w:w="5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One vote per proposal; must meet minimum holding requirement</w:t>
            </w:r>
          </w:p>
        </w:tc>
      </w:tr>
      <w:tr>
        <w:trPr>
          <w:tblHeader w:val="false"/>
        </w:trPr>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Winning a community contest</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200–1,000 XP</w:t>
            </w:r>
          </w:p>
        </w:tc>
        <w:tc>
          <w:tcPr>
            <w:tcW w:type="pct" w:w="5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Scaled by contest category and judge/community vote margin</w:t>
            </w:r>
          </w:p>
        </w:tc>
      </w:tr>
      <w:tr>
        <w:trPr>
          <w:tblHeader w:val="false"/>
        </w:trPr>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Completing a challenge</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100–500 XP</w:t>
            </w:r>
          </w:p>
        </w:tc>
        <w:tc>
          <w:tcPr>
            <w:tcW w:type="pct" w:w="5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Scaled by challenge difficulty and duration</w:t>
            </w:r>
          </w:p>
        </w:tc>
      </w:tr>
      <w:tr>
        <w:trPr>
          <w:tblHeader w:val="false"/>
        </w:trPr>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Verified community contributions</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25–150 XP</w:t>
            </w:r>
          </w:p>
        </w:tc>
        <w:tc>
          <w:tcPr>
            <w:tcW w:type="pct" w:w="5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Discord, governance forums; validated by moderator-approved link system</w:t>
            </w:r>
          </w:p>
        </w:tc>
      </w:tr>
      <w:tr>
        <w:trPr>
          <w:tblHeader w:val="false"/>
        </w:trPr>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Verified new wallet referral</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75 XP per referral</w:t>
            </w:r>
          </w:p>
        </w:tc>
        <w:tc>
          <w:tcPr>
            <w:tcW w:type="pct" w:w="5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Referred wallet must complete at least one qualifying on-chain action</w:t>
            </w:r>
          </w:p>
        </w:tc>
      </w:tr>
      <w:tr>
        <w:trPr>
          <w:tblHeader w:val="false"/>
        </w:trPr>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Token holding milestone</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50–200 XP</w:t>
            </w:r>
          </w:p>
        </w:tc>
        <w:tc>
          <w:tcPr>
            <w:tcW w:type="pct" w:w="5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Awarded at defined holding duration checkpoints (30, 90, 180 days)</w:t>
            </w:r>
          </w:p>
        </w:tc>
      </w:tr>
      <w:tr>
        <w:trPr>
          <w:tblHeader w:val="false"/>
        </w:trPr>
        <w:tc>
          <w:tcPr>
            <w:tcW w:type="pct" w:w="2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Epoch leaderboard top placement</w:t>
            </w:r>
          </w:p>
        </w:tc>
        <w:tc>
          <w:tcPr>
            <w:tcW w:type="pct" w:w="1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Bonus XP applied</w:t>
            </w:r>
          </w:p>
        </w:tc>
        <w:tc>
          <w:tcPr>
            <w:tcW w:type="pct" w:w="5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Top performers receive additional XP multiplier at epoch close</w:t>
            </w:r>
          </w:p>
        </w:tc>
      </w:tr>
    </w:tbl>
    <w:p>
      <w:pPr>
        <w:spacing w:after="200" w:before="0"/>
      </w:pPr>
    </w:p>
    <w:p>
      <w:pPr>
        <w:pStyle w:val="Heading2"/>
        <w:spacing w:after="120" w:before="360" w:line="312" w:lineRule="auto"/>
      </w:pPr>
      <w:r>
        <w:rPr>
          <w:rFonts w:ascii="Calibri" w:cs="Calibri" w:eastAsia="Calibri" w:hAnsi="Calibri"/>
          <w:color w:val="1A3A6B"/>
          <w:sz w:val="32"/>
          <w:szCs w:val="32"/>
        </w:rPr>
        <w:t xml:space="preserve">6.3 XP Tiers and Ranks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Six tiers structure the Degen community's social hierarchy. Each tier carries a set of perks, governance multipliers, and reward bonuses that scale with commitment and contribution. Tier names reflect the culture of the community — earned with effort and worn with pride.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Rank</w:t>
            </w:r>
          </w:p>
        </w:tc>
        <w:tc>
          <w:tcPr>
            <w:tcW w:type="pct" w:w="13%"/>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Tier Name</w:t>
            </w:r>
          </w:p>
        </w:tc>
        <w:tc>
          <w:tcPr>
            <w:tcW w:type="pct" w:w="15%"/>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XP Threshold</w:t>
            </w:r>
          </w:p>
        </w:tc>
        <w:tc>
          <w:tcPr>
            <w:tcW w:type="pct" w:w="13%"/>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Governance Multiplier</w:t>
            </w:r>
          </w:p>
        </w:tc>
        <w:tc>
          <w:tcPr>
            <w:tcW w:type="pct" w:w="10%"/>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Epoch Reward Bonus</w:t>
            </w:r>
          </w:p>
        </w:tc>
        <w:tc>
          <w:tcPr>
            <w:tcW w:type="pct" w:w="41%"/>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Key Perks</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w:t>
            </w:r>
          </w:p>
        </w:tc>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Rookie</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0 – 499 XP</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1.0×</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None</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Access to community channels, basic voting rights</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2</w:t>
            </w:r>
          </w:p>
        </w:tc>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Hustler</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500 – 1,999 XP</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1.25×</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+5%</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Access to Hustler-only challenges, priority contest entry</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3</w:t>
            </w:r>
          </w:p>
        </w:tc>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Grinder</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2,000 – 7,499 XP</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1.5×</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+10%</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Governance proposal submission rights, Grinder challenge pool access</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4</w:t>
            </w:r>
          </w:p>
        </w:tc>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OG</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7,500 – 19,999 XP</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1.75×</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+20%</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Community council nomination eligibility, OG badge, enhanced referral bonuses</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5</w:t>
            </w:r>
          </w:p>
        </w:tc>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Whale</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20,000 – 49,999 XP</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2.0×</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+35%</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Veto-Booster eligibility, developer grant application access, Whale-tier leaderboard</w:t>
            </w:r>
          </w:p>
        </w:tc>
      </w:tr>
      <w:tr>
        <w:trPr>
          <w:tblHeader w:val="false"/>
        </w:trPr>
        <w:tc>
          <w:tcPr>
            <w:tcW w:type="pct" w:w="8%"/>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6</w:t>
            </w:r>
          </w:p>
        </w:tc>
        <w:tc>
          <w:tcPr>
            <w:tcW w:type="pct" w:w="13%"/>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Degen Legend</w:t>
            </w:r>
          </w:p>
        </w:tc>
        <w:tc>
          <w:tcPr>
            <w:tcW w:type="pct" w:w="1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50,000+ XP</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2.5× (capped)</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+50%</w:t>
            </w:r>
          </w:p>
        </w:tc>
        <w:tc>
          <w:tcPr>
            <w:tcW w:type="pct" w:w="4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Solo veto authority, community council seat eligibility, Legend NFT, maximum epoch bonus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40"/>
              <w:bottom w:type="dxa" w:w="180"/>
              <w:right w:type="dxa" w:w="240"/>
            </w:tcMar>
          </w:tcPr>
          <w:p>
            <w:pPr>
              <w:spacing w:after="120" w:line="408" w:lineRule="auto"/>
            </w:pPr>
            <w:r>
              <w:rPr>
                <w:b/>
                <w:bCs/>
                <w:i w:val="false"/>
                <w:iCs w:val="false"/>
                <w:color w:val="B36B00"/>
              </w:rPr>
              <w:t xml:space="preserve">⚠ Governance Multiplier Cap</w:t>
            </w:r>
          </w:p>
          <w:p>
            <w:pPr>
              <w:spacing w:after="160" w:line="360" w:lineRule="auto"/>
            </w:pPr>
            <w:r>
              <w:rPr>
                <w:rFonts w:ascii="Calibri" w:cs="Calibri" w:eastAsia="Calibri" w:hAnsi="Calibri"/>
                <w:b w:val="false"/>
                <w:bCs w:val="false"/>
                <w:i w:val="false"/>
                <w:iCs w:val="false"/>
                <w:strike w:val="false"/>
                <w:color w:val="000000"/>
                <w:sz w:val="22"/>
                <w:szCs w:val="22"/>
              </w:rPr>
              <w:t xml:space="preserve">To prevent governance capture by elite wallets, no single wallet's vote weight may exceed 2.5× the base weight, regardless of XP score. The multiplier cap applies universally — even Degen Legend wallets are subject to this ceiling. This ensures that very large XP scores cannot translate into unchecked governance dominance.</w:t>
            </w:r>
          </w:p>
        </w:tc>
      </w:tr>
    </w:tbl>
    <w:p>
      <w:pPr>
        <w:spacing w:after="240" w:before="0"/>
      </w:pPr>
    </w:p>
    <w:p>
      <w:pPr>
        <w:pStyle w:val="Heading2"/>
        <w:spacing w:after="120" w:before="360" w:line="312" w:lineRule="auto"/>
      </w:pPr>
      <w:r>
        <w:rPr>
          <w:rFonts w:ascii="Calibri" w:cs="Calibri" w:eastAsia="Calibri" w:hAnsi="Calibri"/>
          <w:color w:val="1A3A6B"/>
          <w:sz w:val="32"/>
          <w:szCs w:val="32"/>
        </w:rPr>
        <w:t xml:space="preserve">6.4 Promotion and Demotion Rules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Tier promotion is automatic and immediate upon crossing an XP threshold. When a wallet's cumulative XP reaches the minimum threshold for the next tier, its rank is updated at the next epoch boundary (within 7 days of the threshold being crossed). Promotion notifications are broadcast via the ecosystem's public dashboard.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Demotion occurs when a wallet's XP falls below the minimum retention threshold of its current tier due to XP decay. Demotion is also applied at epoch boundaries, not mid-epoch, to provide a grace period and avoid disruptive rank fluctuations. A demoted wallet may re-earn its former tier by accumulating XP above the threshold before the next epoch boundary.</w:t>
      </w:r>
    </w:p>
    <w:p>
      <w:pPr>
        <w:pStyle w:val="Heading2"/>
        <w:spacing w:after="120" w:before="360" w:line="312" w:lineRule="auto"/>
      </w:pPr>
      <w:r>
        <w:rPr>
          <w:rFonts w:ascii="Calibri" w:cs="Calibri" w:eastAsia="Calibri" w:hAnsi="Calibri"/>
          <w:color w:val="1A3A6B"/>
          <w:sz w:val="32"/>
          <w:szCs w:val="32"/>
        </w:rPr>
        <w:t xml:space="preserve">6.5 XP Decay Mechanism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40"/>
              <w:bottom w:type="dxa" w:w="180"/>
              <w:right w:type="dxa" w:w="240"/>
            </w:tcMar>
          </w:tcPr>
          <w:p>
            <w:pPr>
              <w:spacing w:after="120" w:line="408" w:lineRule="auto"/>
            </w:pPr>
            <w:r>
              <w:rPr>
                <w:b/>
                <w:bCs/>
                <w:i w:val="false"/>
                <w:iCs w:val="false"/>
                <w:color w:val="CC0000"/>
              </w:rPr>
              <w:t xml:space="preserve">⚠ XP Decay — Key Mechanic</w:t>
            </w:r>
          </w:p>
          <w:p>
            <w:pPr>
              <w:spacing w:after="160" w:line="360" w:lineRule="auto"/>
            </w:pPr>
            <w:r>
              <w:rPr>
                <w:rFonts w:ascii="Calibri" w:cs="Calibri" w:eastAsia="Calibri" w:hAnsi="Calibri"/>
                <w:b/>
                <w:bCs/>
                <w:i w:val="false"/>
                <w:iCs w:val="false"/>
                <w:strike w:val="false"/>
                <w:color w:val="000000"/>
                <w:sz w:val="22"/>
                <w:szCs w:val="22"/>
              </w:rPr>
              <w:t xml:space="preserve">Inactive wallets lose 5% of their current XP balance per 30-day period of inactivity.</w:t>
            </w:r>
            <w:r>
              <w:rPr>
                <w:rFonts w:ascii="Calibri" w:cs="Calibri" w:eastAsia="Calibri" w:hAnsi="Calibri"/>
                <w:b w:val="false"/>
                <w:bCs w:val="false"/>
                <w:i w:val="false"/>
                <w:iCs w:val="false"/>
                <w:strike w:val="false"/>
                <w:color w:val="000000"/>
                <w:sz w:val="22"/>
                <w:szCs w:val="22"/>
              </w:rPr>
              <w:t xml:space="preserve"> Inactivity is defined as any 30-day window in which a wallet records no qualifying on-chain transactions, governance votes, challenge completions, or verified off-chain contributions. XP decay does not apply to wallets at the Rookie tier (floor of 0 XP). Decay is calculated and applied at each epoch boundary. A wallet that re-engages within a 30-day inactivity window before the epoch closes will not incur decay for that period.</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XP decay serves a deliberate purpose: it ensures that high-rank positions reflect sustained engagement, not historical accumulation. A wallet that earned Degen Legend status two years ago and has since been inactive will gradually return toward lower tiers, allowing consistently active contributors to rise through the ranks. This creates a continuously renewing leaderboard and prevents rank stratification from calcifying the community's governance structure.</w:t>
      </w:r>
    </w:p>
    <w:p>
      <w:pPr>
        <w:pStyle w:val="Heading2"/>
        <w:spacing w:after="120" w:before="360" w:line="312" w:lineRule="auto"/>
      </w:pPr>
      <w:r>
        <w:rPr>
          <w:rFonts w:ascii="Calibri" w:cs="Calibri" w:eastAsia="Calibri" w:hAnsi="Calibri"/>
          <w:color w:val="1A3A6B"/>
          <w:sz w:val="32"/>
          <w:szCs w:val="32"/>
        </w:rPr>
        <w:t xml:space="preserve">6.6 Public Leaderboard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public on-chain leaderboard displays the top 100 wallets by current XP rank, updated at each epoch boundary (every 30 days). The leaderboard is readable by any address or off-chain observer via the ecosystem's public dashboard. Top 100 leaderboard wallets receive bonus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distributions from the Community Rewards pool at the close of each epoch, as detailed in Section 7.</w:t>
      </w: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7. Leaderboard Rules &amp; Epoch Rewards</w:t>
      </w:r>
    </w:p>
    <w:p>
      <w:pPr>
        <w:pStyle w:val="Heading2"/>
        <w:spacing w:after="120" w:before="360" w:line="312" w:lineRule="auto"/>
      </w:pPr>
      <w:r>
        <w:rPr>
          <w:rFonts w:ascii="Calibri" w:cs="Calibri" w:eastAsia="Calibri" w:hAnsi="Calibri"/>
          <w:color w:val="1A3A6B"/>
          <w:sz w:val="32"/>
          <w:szCs w:val="32"/>
        </w:rPr>
        <w:t xml:space="preserve">7.1 Epoch Definition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 epoch is a 30-day rolling period. Epochs begin at genesis and run continuously without interruption. Each epoch has a defined start block and end block (or timestamp, depending on the deployed chain). All XP accumulation, decay calculations, rank updates, and leaderboard reward distributions are processed at the close of each epoch.</w:t>
      </w:r>
    </w:p>
    <w:p>
      <w:pPr>
        <w:pStyle w:val="Heading2"/>
        <w:spacing w:after="120" w:before="360" w:line="312" w:lineRule="auto"/>
      </w:pPr>
      <w:r>
        <w:rPr>
          <w:rFonts w:ascii="Calibri" w:cs="Calibri" w:eastAsia="Calibri" w:hAnsi="Calibri"/>
          <w:color w:val="1A3A6B"/>
          <w:sz w:val="32"/>
          <w:szCs w:val="32"/>
        </w:rPr>
        <w:t xml:space="preserve">7.2 Epoch Reward Distribution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At the close of each epoch, a defined percentage of the Community Rewards pool is distributed to the top leaderboard performers. The reward pool per epoch is set by governance and may be adjusted up or down (within defined bounds) to reflect ecosystem growth and pool sustainability. The default distribution table is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Leaderboard Rank</w:t>
            </w:r>
          </w:p>
        </w:tc>
        <w:tc>
          <w:tcPr>
            <w:tcW w:type="pct" w:w="30%"/>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Share of Epoch Reward Pool</w:t>
            </w:r>
          </w:p>
        </w:tc>
        <w:tc>
          <w:tcPr>
            <w:tcW w:type="pct" w:w="51%"/>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Notes</w:t>
            </w:r>
          </w:p>
        </w:tc>
      </w:tr>
      <w:tr>
        <w:trPr>
          <w:tblHeader w:val="false"/>
        </w:trPr>
        <w:tc>
          <w:tcPr>
            <w:tcW w:type="pct" w:w="1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Rank #1</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15%</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Highest individual share; requires minimum activity threshold</w:t>
            </w:r>
          </w:p>
        </w:tc>
      </w:tr>
      <w:tr>
        <w:trPr>
          <w:tblHeader w:val="false"/>
        </w:trPr>
        <w:tc>
          <w:tcPr>
            <w:tcW w:type="pct" w:w="1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Ranks #2 – #5</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25% (split equally: 6.25% each)</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Must have at least 3 qualifying activities in the epoch</w:t>
            </w:r>
          </w:p>
        </w:tc>
      </w:tr>
      <w:tr>
        <w:trPr>
          <w:tblHeader w:val="false"/>
        </w:trPr>
        <w:tc>
          <w:tcPr>
            <w:tcW w:type="pct" w:w="1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Ranks #6 – #20</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30% (split equally: 2% each)</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Must have at least 2 qualifying activities in the epoch</w:t>
            </w:r>
          </w:p>
        </w:tc>
      </w:tr>
      <w:tr>
        <w:trPr>
          <w:tblHeader w:val="false"/>
        </w:trPr>
        <w:tc>
          <w:tcPr>
            <w:tcW w:type="pct" w:w="1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Ranks #21 – #50</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20% (split equally: ~0.67% each)</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Must have at least 1 qualifying activity in the epoch</w:t>
            </w:r>
          </w:p>
        </w:tc>
      </w:tr>
      <w:tr>
        <w:trPr>
          <w:tblHeader w:val="false"/>
        </w:trPr>
        <w:tc>
          <w:tcPr>
            <w:tcW w:type="pct" w:w="1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Ranks #51 – #100</w:t>
            </w:r>
          </w:p>
        </w:tc>
        <w:tc>
          <w:tcPr>
            <w:tcW w:type="pct" w:w="3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10% (split equally: 0.2% each)</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Must meet minimum wallet age requirement</w:t>
            </w:r>
          </w:p>
        </w:tc>
      </w:tr>
    </w:tbl>
    <w:p>
      <w:pPr>
        <w:spacing w:after="200" w:before="0"/>
      </w:pPr>
    </w:p>
    <w:p>
      <w:pPr>
        <w:pStyle w:val="Heading2"/>
        <w:spacing w:after="120" w:before="360" w:line="312" w:lineRule="auto"/>
      </w:pPr>
      <w:r>
        <w:rPr>
          <w:rFonts w:ascii="Calibri" w:cs="Calibri" w:eastAsia="Calibri" w:hAnsi="Calibri"/>
          <w:color w:val="1A3A6B"/>
          <w:sz w:val="32"/>
          <w:szCs w:val="32"/>
        </w:rPr>
        <w:t xml:space="preserve">7.3 Hybrid Scoring Model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Degen Ecosystem employs a </w:t>
      </w:r>
      <w:r>
        <w:rPr>
          <w:rFonts w:ascii="Calibri" w:cs="Calibri" w:eastAsia="Calibri" w:hAnsi="Calibri"/>
          <w:b/>
          <w:bCs/>
          <w:i w:val="false"/>
          <w:iCs w:val="false"/>
          <w:strike w:val="false"/>
          <w:color w:val="000000"/>
          <w:sz w:val="22"/>
          <w:szCs w:val="22"/>
        </w:rPr>
        <w:t xml:space="preserve">hybrid scoring approach</w:t>
      </w:r>
      <w:r>
        <w:rPr>
          <w:rFonts w:ascii="Calibri" w:cs="Calibri" w:eastAsia="Calibri" w:hAnsi="Calibri"/>
          <w:b w:val="false"/>
          <w:bCs w:val="false"/>
          <w:i w:val="false"/>
          <w:iCs w:val="false"/>
          <w:strike w:val="false"/>
          <w:color w:val="000000"/>
          <w:sz w:val="22"/>
          <w:szCs w:val="22"/>
        </w:rPr>
        <w:t xml:space="preserve"> that separates cumulative reputation from epoch-specific performance: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Cumulative XP</w:t>
      </w:r>
      <w:r>
        <w:rPr>
          <w:rFonts w:ascii="Calibri" w:cs="Calibri" w:eastAsia="Calibri" w:hAnsi="Calibri"/>
          <w:b w:val="false"/>
          <w:bCs w:val="false"/>
          <w:i w:val="false"/>
          <w:iCs w:val="false"/>
          <w:strike w:val="false"/>
          <w:color w:val="000000"/>
          <w:sz w:val="22"/>
          <w:szCs w:val="22"/>
        </w:rPr>
        <w:t xml:space="preserve"> determines a wallet's permanent tier rank and governance weight. It accumulates across all epochs and is subject to decay rules. This is the long-term social credit layer of the ecosystem.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Epoch-Specific Activity Score</w:t>
      </w:r>
      <w:r>
        <w:rPr>
          <w:rFonts w:ascii="Calibri" w:cs="Calibri" w:eastAsia="Calibri" w:hAnsi="Calibri"/>
          <w:b w:val="false"/>
          <w:bCs w:val="false"/>
          <w:i w:val="false"/>
          <w:iCs w:val="false"/>
          <w:strike w:val="false"/>
          <w:color w:val="000000"/>
          <w:sz w:val="22"/>
          <w:szCs w:val="22"/>
        </w:rPr>
        <w:t xml:space="preserve"> determines leaderboard position within a given epoch. A wallet with high cumulative XP but low activity in a specific epoch will rank lower on that epoch's leaderboard than a lower-tier wallet that was highly active in that same period.</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hybrid model ensures that the leaderboard is competitive each epoch — any participant can reach the top with sufficient activity — while cumulative XP continues to reflect long-term commitment and govern protocol-level privileges.</w:t>
      </w:r>
    </w:p>
    <w:p>
      <w:pPr>
        <w:pStyle w:val="Heading2"/>
        <w:spacing w:after="120" w:before="360" w:line="312" w:lineRule="auto"/>
      </w:pPr>
      <w:r>
        <w:rPr>
          <w:rFonts w:ascii="Calibri" w:cs="Calibri" w:eastAsia="Calibri" w:hAnsi="Calibri"/>
          <w:color w:val="1A3A6B"/>
          <w:sz w:val="32"/>
          <w:szCs w:val="32"/>
        </w:rPr>
        <w:t xml:space="preserve">7.4 Anti-Gaming and Sybil Resistance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40"/>
              <w:bottom w:type="dxa" w:w="180"/>
              <w:right w:type="dxa" w:w="240"/>
            </w:tcMar>
          </w:tcPr>
          <w:p>
            <w:pPr>
              <w:spacing w:after="120" w:line="408" w:lineRule="auto"/>
            </w:pPr>
            <w:r>
              <w:rPr>
                <w:b/>
                <w:bCs/>
                <w:i w:val="false"/>
                <w:iCs w:val="false"/>
                <w:color w:val="CC0000"/>
              </w:rPr>
              <w:t xml:space="preserve">⚠ Anti-Gaming Rules</w:t>
            </w:r>
          </w:p>
          <w:p>
            <w:pPr>
              <w:spacing w:after="160" w:line="360" w:lineRule="auto"/>
            </w:pPr>
            <w:r>
              <w:rPr>
                <w:rFonts w:ascii="Calibri" w:cs="Calibri" w:eastAsia="Calibri" w:hAnsi="Calibri"/>
                <w:b w:val="false"/>
                <w:bCs w:val="false"/>
                <w:i w:val="false"/>
                <w:iCs w:val="false"/>
                <w:strike w:val="false"/>
                <w:color w:val="000000"/>
                <w:sz w:val="22"/>
                <w:szCs w:val="22"/>
              </w:rPr>
              <w:t xml:space="preserve">The following measures are active from genesis to protect the integrity of the XP system and epoch rewards:</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Wallet Age Requirement:</w:t>
      </w:r>
      <w:r>
        <w:rPr>
          <w:rFonts w:ascii="Calibri" w:cs="Calibri" w:eastAsia="Calibri" w:hAnsi="Calibri"/>
          <w:b w:val="false"/>
          <w:bCs w:val="false"/>
          <w:i w:val="false"/>
          <w:iCs w:val="false"/>
          <w:strike w:val="false"/>
          <w:color w:val="000000"/>
          <w:sz w:val="22"/>
          <w:szCs w:val="22"/>
        </w:rPr>
        <w:t xml:space="preserve"> Wallets must be at least 14 days old at the start of an epoch to qualify for leaderboard rewards in that epoch. New wallets created mid-epoch cannot immediately game leaderboard reward distributions.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Minimum Activity Thresholds:</w:t>
      </w:r>
      <w:r>
        <w:rPr>
          <w:rFonts w:ascii="Calibri" w:cs="Calibri" w:eastAsia="Calibri" w:hAnsi="Calibri"/>
          <w:b w:val="false"/>
          <w:bCs w:val="false"/>
          <w:i w:val="false"/>
          <w:iCs w:val="false"/>
          <w:strike w:val="false"/>
          <w:color w:val="000000"/>
          <w:sz w:val="22"/>
          <w:szCs w:val="22"/>
        </w:rPr>
        <w:t xml:space="preserve"> Leaderboard rank alone is insufficient for reward eligibility. Wallets must meet minimum qualifying activity counts (as shown in the table above) to receive a payout, regardless of their XP rank.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Sybil Resistance:</w:t>
      </w:r>
      <w:r>
        <w:rPr>
          <w:rFonts w:ascii="Calibri" w:cs="Calibri" w:eastAsia="Calibri" w:hAnsi="Calibri"/>
          <w:b w:val="false"/>
          <w:bCs w:val="false"/>
          <w:i w:val="false"/>
          <w:iCs w:val="false"/>
          <w:strike w:val="false"/>
          <w:color w:val="000000"/>
          <w:sz w:val="22"/>
          <w:szCs w:val="22"/>
        </w:rPr>
        <w:t xml:space="preserve"> On-chain heuristics detect clusters of wallets exhibiting coordinated behavior — identical transaction patterns, same-block activity, or referral chains that do not result in independent on-chain action. Flagged wallets are quarantined from epoch rewards pending governance review. Confirmed Sybil addresses have XP zeroed and are locked from reward eligibility for three epochs.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Referral Chain Limits:</w:t>
      </w:r>
      <w:r>
        <w:rPr>
          <w:rFonts w:ascii="Calibri" w:cs="Calibri" w:eastAsia="Calibri" w:hAnsi="Calibri"/>
          <w:b w:val="false"/>
          <w:bCs w:val="false"/>
          <w:i w:val="false"/>
          <w:iCs w:val="false"/>
          <w:strike w:val="false"/>
          <w:color w:val="000000"/>
          <w:sz w:val="22"/>
          <w:szCs w:val="22"/>
        </w:rPr>
        <w:t xml:space="preserve"> No single wallet may receive referral XP from more than 20 unique referrals per epoch, preventing large-scale referral farming operations.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Vote Diversity Requirement:</w:t>
      </w:r>
      <w:r>
        <w:rPr>
          <w:rFonts w:ascii="Calibri" w:cs="Calibri" w:eastAsia="Calibri" w:hAnsi="Calibri"/>
          <w:b w:val="false"/>
          <w:bCs w:val="false"/>
          <w:i w:val="false"/>
          <w:iCs w:val="false"/>
          <w:strike w:val="false"/>
          <w:color w:val="000000"/>
          <w:sz w:val="22"/>
          <w:szCs w:val="22"/>
        </w:rPr>
        <w:t xml:space="preserve"> XP earned through governance votes requires that the wallet has voted on at least two distinct proposal types in the epoch. Repeated voting on identical-category proposals counts as a single qualifying vote for XP purposes.</w:t>
      </w: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8. Community Participation Mechanics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Beyond the XP system's passive accumulation mechanics, the Degen Ecosystem provides four structured participation channels: Contests, Challenges, the Referral Program, and verified Community Contributions. Each channel is designed to serve a distinct type of participant — from creative community members to technically active developers to social connectors — ensuring that the ecosystem rewards a wide spectrum of contribution types.</w:t>
      </w:r>
    </w:p>
    <w:p>
      <w:pPr>
        <w:pStyle w:val="Heading2"/>
        <w:spacing w:after="120" w:before="360" w:line="312" w:lineRule="auto"/>
      </w:pPr>
      <w:r>
        <w:rPr>
          <w:rFonts w:ascii="Calibri" w:cs="Calibri" w:eastAsia="Calibri" w:hAnsi="Calibri"/>
          <w:color w:val="1A3A6B"/>
          <w:sz w:val="32"/>
          <w:szCs w:val="32"/>
        </w:rPr>
        <w:t xml:space="preserve">8.1 Contests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Community-run contests are time-limited competitive events with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prizes drawn from the Community Rewards pool. Contests may be creative (meme design, community art, written content), analytical (trading strategy breakdowns, research reports), or technical (ecosystem tool development, smart contract optimization proposals).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Proposal and Approval:</w:t>
      </w:r>
      <w:r>
        <w:rPr>
          <w:rFonts w:ascii="Calibri" w:cs="Calibri" w:eastAsia="Calibri" w:hAnsi="Calibri"/>
          <w:b w:val="false"/>
          <w:bCs w:val="false"/>
          <w:i w:val="false"/>
          <w:iCs w:val="false"/>
          <w:strike w:val="false"/>
          <w:color w:val="000000"/>
          <w:sz w:val="22"/>
          <w:szCs w:val="22"/>
        </w:rPr>
        <w:t xml:space="preserve"> Any Grinder-tier or higher wallet may submit a contest proposal to governance for approval. Approved contests are scheduled and publicized via the community dashboard.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Judging:</w:t>
      </w:r>
      <w:r>
        <w:rPr>
          <w:rFonts w:ascii="Calibri" w:cs="Calibri" w:eastAsia="Calibri" w:hAnsi="Calibri"/>
          <w:b w:val="false"/>
          <w:bCs w:val="false"/>
          <w:i w:val="false"/>
          <w:iCs w:val="false"/>
          <w:strike w:val="false"/>
          <w:color w:val="000000"/>
          <w:sz w:val="22"/>
          <w:szCs w:val="22"/>
        </w:rPr>
        <w:t xml:space="preserve"> Contests are judged either by community-wide vote (open to all wallets meeting minimum XP thresholds) or by an XP-weighted panel of OG-tier and above wallets, depending on the contest type as specified in the proposal.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Prize Distribution:</w:t>
      </w:r>
      <w:r>
        <w:rPr>
          <w:rFonts w:ascii="Calibri" w:cs="Calibri" w:eastAsia="Calibri" w:hAnsi="Calibri"/>
          <w:b w:val="false"/>
          <w:bCs w:val="false"/>
          <w:i w:val="false"/>
          <w:iCs w:val="false"/>
          <w:strike w:val="false"/>
          <w:color w:val="000000"/>
          <w:sz w:val="22"/>
          <w:szCs w:val="22"/>
        </w:rPr>
        <w:t xml:space="preserve"> Contest prizes are distributed automatically via smart contract upon final vote confirmation. Prize pools range from 0.01% to 0.5% of the epoch's Community Rewards budget, capped by governance.</w:t>
      </w:r>
    </w:p>
    <w:p>
      <w:pPr>
        <w:pStyle w:val="Heading2"/>
        <w:spacing w:after="120" w:before="360" w:line="312" w:lineRule="auto"/>
      </w:pPr>
      <w:r>
        <w:rPr>
          <w:rFonts w:ascii="Calibri" w:cs="Calibri" w:eastAsia="Calibri" w:hAnsi="Calibri"/>
          <w:color w:val="1A3A6B"/>
          <w:sz w:val="32"/>
          <w:szCs w:val="32"/>
        </w:rPr>
        <w:t xml:space="preserve">8.2 Challenges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Challenges are time-limited, on-chain tasks designed to test and reward specific ecosystem behaviors. Unlike contests, challenges have objective completion criteria that can be verified automatically on-chain or through the verified contribution system.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Example challenge types include: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Hold a defined quantity of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for a continuous 30-day period without reducing the balance below the threshold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Complete five governance votes within a single epoch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Achieve a verified referral of three new wallets that each complete a qualifying on-chain action within 30 days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Contribute to three distinct community discussion threads verified by moderators within one epoch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B" w:color="auto" w:val="clear"/>
            <w:tcMar>
              <w:top w:type="dxa" w:w="180"/>
              <w:left w:type="dxa" w:w="240"/>
              <w:bottom w:type="dxa" w:w="180"/>
              <w:right w:type="dxa" w:w="240"/>
            </w:tcMar>
          </w:tcPr>
          <w:p>
            <w:pPr>
              <w:spacing w:after="120" w:line="408" w:lineRule="auto"/>
            </w:pPr>
            <w:r>
              <w:rPr>
                <w:b/>
                <w:bCs/>
                <w:i w:val="false"/>
                <w:iCs w:val="false"/>
                <w:color w:val="1A3A6B"/>
              </w:rPr>
              <w:t xml:space="preserve">◆ Challenge Rewards</w:t>
            </w:r>
          </w:p>
          <w:p>
            <w:pPr>
              <w:spacing w:after="160" w:line="360" w:lineRule="auto"/>
            </w:pPr>
            <w:r>
              <w:rPr>
                <w:rFonts w:ascii="Calibri" w:cs="Calibri" w:eastAsia="Calibri" w:hAnsi="Calibri"/>
                <w:b w:val="false"/>
                <w:bCs w:val="false"/>
                <w:i w:val="false"/>
                <w:iCs w:val="false"/>
                <w:strike w:val="false"/>
                <w:color w:val="000000"/>
                <w:sz w:val="22"/>
                <w:szCs w:val="22"/>
              </w:rPr>
              <w:t xml:space="preserve">Challenges award both XP (scaled to difficulty) and a small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bonus. Completing a challenge does not count as a contest win for purposes of XP calculation. Challenge and contest rewards are additive — participants may earn from both in the same epoch.</w:t>
            </w:r>
          </w:p>
        </w:tc>
      </w:tr>
    </w:tbl>
    <w:p>
      <w:pPr>
        <w:spacing w:after="240" w:before="0"/>
      </w:pPr>
    </w:p>
    <w:p>
      <w:pPr>
        <w:pStyle w:val="Heading2"/>
        <w:spacing w:after="120" w:before="360" w:line="312" w:lineRule="auto"/>
      </w:pPr>
      <w:r>
        <w:rPr>
          <w:rFonts w:ascii="Calibri" w:cs="Calibri" w:eastAsia="Calibri" w:hAnsi="Calibri"/>
          <w:color w:val="1A3A6B"/>
          <w:sz w:val="32"/>
          <w:szCs w:val="32"/>
        </w:rPr>
        <w:t xml:space="preserve">8.3 Referral Program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referral program rewards ecosystem growth by incentivizing existing members to bring verified new participants on-chain. Referrals are tracked through an on-chain referral code system — each eligible wallet generates a unique referral code that can be shared externally.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Referrer earns:</w:t>
      </w:r>
      <w:r>
        <w:rPr>
          <w:rFonts w:ascii="Calibri" w:cs="Calibri" w:eastAsia="Calibri" w:hAnsi="Calibri"/>
          <w:b w:val="false"/>
          <w:bCs w:val="false"/>
          <w:i w:val="false"/>
          <w:iCs w:val="false"/>
          <w:strike w:val="false"/>
          <w:color w:val="000000"/>
          <w:sz w:val="22"/>
          <w:szCs w:val="22"/>
        </w:rPr>
        <w:t xml:space="preserve"> 75 XP per successful referral (capped at 20 per epoch) plus a small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bonus proportional to the referred wallet's first qualifying activity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Referred wallet earns:</w:t>
      </w:r>
      <w:r>
        <w:rPr>
          <w:rFonts w:ascii="Calibri" w:cs="Calibri" w:eastAsia="Calibri" w:hAnsi="Calibri"/>
          <w:b w:val="false"/>
          <w:bCs w:val="false"/>
          <w:i w:val="false"/>
          <w:iCs w:val="false"/>
          <w:strike w:val="false"/>
          <w:color w:val="000000"/>
          <w:sz w:val="22"/>
          <w:szCs w:val="22"/>
        </w:rPr>
        <w:t xml:space="preserve"> A one-time onboarding XP bonus of 50 XP upon completing their first qualifying on-chain action, giving new members an immediate head start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Verification requirement:</w:t>
      </w:r>
      <w:r>
        <w:rPr>
          <w:rFonts w:ascii="Calibri" w:cs="Calibri" w:eastAsia="Calibri" w:hAnsi="Calibri"/>
          <w:b w:val="false"/>
          <w:bCs w:val="false"/>
          <w:i w:val="false"/>
          <w:iCs w:val="false"/>
          <w:strike w:val="false"/>
          <w:color w:val="000000"/>
          <w:sz w:val="22"/>
          <w:szCs w:val="22"/>
        </w:rPr>
        <w:t xml:space="preserve"> The referred wallet must be new (no prior on-chain history on the ecosystem contract) and must complete at least one qualifying action within 30 days of registration to trigger the referral reward</w:t>
      </w:r>
    </w:p>
    <w:p>
      <w:pPr>
        <w:pStyle w:val="Heading2"/>
        <w:spacing w:after="120" w:before="360" w:line="312" w:lineRule="auto"/>
      </w:pPr>
      <w:r>
        <w:rPr>
          <w:rFonts w:ascii="Calibri" w:cs="Calibri" w:eastAsia="Calibri" w:hAnsi="Calibri"/>
          <w:color w:val="1A3A6B"/>
          <w:sz w:val="32"/>
          <w:szCs w:val="32"/>
        </w:rPr>
        <w:t xml:space="preserve">8.4 Community Discussion and Contribution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Recognizing that not all valuable community contribution happens on-chain, the Degen Ecosystem operates a verified contribution system for off-chain participation. Community members submit contribution links (forum posts, Discord threads, educational content, community guides) through the ecosystem dashboard. Designated moderators — OG-tier or higher wallets elected via governance — review submissions and approve or reject them based on defined quality standards.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Approved contributions earn 25–150 XP depending on quality tier assigned by the reviewing moderator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Moderators earn a small XP bonus for each verified review they complete, incentivizing thorough and timely moderation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Disputed moderation decisions may be escalated to a community panel vote for re-evaluation</w:t>
      </w: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9. Governance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Degen Ecosystem is governed by its community through a hybrid on-chain voting system that balances economic stake with earned reputation. Governance is the mechanism through which the community controls the ecosystem's future — from token parameters and treasury spending to charity selections and partnership approvals.</w:t>
      </w:r>
    </w:p>
    <w:p>
      <w:pPr>
        <w:pStyle w:val="Heading2"/>
        <w:spacing w:after="120" w:before="360" w:line="312" w:lineRule="auto"/>
      </w:pPr>
      <w:r>
        <w:rPr>
          <w:rFonts w:ascii="Calibri" w:cs="Calibri" w:eastAsia="Calibri" w:hAnsi="Calibri"/>
          <w:color w:val="1A3A6B"/>
          <w:sz w:val="32"/>
          <w:szCs w:val="32"/>
        </w:rPr>
        <w:t xml:space="preserve">9.1 Governance Model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Voting weight is determined by a formula combining token holdings and XP tier multiplier. This hybrid approach prevents two failure modes that plague pure token-vote systems: plutocratic dominance by large holders with no community investment, and populist capture by low-stake wallets that could collude to pass self-serving proposals.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B" w:sz="24"/>
              <w:bottom w:val="nil" w:color="FFFFFF" w:sz="0"/>
              <w:right w:val="nil" w:color="FFFFFF" w:sz="0"/>
            </w:tcBorders>
            <w:shd w:fill="F4F7FC" w:color="auto" w:val="clear"/>
            <w:tcMar>
              <w:top w:type="dxa" w:w="120"/>
              <w:left w:type="dxa" w:w="280"/>
              <w:bottom w:type="dxa" w:w="120"/>
              <w:right w:type="dxa" w:w="280"/>
            </w:tcMar>
          </w:tcPr>
          <w:p>
            <w:pPr>
              <w:spacing w:after="120" w:line="408" w:lineRule="auto"/>
            </w:pPr>
            <w:r>
              <w:rPr>
                <w:i/>
                <w:iCs/>
              </w:rPr>
              <w:t xml:space="preserve">Effective Vote Weight = (Token Holdings × Normalized Weight Factor) × XP Tier Multiplier (capped at 2.5×)</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token holdings component normalizes holdings on a logarithmic scale to prevent extreme concentration — doubling token holdings does not double vote weight. The XP multiplier, applied on top, rewards active community members relative to passive large holders.</w:t>
      </w:r>
    </w:p>
    <w:p>
      <w:pPr>
        <w:pStyle w:val="Heading2"/>
        <w:spacing w:after="120" w:before="360" w:line="312" w:lineRule="auto"/>
      </w:pPr>
      <w:r>
        <w:rPr>
          <w:rFonts w:ascii="Calibri" w:cs="Calibri" w:eastAsia="Calibri" w:hAnsi="Calibri"/>
          <w:color w:val="1A3A6B"/>
          <w:sz w:val="32"/>
          <w:szCs w:val="32"/>
        </w:rPr>
        <w:t xml:space="preserve">9.2 Proposal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5%"/>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Proposal Type</w:t>
            </w:r>
          </w:p>
        </w:tc>
        <w:tc>
          <w:tcPr>
            <w:tcW w:type="pct" w:w="14%"/>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Minimum Proposer Tier</w:t>
            </w:r>
          </w:p>
        </w:tc>
        <w:tc>
          <w:tcPr>
            <w:tcW w:type="pct" w:w="25%"/>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Quorum Required</w:t>
            </w:r>
          </w:p>
        </w:tc>
        <w:tc>
          <w:tcPr>
            <w:tcW w:type="pct" w:w="26%"/>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Pass Threshold</w:t>
            </w:r>
          </w:p>
        </w:tc>
      </w:tr>
      <w:tr>
        <w:trPr>
          <w:tblHeader w:val="false"/>
        </w:trPr>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Charity recipient selection</w:t>
            </w:r>
          </w:p>
        </w:tc>
        <w:tc>
          <w:tcPr>
            <w:tcW w:type="pct" w:w="1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Hustler</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10% of active wallets</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Simple majority (&gt;50%)</w:t>
            </w:r>
          </w:p>
        </w:tc>
      </w:tr>
      <w:tr>
        <w:trPr>
          <w:tblHeader w:val="false"/>
        </w:trPr>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Community reward rate adjustment</w:t>
            </w:r>
          </w:p>
        </w:tc>
        <w:tc>
          <w:tcPr>
            <w:tcW w:type="pct" w:w="1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Grinder</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10% of active wallets</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Simple majority (&gt;50%)</w:t>
            </w:r>
          </w:p>
        </w:tc>
      </w:tr>
      <w:tr>
        <w:trPr>
          <w:tblHeader w:val="false"/>
        </w:trPr>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Marketing spend approval</w:t>
            </w:r>
          </w:p>
        </w:tc>
        <w:tc>
          <w:tcPr>
            <w:tcW w:type="pct" w:w="1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Grinder</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10% of active wallets</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Simple majority (&gt;50%)</w:t>
            </w:r>
          </w:p>
        </w:tc>
      </w:tr>
      <w:tr>
        <w:trPr>
          <w:tblHeader w:val="false"/>
        </w:trPr>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Ecosystem partnerships</w:t>
            </w:r>
          </w:p>
        </w:tc>
        <w:tc>
          <w:tcPr>
            <w:tcW w:type="pct" w:w="1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OG</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12% of active wallets</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60% supermajority</w:t>
            </w:r>
          </w:p>
        </w:tc>
      </w:tr>
      <w:tr>
        <w:trPr>
          <w:tblHeader w:val="false"/>
        </w:trPr>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Token parameter changes</w:t>
            </w:r>
          </w:p>
        </w:tc>
        <w:tc>
          <w:tcPr>
            <w:tcW w:type="pct" w:w="1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OG</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15% of active wallets</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67% supermajority</w:t>
            </w:r>
          </w:p>
        </w:tc>
      </w:tr>
      <w:tr>
        <w:trPr>
          <w:tblHeader w:val="false"/>
        </w:trPr>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DAO treasury allocation changes</w:t>
            </w:r>
          </w:p>
        </w:tc>
        <w:tc>
          <w:tcPr>
            <w:tcW w:type="pct" w:w="1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Whale</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15% of active wallets</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67% supermajority</w:t>
            </w:r>
          </w:p>
        </w:tc>
      </w:tr>
      <w:tr>
        <w:trPr>
          <w:tblHeader w:val="false"/>
        </w:trPr>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Smart contract upgrade</w:t>
            </w:r>
          </w:p>
        </w:tc>
        <w:tc>
          <w:tcPr>
            <w:tcW w:type="pct" w:w="1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Whale</w:t>
            </w:r>
          </w:p>
        </w:tc>
        <w:tc>
          <w:tcPr>
            <w:tcW w:type="pct" w:w="2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20% of active wallets</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75% supermajority</w:t>
            </w:r>
          </w:p>
        </w:tc>
      </w:tr>
    </w:tbl>
    <w:p>
      <w:pPr>
        <w:spacing w:after="200" w:before="0"/>
      </w:pPr>
    </w:p>
    <w:p>
      <w:pPr>
        <w:pStyle w:val="Heading2"/>
        <w:spacing w:after="120" w:before="360" w:line="312" w:lineRule="auto"/>
      </w:pPr>
      <w:r>
        <w:rPr>
          <w:rFonts w:ascii="Calibri" w:cs="Calibri" w:eastAsia="Calibri" w:hAnsi="Calibri"/>
          <w:color w:val="1A3A6B"/>
          <w:sz w:val="32"/>
          <w:szCs w:val="32"/>
        </w:rPr>
        <w:t xml:space="preserve">9.3 Quorum Definition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"Active wallets" for quorum calculation purposes are defined as wallets that have recorded at least one qualifying ecosystem action within the preceding 60 days. This definition ensures that quorum thresholds are meaningful and not diluted by dormant wallets that acquired tokens and never engaged with the ecosystem.</w:t>
      </w:r>
    </w:p>
    <w:p>
      <w:pPr>
        <w:pStyle w:val="Heading2"/>
        <w:spacing w:after="120" w:before="360" w:line="312" w:lineRule="auto"/>
      </w:pPr>
      <w:r>
        <w:rPr>
          <w:rFonts w:ascii="Calibri" w:cs="Calibri" w:eastAsia="Calibri" w:hAnsi="Calibri"/>
          <w:color w:val="1A3A6B"/>
          <w:sz w:val="32"/>
          <w:szCs w:val="32"/>
        </w:rPr>
        <w:t xml:space="preserve">9.4 Veto-Booster Mechanism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40"/>
              <w:bottom w:type="dxa" w:w="180"/>
              <w:right w:type="dxa" w:w="240"/>
            </w:tcMar>
          </w:tcPr>
          <w:p>
            <w:pPr>
              <w:spacing w:after="120" w:line="408" w:lineRule="auto"/>
            </w:pPr>
            <w:r>
              <w:rPr>
                <w:b/>
                <w:bCs/>
                <w:i w:val="false"/>
                <w:iCs w:val="false"/>
                <w:color w:val="CC0000"/>
              </w:rPr>
              <w:t xml:space="preserve">⚠ Veto-Booster — Key Safeguard Mechanic</w:t>
            </w:r>
          </w:p>
          <w:p>
            <w:pPr>
              <w:spacing w:after="160" w:line="360" w:lineRule="auto"/>
            </w:pPr>
            <w:r>
              <w:rPr>
                <w:rFonts w:ascii="Calibri" w:cs="Calibri" w:eastAsia="Calibri" w:hAnsi="Calibri"/>
                <w:b/>
                <w:bCs/>
                <w:i w:val="false"/>
                <w:iCs w:val="false"/>
                <w:strike w:val="false"/>
                <w:color w:val="000000"/>
                <w:sz w:val="22"/>
                <w:szCs w:val="22"/>
              </w:rPr>
              <w:t xml:space="preserve">What it is:</w:t>
            </w:r>
            <w:r>
              <w:rPr>
                <w:rFonts w:ascii="Calibri" w:cs="Calibri" w:eastAsia="Calibri" w:hAnsi="Calibri"/>
                <w:b w:val="false"/>
                <w:bCs w:val="false"/>
                <w:i w:val="false"/>
                <w:iCs w:val="false"/>
                <w:strike w:val="false"/>
                <w:color w:val="000000"/>
                <w:sz w:val="22"/>
                <w:szCs w:val="22"/>
              </w:rPr>
              <w:t xml:space="preserve"> A post-vote challenge right held exclusively by Whale-tier wallets holding a Veto-Booster NFT, or any Degen Legend-tier wallet.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How it works:</w:t>
            </w:r>
            <w:r>
              <w:rPr>
                <w:rFonts w:ascii="Calibri" w:cs="Calibri" w:eastAsia="Calibri" w:hAnsi="Calibri"/>
                <w:b w:val="false"/>
                <w:bCs w:val="false"/>
                <w:i w:val="false"/>
                <w:iCs w:val="false"/>
                <w:strike w:val="false"/>
                <w:color w:val="000000"/>
                <w:sz w:val="22"/>
                <w:szCs w:val="22"/>
              </w:rPr>
              <w:t xml:space="preserve"> After a proposal passes, a 48-hour veto window opens. During this window, qualified veto-holders may signal opposition. A veto is triggered by either: (a) three or more Whale-tier Veto-Booster holders acting in concert, or (b) a single Degen Legend-tier wallet acting alone.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Effect of veto:</w:t>
            </w:r>
            <w:r>
              <w:rPr>
                <w:rFonts w:ascii="Calibri" w:cs="Calibri" w:eastAsia="Calibri" w:hAnsi="Calibri"/>
                <w:b w:val="false"/>
                <w:bCs w:val="false"/>
                <w:i w:val="false"/>
                <w:iCs w:val="false"/>
                <w:strike w:val="false"/>
                <w:color w:val="000000"/>
                <w:sz w:val="22"/>
                <w:szCs w:val="22"/>
              </w:rPr>
              <w:t xml:space="preserve"> The proposal is returned to draft status, marked with veto reasoning, and must be revised and re-submitted. It may not be re-submitted in identical form. The vetoing party is required to publish a minimum 100-word written justification accessible to all community members. </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Veto limits:</w:t>
            </w:r>
            <w:r>
              <w:rPr>
                <w:rFonts w:ascii="Calibri" w:cs="Calibri" w:eastAsia="Calibri" w:hAnsi="Calibri"/>
                <w:b w:val="false"/>
                <w:bCs w:val="false"/>
                <w:i w:val="false"/>
                <w:iCs w:val="false"/>
                <w:strike w:val="false"/>
                <w:color w:val="000000"/>
                <w:sz w:val="22"/>
                <w:szCs w:val="22"/>
              </w:rPr>
              <w:t xml:space="preserve"> No wallet may veto more than two proposals per epoch to prevent systematic obstruction. Veto-Boosters are non-transferable for 30 days following use.</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Veto-Booster mechanism is a deliberate constitutional safeguard — not a veto of the community, but a veto of hasty or poorly considered proposals. It introduces a mandatory cooling-off and revision cycle that improves governance quality without overriding democratic process. Vetoed proposals return with community feedback incorporated, producing better outcomes over time.</w:t>
      </w:r>
    </w:p>
    <w:p>
      <w:pPr>
        <w:pStyle w:val="Heading2"/>
        <w:spacing w:after="120" w:before="360" w:line="312" w:lineRule="auto"/>
      </w:pPr>
      <w:r>
        <w:rPr>
          <w:rFonts w:ascii="Calibri" w:cs="Calibri" w:eastAsia="Calibri" w:hAnsi="Calibri"/>
          <w:color w:val="1A3A6B"/>
          <w:sz w:val="32"/>
          <w:szCs w:val="32"/>
        </w:rPr>
        <w:t xml:space="preserve">9.5 Timelock</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All passed governance decisions are subject to a </w:t>
      </w:r>
      <w:r>
        <w:rPr>
          <w:rFonts w:ascii="Calibri" w:cs="Calibri" w:eastAsia="Calibri" w:hAnsi="Calibri"/>
          <w:b/>
          <w:bCs/>
          <w:i w:val="false"/>
          <w:iCs w:val="false"/>
          <w:strike w:val="false"/>
          <w:color w:val="000000"/>
          <w:sz w:val="22"/>
          <w:szCs w:val="22"/>
        </w:rPr>
        <w:t xml:space="preserve">72-hour timelock</w:t>
      </w:r>
      <w:r>
        <w:rPr>
          <w:rFonts w:ascii="Calibri" w:cs="Calibri" w:eastAsia="Calibri" w:hAnsi="Calibri"/>
          <w:b w:val="false"/>
          <w:bCs w:val="false"/>
          <w:i w:val="false"/>
          <w:iCs w:val="false"/>
          <w:strike w:val="false"/>
          <w:color w:val="000000"/>
          <w:sz w:val="22"/>
          <w:szCs w:val="22"/>
        </w:rPr>
        <w:t xml:space="preserve"> before on-chain execution. During the timelock period, the community has a final window to review the proposal, raise concerns, and — if sufficient new information emerges — initiate an emergency halt vote (requiring 20% of active wallets to signal within 48 hours). The timelock is enforced at the smart contract level and cannot be bypassed by any team member or governance actor.</w:t>
      </w:r>
    </w:p>
    <w:p>
      <w:pPr>
        <w:pStyle w:val="Heading2"/>
        <w:spacing w:after="120" w:before="360" w:line="312" w:lineRule="auto"/>
      </w:pPr>
      <w:r>
        <w:rPr>
          <w:rFonts w:ascii="Calibri" w:cs="Calibri" w:eastAsia="Calibri" w:hAnsi="Calibri"/>
          <w:color w:val="1A3A6B"/>
          <w:sz w:val="32"/>
          <w:szCs w:val="32"/>
        </w:rPr>
        <w:t xml:space="preserve">9.6 DAO Treasury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Development and Marketing allocations are held in a multi-sig DAO treasury requiring </w:t>
      </w:r>
      <w:r>
        <w:rPr>
          <w:rFonts w:ascii="Calibri" w:cs="Calibri" w:eastAsia="Calibri" w:hAnsi="Calibri"/>
          <w:b/>
          <w:bCs/>
          <w:i w:val="false"/>
          <w:iCs w:val="false"/>
          <w:strike w:val="false"/>
          <w:color w:val="000000"/>
          <w:sz w:val="22"/>
          <w:szCs w:val="22"/>
        </w:rPr>
        <w:t xml:space="preserve">3-of-5 signer approval</w:t>
      </w:r>
      <w:r>
        <w:rPr>
          <w:rFonts w:ascii="Calibri" w:cs="Calibri" w:eastAsia="Calibri" w:hAnsi="Calibri"/>
          <w:b w:val="false"/>
          <w:bCs w:val="false"/>
          <w:i w:val="false"/>
          <w:iCs w:val="false"/>
          <w:strike w:val="false"/>
          <w:color w:val="000000"/>
          <w:sz w:val="22"/>
          <w:szCs w:val="22"/>
        </w:rPr>
        <w:t xml:space="preserve"> for any outgoing transaction. Signers are elected by governance vote and may be removed and replaced by the same process. Treasury signer identities are publicly disclosed to the community. All treasury transactions are published on-chain and summarized in monthly treasury reports accessible via the community dashboard.</w:t>
      </w: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10. Charity Distribution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Degen Ecosystem's charitable giving program represents one of its most meaningful structural commitments. Three percent of total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supply — released in quarterly tranches governed by community vote — flows directly to real-world charitable causes. This is not a marketing feature; it is a permanent allocation enforced by smart contract that cannot be redirected without a supermajority governance vote and mandatory public disclosure.</w:t>
      </w:r>
    </w:p>
    <w:p>
      <w:pPr>
        <w:pStyle w:val="Heading2"/>
        <w:spacing w:after="120" w:before="360" w:line="312" w:lineRule="auto"/>
      </w:pPr>
      <w:r>
        <w:rPr>
          <w:rFonts w:ascii="Calibri" w:cs="Calibri" w:eastAsia="Calibri" w:hAnsi="Calibri"/>
          <w:color w:val="1A3A6B"/>
          <w:sz w:val="32"/>
          <w:szCs w:val="32"/>
        </w:rPr>
        <w:t xml:space="preserve">10.1 Distribution Process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Nomination Period (Weeks 1–2 of each quarter):</w:t>
      </w:r>
      <w:r>
        <w:rPr>
          <w:rFonts w:ascii="Calibri" w:cs="Calibri" w:eastAsia="Calibri" w:hAnsi="Calibri"/>
          <w:b w:val="false"/>
          <w:bCs w:val="false"/>
          <w:i w:val="false"/>
          <w:iCs w:val="false"/>
          <w:strike w:val="false"/>
          <w:color w:val="000000"/>
          <w:sz w:val="22"/>
          <w:szCs w:val="22"/>
        </w:rPr>
        <w:t xml:space="preserve"> Any wallet of Hustler tier or above may nominate a charitable organization. Nominations must include the organization's public registration details, a verifiable wallet address or payment mechanism, and a brief description of the cause and intended use of funds.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Verification Period (Week 3):</w:t>
      </w:r>
      <w:r>
        <w:rPr>
          <w:rFonts w:ascii="Calibri" w:cs="Calibri" w:eastAsia="Calibri" w:hAnsi="Calibri"/>
          <w:b w:val="false"/>
          <w:bCs w:val="false"/>
          <w:i w:val="false"/>
          <w:iCs w:val="false"/>
          <w:strike w:val="false"/>
          <w:color w:val="000000"/>
          <w:sz w:val="22"/>
          <w:szCs w:val="22"/>
        </w:rPr>
        <w:t xml:space="preserve"> A community-elected verification panel (minimum three OG-tier or above wallets) reviews each nomination against the ecosystem's charity eligibility criteria. Approved nominations advance to the ballot.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Community Vote (Week 4):</w:t>
      </w:r>
      <w:r>
        <w:rPr>
          <w:rFonts w:ascii="Calibri" w:cs="Calibri" w:eastAsia="Calibri" w:hAnsi="Calibri"/>
          <w:b w:val="false"/>
          <w:bCs w:val="false"/>
          <w:i w:val="false"/>
          <w:iCs w:val="false"/>
          <w:strike w:val="false"/>
          <w:color w:val="000000"/>
          <w:sz w:val="22"/>
          <w:szCs w:val="22"/>
        </w:rPr>
        <w:t xml:space="preserve"> All active wallets vote on the verified charity shortlist. The top vote-receiving charity receives that quarter's full tranche. In the event of a near-tie (within 5% of votes), the governance contract may split the tranche between the top two recipients.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Distribution and Reporting:</w:t>
      </w:r>
      <w:r>
        <w:rPr>
          <w:rFonts w:ascii="Calibri" w:cs="Calibri" w:eastAsia="Calibri" w:hAnsi="Calibri"/>
          <w:b w:val="false"/>
          <w:bCs w:val="false"/>
          <w:i w:val="false"/>
          <w:iCs w:val="false"/>
          <w:strike w:val="false"/>
          <w:color w:val="000000"/>
          <w:sz w:val="22"/>
          <w:szCs w:val="22"/>
        </w:rPr>
        <w:t xml:space="preserve"> Funds are transferred on-chain to the selected charity's verified wallet address. A Charity Transparency Report summarizing the distribution, the charity's details, and community vote results is published publicly within 7 days of transfer.</w:t>
      </w:r>
    </w:p>
    <w:p>
      <w:pPr>
        <w:pStyle w:val="Heading2"/>
        <w:spacing w:after="120" w:before="360" w:line="312" w:lineRule="auto"/>
      </w:pPr>
      <w:r>
        <w:rPr>
          <w:rFonts w:ascii="Calibri" w:cs="Calibri" w:eastAsia="Calibri" w:hAnsi="Calibri"/>
          <w:color w:val="1A3A6B"/>
          <w:sz w:val="32"/>
          <w:szCs w:val="32"/>
        </w:rPr>
        <w:t xml:space="preserve">10.2 Charity Eligibility Criteria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Registered nonprofit or equivalent legal status in the organization's country of operation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Publicly verifiable wallet address or institutional crypto-receiving mechanism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political party affiliation or partisan advocacy function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Track record of at least 12 months of verifiable operational activity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Acceptance of crypto donations confirmed prior to nomination</w:t>
      </w:r>
    </w:p>
    <w:p>
      <w:pPr>
        <w:pStyle w:val="Heading2"/>
        <w:spacing w:after="120" w:before="360" w:line="312" w:lineRule="auto"/>
      </w:pPr>
      <w:r>
        <w:rPr>
          <w:rFonts w:ascii="Calibri" w:cs="Calibri" w:eastAsia="Calibri" w:hAnsi="Calibri"/>
          <w:color w:val="1A3A6B"/>
          <w:sz w:val="32"/>
          <w:szCs w:val="32"/>
        </w:rPr>
        <w:t xml:space="preserve">10.3 Focus Areas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While the community is free to nominate any eligible charity, the Degen Ecosystem's founding community has established the following priority cause areas as guideposts for nominations: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Focus Area</w:t>
            </w:r>
          </w:p>
        </w:tc>
        <w:tc>
          <w:tcPr>
            <w:tcW w:type="pct" w:w="80%"/>
            <w:shd w:fill="DCE6F4" w:color="auto" w:val="clear"/>
            <w:tcMar>
              <w:top w:type="dxa" w:w="105"/>
              <w:left w:type="dxa" w:w="150"/>
              <w:bottom w:type="dxa" w:w="105"/>
              <w:right w:type="dxa" w:w="150"/>
            </w:tcMar>
          </w:tcPr>
          <w:p>
            <w:r>
              <w:rPr>
                <w:rFonts w:ascii="Calibri" w:cs="Calibri" w:eastAsia="Calibri" w:hAnsi="Calibri"/>
                <w:b/>
                <w:bCs/>
                <w:i w:val="false"/>
                <w:iCs w:val="false"/>
                <w:strike w:val="false"/>
                <w:color w:val="0D1F3C"/>
                <w:sz w:val="21"/>
                <w:szCs w:val="21"/>
              </w:rPr>
              <w:t xml:space="preserve">Rationale</w:t>
            </w:r>
          </w:p>
        </w:tc>
      </w:tr>
      <w:tr>
        <w:trPr>
          <w:tblHeader w:val="false"/>
        </w:trPr>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Financial Inclusion</w:t>
            </w:r>
          </w:p>
        </w:tc>
        <w:tc>
          <w:tcPr>
            <w:tcW w:type="pct" w:w="8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Aligned with the ecosystem's core mission; expanding access to financial tools for underserved populations</w:t>
            </w:r>
          </w:p>
        </w:tc>
      </w:tr>
      <w:tr>
        <w:trPr>
          <w:tblHeader w:val="false"/>
        </w:trPr>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Education</w:t>
            </w:r>
          </w:p>
        </w:tc>
        <w:tc>
          <w:tcPr>
            <w:tcW w:type="pct" w:w="8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Long-term ecosystem investment in an informed, capable global community</w:t>
            </w:r>
          </w:p>
        </w:tc>
      </w:tr>
      <w:tr>
        <w:trPr>
          <w:tblHeader w:val="false"/>
        </w:trPr>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Disaster Relief</w:t>
            </w:r>
          </w:p>
        </w:tc>
        <w:tc>
          <w:tcPr>
            <w:tcW w:type="pct" w:w="8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High-urgency, high-impact giving where crypto's speed advantage is most valuable</w:t>
            </w:r>
          </w:p>
        </w:tc>
      </w:tr>
      <w:tr>
        <w:trPr>
          <w:tblHeader w:val="false"/>
        </w:trPr>
        <w:tc>
          <w:tcPr>
            <w:tcW w:type="pct" w:w="2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Mental Health</w:t>
            </w:r>
          </w:p>
        </w:tc>
        <w:tc>
          <w:tcPr>
            <w:tcW w:type="pct" w:w="8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1"/>
                <w:szCs w:val="21"/>
              </w:rPr>
              <w:t xml:space="preserve">Recognition that the crypto community itself faces mental health pressures; modelling responsible community care</w:t>
            </w:r>
          </w:p>
        </w:tc>
      </w:tr>
    </w:tbl>
    <w:p>
      <w:pPr>
        <w:spacing w:after="200" w:before="0"/>
      </w:pPr>
    </w:p>
    <w:p>
      <w:pPr>
        <w:pStyle w:val="Heading2"/>
        <w:spacing w:after="120" w:before="360" w:line="312" w:lineRule="auto"/>
      </w:pPr>
      <w:r>
        <w:rPr>
          <w:rFonts w:ascii="Calibri" w:cs="Calibri" w:eastAsia="Calibri" w:hAnsi="Calibri"/>
          <w:color w:val="1A3A6B"/>
          <w:sz w:val="32"/>
          <w:szCs w:val="32"/>
        </w:rPr>
        <w:t xml:space="preserve">10.4 Transparency and Accountability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Every charity transaction is permanently recorded on-chain. The Degen Ecosystem publishes a Quarterly Charity Transparency Report summarizing the recipient, the distributed amount, the governance vote results, and any follow-up communications from the recipient organization. These reports are archived publicly and linked from the community dashboard. No charity distribution may be made outside this process, and no team member has unilateral authority to direct charity funds.</w:t>
      </w: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11. Long-Term Sustainability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community token ecosystem is only as durable as the incentive structures, economic mechanics, and governance systems that underpin it. The Degen Ecosystem is designed with multi-year sustainability as a primary constraint, not an afterthought. The following mechanisms work in concert to sustain ecosystem health across market cycles.</w:t>
      </w:r>
    </w:p>
    <w:p>
      <w:pPr>
        <w:pStyle w:val="Heading2"/>
        <w:spacing w:after="120" w:before="360" w:line="312" w:lineRule="auto"/>
      </w:pPr>
      <w:r>
        <w:rPr>
          <w:rFonts w:ascii="Calibri" w:cs="Calibri" w:eastAsia="Calibri" w:hAnsi="Calibri"/>
          <w:color w:val="1A3A6B"/>
          <w:sz w:val="32"/>
          <w:szCs w:val="32"/>
        </w:rPr>
        <w:t xml:space="preserve">11.1 Deflationary Mechanics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While the total supply is fixed at genesis with no inflationary minting, the Degen Ecosystem introduces a modest deflationary pressure through a transaction fee burn mechanism. One percent of every ecosystem transaction fee is permanently removed from circulation — transferred to a provably unspendable null address. Over time, as ecosystem transaction volume grows, this mechanism gradually reduces the circulating supply, creating gentle deflationary pressure that benefits all long-term holders.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0FB" w:color="auto" w:val="clear"/>
            <w:tcMar>
              <w:top w:type="dxa" w:w="180"/>
              <w:left w:type="dxa" w:w="240"/>
              <w:bottom w:type="dxa" w:w="180"/>
              <w:right w:type="dxa" w:w="240"/>
            </w:tcMar>
          </w:tcPr>
          <w:p>
            <w:pPr>
              <w:spacing w:after="120" w:line="408" w:lineRule="auto"/>
            </w:pPr>
            <w:r>
              <w:rPr>
                <w:b/>
                <w:bCs/>
                <w:i w:val="false"/>
                <w:iCs w:val="false"/>
                <w:color w:val="1A3A6B"/>
              </w:rPr>
              <w:t xml:space="preserve">◆ Deflationary Mechanics Summary</w:t>
            </w:r>
          </w:p>
          <w:p>
            <w:pPr>
              <w:spacing w:after="160" w:line="360" w:lineRule="auto"/>
            </w:pPr>
            <w:r>
              <w:rPr>
                <w:rFonts w:ascii="Calibri" w:cs="Calibri" w:eastAsia="Calibri" w:hAnsi="Calibri"/>
                <w:b/>
                <w:bCs/>
                <w:i w:val="false"/>
                <w:iCs w:val="false"/>
                <w:strike w:val="false"/>
                <w:color w:val="000000"/>
                <w:sz w:val="22"/>
                <w:szCs w:val="22"/>
              </w:rPr>
              <w:t xml:space="preserve">Burn rate:</w:t>
            </w:r>
            <w:r>
              <w:rPr>
                <w:rFonts w:ascii="Calibri" w:cs="Calibri" w:eastAsia="Calibri" w:hAnsi="Calibri"/>
                <w:b w:val="false"/>
                <w:bCs w:val="false"/>
                <w:i w:val="false"/>
                <w:iCs w:val="false"/>
                <w:strike w:val="false"/>
                <w:color w:val="000000"/>
                <w:sz w:val="22"/>
                <w:szCs w:val="22"/>
              </w:rPr>
              <w:t xml:space="preserve"> 0.5% of transaction fees permanently burned per transaction.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Effect:</w:t>
            </w:r>
            <w:r>
              <w:rPr>
                <w:rFonts w:ascii="Calibri" w:cs="Calibri" w:eastAsia="Calibri" w:hAnsi="Calibri"/>
                <w:b w:val="false"/>
                <w:bCs w:val="false"/>
                <w:i w:val="false"/>
                <w:iCs w:val="false"/>
                <w:strike w:val="false"/>
                <w:color w:val="000000"/>
                <w:sz w:val="22"/>
                <w:szCs w:val="22"/>
              </w:rPr>
              <w:t xml:space="preserve"> Gradual reduction of circulating supply over time.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Transparency:</w:t>
            </w:r>
            <w:r>
              <w:rPr>
                <w:rFonts w:ascii="Calibri" w:cs="Calibri" w:eastAsia="Calibri" w:hAnsi="Calibri"/>
                <w:b w:val="false"/>
                <w:bCs w:val="false"/>
                <w:i w:val="false"/>
                <w:iCs w:val="false"/>
                <w:strike w:val="false"/>
                <w:color w:val="000000"/>
                <w:sz w:val="22"/>
                <w:szCs w:val="22"/>
              </w:rPr>
              <w:t xml:space="preserve"> Cumulative burn total displayed publicly on the community dashboard.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Governance:</w:t>
            </w:r>
            <w:r>
              <w:rPr>
                <w:rFonts w:ascii="Calibri" w:cs="Calibri" w:eastAsia="Calibri" w:hAnsi="Calibri"/>
                <w:b w:val="false"/>
                <w:bCs w:val="false"/>
                <w:i w:val="false"/>
                <w:iCs w:val="false"/>
                <w:strike w:val="false"/>
                <w:color w:val="000000"/>
                <w:sz w:val="22"/>
                <w:szCs w:val="22"/>
              </w:rPr>
              <w:t xml:space="preserve"> Burn rate may be adjusted by governance vote (within a 0.5%–1% band) to respond to market conditions.</w:t>
            </w:r>
          </w:p>
        </w:tc>
      </w:tr>
    </w:tbl>
    <w:p>
      <w:pPr>
        <w:spacing w:after="240" w:before="0"/>
      </w:pPr>
    </w:p>
    <w:p>
      <w:pPr>
        <w:pStyle w:val="Heading2"/>
        <w:spacing w:after="120" w:before="360" w:line="312" w:lineRule="auto"/>
      </w:pPr>
      <w:r>
        <w:rPr>
          <w:rFonts w:ascii="Calibri" w:cs="Calibri" w:eastAsia="Calibri" w:hAnsi="Calibri"/>
          <w:color w:val="1A3A6B"/>
          <w:sz w:val="32"/>
          <w:szCs w:val="32"/>
        </w:rPr>
        <w:t xml:space="preserve">11.2 Ecosystem Growth Flywheel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Degen Ecosystem is structured around a self-reinforcing growth dynamic: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More participants → higher XP system activity → more diverse governance participation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Richer governance → better ecosystem decisions → higher community trust and token demand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Higher demand → deeper liquidity utilization → more visible ecosystem → more participants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Each component of the flywheel strengthens the others. The XP system ensures that growth is not merely speculative — new participants are incentivized to actively contribute, increasing the quality of the ecosystem with every new member, not just the quantity.</w:t>
      </w:r>
    </w:p>
    <w:p>
      <w:pPr>
        <w:pStyle w:val="Heading2"/>
        <w:spacing w:after="120" w:before="360" w:line="312" w:lineRule="auto"/>
      </w:pPr>
      <w:r>
        <w:rPr>
          <w:rFonts w:ascii="Calibri" w:cs="Calibri" w:eastAsia="Calibri" w:hAnsi="Calibri"/>
          <w:color w:val="1A3A6B"/>
          <w:sz w:val="32"/>
          <w:szCs w:val="32"/>
        </w:rPr>
        <w:t xml:space="preserve">11.3 Treasury Diversification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DAO treasury is authorized by governance to hold a diversified portfolio of assets rather than concentrating all treasury value in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alone. Diversification decisions are subject to governance approval. The objective is to maintain treasury solvency across bear market conditions, ensuring that development and operational costs can be met regardless of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price fluctuations.</w:t>
      </w:r>
    </w:p>
    <w:p>
      <w:pPr>
        <w:pStyle w:val="Heading2"/>
        <w:spacing w:after="120" w:before="360" w:line="312" w:lineRule="auto"/>
      </w:pPr>
      <w:r>
        <w:rPr>
          <w:rFonts w:ascii="Calibri" w:cs="Calibri" w:eastAsia="Calibri" w:hAnsi="Calibri"/>
          <w:color w:val="1A3A6B"/>
          <w:sz w:val="32"/>
          <w:szCs w:val="32"/>
        </w:rPr>
        <w:t xml:space="preserve">11.4 Strategic Reserve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the event of a sustained market downturn, the governance body may vote to redirect up to 30% of the remaining unlocked marketing allocation into a designated strategic reserve fund. This reserve is held in the DAO multi-sig treasury and may only be deployed by governance vote. Its purpose is to extend the ecosystem's operational runway and fund critical infrastructure during periods when external capital is constrained.</w:t>
      </w:r>
    </w:p>
    <w:p>
      <w:pPr>
        <w:pStyle w:val="Heading2"/>
        <w:spacing w:after="120" w:before="360" w:line="312" w:lineRule="auto"/>
      </w:pPr>
      <w:r>
        <w:rPr>
          <w:rFonts w:ascii="Calibri" w:cs="Calibri" w:eastAsia="Calibri" w:hAnsi="Calibri"/>
          <w:color w:val="1A3A6B"/>
          <w:sz w:val="32"/>
          <w:szCs w:val="32"/>
        </w:rPr>
        <w:t xml:space="preserve">11.5 Security and Audits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Launch Audit:</w:t>
      </w:r>
      <w:r>
        <w:rPr>
          <w:rFonts w:ascii="Calibri" w:cs="Calibri" w:eastAsia="Calibri" w:hAnsi="Calibri"/>
          <w:b w:val="false"/>
          <w:bCs w:val="false"/>
          <w:i w:val="false"/>
          <w:iCs w:val="false"/>
          <w:strike w:val="false"/>
          <w:color w:val="000000"/>
          <w:sz w:val="22"/>
          <w:szCs w:val="22"/>
        </w:rPr>
        <w:t xml:space="preserve"> All smart contracts are audited by a reputable third-party security firm prior to genesis mint. The full audit report is published publicly.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Quarterly Audits:</w:t>
      </w:r>
      <w:r>
        <w:rPr>
          <w:rFonts w:ascii="Calibri" w:cs="Calibri" w:eastAsia="Calibri" w:hAnsi="Calibri"/>
          <w:b w:val="false"/>
          <w:bCs w:val="false"/>
          <w:i w:val="false"/>
          <w:iCs w:val="false"/>
          <w:strike w:val="false"/>
          <w:color w:val="000000"/>
          <w:sz w:val="22"/>
          <w:szCs w:val="22"/>
        </w:rPr>
        <w:t xml:space="preserve"> Ongoing quarterly audits are budgeted from the development allocation for the first two years post-launch.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Bug Bounty Program:</w:t>
      </w:r>
      <w:r>
        <w:rPr>
          <w:rFonts w:ascii="Calibri" w:cs="Calibri" w:eastAsia="Calibri" w:hAnsi="Calibri"/>
          <w:b w:val="false"/>
          <w:bCs w:val="false"/>
          <w:i w:val="false"/>
          <w:iCs w:val="false"/>
          <w:strike w:val="false"/>
          <w:color w:val="000000"/>
          <w:sz w:val="22"/>
          <w:szCs w:val="22"/>
        </w:rPr>
        <w:t xml:space="preserve"> A bug bounty program is active from day one of mainnet deployment. Bounty tiers range from 100 to 50,000</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depending on severity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Immutable Audit Trail:</w:t>
      </w:r>
      <w:r>
        <w:rPr>
          <w:rFonts w:ascii="Calibri" w:cs="Calibri" w:eastAsia="Calibri" w:hAnsi="Calibri"/>
          <w:b w:val="false"/>
          <w:bCs w:val="false"/>
          <w:i w:val="false"/>
          <w:iCs w:val="false"/>
          <w:strike w:val="false"/>
          <w:color w:val="000000"/>
          <w:sz w:val="22"/>
          <w:szCs w:val="22"/>
        </w:rPr>
        <w:t xml:space="preserve"> All audit reports, bounty payouts, and security disclosures are published on-chain or via IPFS with permanent public access.</w:t>
      </w:r>
    </w:p>
    <w:p>
      <w:pPr>
        <w:pStyle w:val="Heading2"/>
        <w:spacing w:after="120" w:before="360" w:line="312" w:lineRule="auto"/>
      </w:pPr>
      <w:r>
        <w:rPr>
          <w:rFonts w:ascii="Calibri" w:cs="Calibri" w:eastAsia="Calibri" w:hAnsi="Calibri"/>
          <w:color w:val="1A3A6B"/>
          <w:sz w:val="32"/>
          <w:szCs w:val="32"/>
        </w:rPr>
        <w:t xml:space="preserve">11.6 Community Grants Program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High-XP developers and builders within the community may apply for ecosystem grants from the development allocation. Grants are reviewed by the DAO and approved by governance vote. Eligible grant projects include ecosystem tooling, governance interfaces, analytics dashboards, cross-chain integrations, and educational resources. Granted funds are released in milestone-based tranches, with deliverables validated by a community-elected technical review panel before each release.</w:t>
      </w: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12. Roadmap</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Degen Ecosystem roadmap is organized into four phases, each representing a distinct stage of maturity. Phase milestones are indicative and subject to adjustment by governance vote. The community retains the authority to accelerate, reprioritize, or defer roadmap items through the standard governance process.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FE8" w:sz="6"/>
              <w:left w:val="single" w:color="C0CFE8" w:sz="6"/>
              <w:bottom w:val="single" w:color="C0CFE8" w:sz="6"/>
              <w:right w:val="single" w:color="C0CFE8" w:sz="6"/>
            </w:tcBorders>
            <w:shd w:fill="F7F9FD" w:color="auto" w:val="clear"/>
            <w:tcMar>
              <w:top w:type="dxa" w:w="180"/>
              <w:left w:type="dxa" w:w="270"/>
              <w:bottom w:type="dxa" w:w="180"/>
              <w:right w:type="dxa" w:w="270"/>
            </w:tcMar>
          </w:tcPr>
          <w:p>
            <w:pPr>
              <w:spacing w:after="120" w:line="408" w:lineRule="auto"/>
            </w:pPr>
            <w:r>
              <w:rPr>
                <w:b/>
                <w:bCs/>
                <w:i w:val="false"/>
                <w:iCs w:val="false"/>
                <w:color w:val="0D1F3C"/>
              </w:rPr>
              <w:t xml:space="preserve">Phase 1 Genesis — Q1</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Smart contract development, full code review, and third-party security audit completion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Genesis Mint Event — entire total supply minted in a single publicly announced event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Liquidity Pool launch and LP token lock — on-chain time-lock verified and publicly confirmed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XP system beta launch — initial XP earning mechanics active for early community members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Community onboarding campaign — referral program activation and Rookie-tier welcome challenges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Public community dashboard launch — real-time XP leaderboard, treasury transparency, and burn tracker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FE8" w:sz="6"/>
              <w:left w:val="single" w:color="C0CFE8" w:sz="6"/>
              <w:bottom w:val="single" w:color="C0CFE8" w:sz="6"/>
              <w:right w:val="single" w:color="C0CFE8" w:sz="6"/>
            </w:tcBorders>
            <w:shd w:fill="F7F9FD" w:color="auto" w:val="clear"/>
            <w:tcMar>
              <w:top w:type="dxa" w:w="180"/>
              <w:left w:type="dxa" w:w="270"/>
              <w:bottom w:type="dxa" w:w="180"/>
              <w:right w:type="dxa" w:w="270"/>
            </w:tcMar>
          </w:tcPr>
          <w:p>
            <w:pPr>
              <w:spacing w:after="120" w:line="408" w:lineRule="auto"/>
            </w:pPr>
            <w:r>
              <w:rPr>
                <w:b/>
                <w:bCs/>
                <w:i w:val="false"/>
                <w:iCs w:val="false"/>
                <w:color w:val="0D1F3C"/>
              </w:rPr>
              <w:t xml:space="preserve">Phase 2 Ignition — Q2</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Governance module goes live — full on-chain voting with XP-weighted proposals active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First Charity Distribution Vote — community nominates and selects inaugural charitable recipient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Leaderboard epoch rewards activated — first epoch closes and top 100 wallets receive distributions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First major marketing campaign — ecosystem-wide awareness initiative from the marketing allocation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Contest and Challenge system launch — first community-run contests and on-chain challenge series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Vesting cliff monitoring begins — marketing and development cliff countdowns active and publicly trackable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FE8" w:sz="6"/>
              <w:left w:val="single" w:color="C0CFE8" w:sz="6"/>
              <w:bottom w:val="single" w:color="C0CFE8" w:sz="6"/>
              <w:right w:val="single" w:color="C0CFE8" w:sz="6"/>
            </w:tcBorders>
            <w:shd w:fill="F7F9FD" w:color="auto" w:val="clear"/>
            <w:tcMar>
              <w:top w:type="dxa" w:w="180"/>
              <w:left w:type="dxa" w:w="270"/>
              <w:bottom w:type="dxa" w:w="180"/>
              <w:right w:type="dxa" w:w="270"/>
            </w:tcMar>
          </w:tcPr>
          <w:p>
            <w:pPr>
              <w:spacing w:after="120" w:line="408" w:lineRule="auto"/>
            </w:pPr>
            <w:r>
              <w:rPr>
                <w:b/>
                <w:bCs/>
                <w:i w:val="false"/>
                <w:iCs w:val="false"/>
                <w:color w:val="0D1F3C"/>
              </w:rPr>
              <w:t xml:space="preserve">Phase 3 Expansion — Q3</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CEX listing pursuit — governance-approved engagement with centralized exchange listing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Veto-Booster NFT collection launch — Whale-tier wallets become eligible; collection parameters set by governance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Cross-chain bridge exploration — technical feasibility assessment for multi-chain deployment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Developer Grants Program opens — first grant applications accepted and reviewed by DAO</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First DAO Treasury Governance Vote — community directs treasury diversification strategy</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Second security audit cycle — mid-year contract review and bug bounty program expansion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FE8" w:sz="6"/>
              <w:left w:val="single" w:color="C0CFE8" w:sz="6"/>
              <w:bottom w:val="single" w:color="C0CFE8" w:sz="6"/>
              <w:right w:val="single" w:color="C0CFE8" w:sz="6"/>
            </w:tcBorders>
            <w:shd w:fill="F7F9FD" w:color="auto" w:val="clear"/>
            <w:tcMar>
              <w:top w:type="dxa" w:w="180"/>
              <w:left w:type="dxa" w:w="270"/>
              <w:bottom w:type="dxa" w:w="180"/>
              <w:right w:type="dxa" w:w="270"/>
            </w:tcMar>
          </w:tcPr>
          <w:p>
            <w:pPr>
              <w:spacing w:after="120" w:line="408" w:lineRule="auto"/>
            </w:pPr>
            <w:r>
              <w:rPr>
                <w:b/>
                <w:bCs/>
                <w:i w:val="false"/>
                <w:iCs w:val="false"/>
                <w:color w:val="0D1F3C"/>
              </w:rPr>
              <w:t xml:space="preserve">Phase 4 Ascension — Q4 and Beyond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Full governance decentralization — all remaining admin keys burned or transferred to DAO multi-sig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Ecosystem partnerships and integrations — formal collaborations with aligned Web3 projects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Community-Elected Council formation — governance establishes a standing elected advisory body from OG+ tier wallets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Layer 2 deployment exploration — technical and governance assessment of L2 migration for reduced gas costs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Annual ecosystem review — community-led retrospective, tokenomics parameter review, and Year 2 roadmap vote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Ongoing quarterly charity distributions, leaderboard rewards, and continuous XP system refinement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rPr>
                <w:b/>
                <w:bCs/>
                <w:i w:val="false"/>
                <w:iCs w:val="false"/>
                <w:color w:val="555555"/>
              </w:rPr>
              <w:t xml:space="preserve">ⓘ Roadmap Governance Note</w:t>
            </w:r>
          </w:p>
          <w:p>
            <w:pPr>
              <w:spacing w:after="160" w:line="360" w:lineRule="auto"/>
            </w:pPr>
            <w:r>
              <w:rPr>
                <w:rFonts w:ascii="Calibri" w:cs="Calibri" w:eastAsia="Calibri" w:hAnsi="Calibri"/>
                <w:b w:val="false"/>
                <w:bCs w:val="false"/>
                <w:i w:val="false"/>
                <w:iCs w:val="false"/>
                <w:strike w:val="false"/>
                <w:color w:val="000000"/>
                <w:sz w:val="22"/>
                <w:szCs w:val="22"/>
              </w:rPr>
              <w:t xml:space="preserve">The roadmap above represents the founding team's initial plan. All Phase 3 and Phase 4 milestones are subject to community governance review and may be reprioritized, expanded, or replaced by governance vote at any time. The Degen Ecosystem's direction belongs to its community — not its founders.</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13. Legal Disclaimer</w:t>
      </w:r>
    </w:p>
    <w:p>
      <w:pPr>
        <w:spacing w:after="240" w:before="60" w:line="360" w:lineRule="auto"/>
      </w:pPr>
      <w:r>
        <w:rPr>
          <w:rFonts w:ascii="Calibri" w:cs="Calibri" w:eastAsia="Calibri" w:hAnsi="Calibri"/>
          <w:b/>
          <w:bCs/>
          <w:i w:val="false"/>
          <w:iCs w:val="false"/>
          <w:strike w:val="false"/>
          <w:color w:val="000000"/>
          <w:sz w:val="22"/>
          <w:szCs w:val="22"/>
        </w:rPr>
        <w:t xml:space="preserve">IMPORTANT — PLEASE READ CAREFULLY BEFORE ENGAGING WITH THE DEGEN ECOSYSTEM OR THE DEGEN DOLLAR TOKEN.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document (the "Whitepaper") has been prepared by the Degen Ecosystem Core Team for informational purposes only. It is not, and does not constitute, financial advice, investment advice, trading advice, or any other form of professional advice. Nothing in this Whitepaper should be construed as a solicitation, offer, or recommendation to buy, sell, or hold any financial instrument, security, or asset, including the Degen Dollar token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w:t>
      </w:r>
    </w:p>
    <w:p>
      <w:pPr>
        <w:spacing w:after="240" w:before="60" w:line="360" w:lineRule="auto"/>
      </w:pPr>
      <w:r>
        <w:rPr>
          <w:rFonts w:ascii="Calibri" w:cs="Calibri" w:eastAsia="Calibri" w:hAnsi="Calibri"/>
          <w:b/>
          <w:bCs/>
          <w:i w:val="false"/>
          <w:iCs w:val="false"/>
          <w:strike w:val="false"/>
          <w:color w:val="000000"/>
          <w:sz w:val="22"/>
          <w:szCs w:val="22"/>
        </w:rPr>
        <w:t xml:space="preserve">Not a Securities Offering.</w:t>
      </w:r>
      <w:r>
        <w:rPr>
          <w:rFonts w:ascii="Calibri" w:cs="Calibri" w:eastAsia="Calibri" w:hAnsi="Calibri"/>
          <w:b w:val="false"/>
          <w:bCs w:val="false"/>
          <w:i w:val="false"/>
          <w:iCs w:val="false"/>
          <w:strike w:val="false"/>
          <w:color w:val="000000"/>
          <w:sz w:val="22"/>
          <w:szCs w:val="22"/>
        </w:rPr>
        <w:t xml:space="preserve"> The Degen Dollar token is designed as a utility and governance token. This Whitepaper does not constitute a prospectus, offering memorandum, or any other form of securities offering document. The Degen Ecosystem Core Team makes no representation that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constitutes a security, and the regulatory classification of the token may vary by jurisdiction. Participants are responsible for understanding and complying with the laws of their local jurisdiction.</w:t>
      </w:r>
    </w:p>
    <w:p>
      <w:pPr>
        <w:spacing w:after="240" w:before="60" w:line="360" w:lineRule="auto"/>
      </w:pPr>
      <w:r>
        <w:rPr>
          <w:rFonts w:ascii="Calibri" w:cs="Calibri" w:eastAsia="Calibri" w:hAnsi="Calibri"/>
          <w:b/>
          <w:bCs/>
          <w:i w:val="false"/>
          <w:iCs w:val="false"/>
          <w:strike w:val="false"/>
          <w:color w:val="000000"/>
          <w:sz w:val="22"/>
          <w:szCs w:val="22"/>
        </w:rPr>
        <w:t xml:space="preserve">Forward-Looking Statements.</w:t>
      </w:r>
      <w:r>
        <w:rPr>
          <w:rFonts w:ascii="Calibri" w:cs="Calibri" w:eastAsia="Calibri" w:hAnsi="Calibri"/>
          <w:b w:val="false"/>
          <w:bCs w:val="false"/>
          <w:i w:val="false"/>
          <w:iCs w:val="false"/>
          <w:strike w:val="false"/>
          <w:color w:val="000000"/>
          <w:sz w:val="22"/>
          <w:szCs w:val="22"/>
        </w:rPr>
        <w:t xml:space="preserve"> This Whitepaper contains forward-looking statements regarding the anticipated development, features, and roadmap of the Degen Ecosystem. These statements involve known and unknown risks, uncertainties, and other factors that may cause actual results, performance, or developments to differ materially from those expressed or implied. The Degen Ecosystem Core Team assumes no obligation to update forward-looking statements after the publication of this Whitepaper.</w:t>
      </w:r>
    </w:p>
    <w:p>
      <w:pPr>
        <w:spacing w:after="240" w:before="60" w:line="360" w:lineRule="auto"/>
      </w:pPr>
      <w:r>
        <w:rPr>
          <w:rFonts w:ascii="Calibri" w:cs="Calibri" w:eastAsia="Calibri" w:hAnsi="Calibri"/>
          <w:b/>
          <w:bCs/>
          <w:i w:val="false"/>
          <w:iCs w:val="false"/>
          <w:strike w:val="false"/>
          <w:color w:val="000000"/>
          <w:sz w:val="22"/>
          <w:szCs w:val="22"/>
        </w:rPr>
        <w:t xml:space="preserve">Regulatory Risk.</w:t>
      </w:r>
      <w:r>
        <w:rPr>
          <w:rFonts w:ascii="Calibri" w:cs="Calibri" w:eastAsia="Calibri" w:hAnsi="Calibri"/>
          <w:b w:val="false"/>
          <w:bCs w:val="false"/>
          <w:i w:val="false"/>
          <w:iCs w:val="false"/>
          <w:strike w:val="false"/>
          <w:color w:val="000000"/>
          <w:sz w:val="22"/>
          <w:szCs w:val="22"/>
        </w:rPr>
        <w:t xml:space="preserve"> The cryptocurrency and blockchain industry is subject to significant and rapidly evolving regulatory scrutiny in multiple jurisdictions worldwide. Changes in law, regulation, or enforcement practices could materially and adversely affect the Degen Ecosystem, the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token, and the ability of participants to access or use the ecosystem. Participants should seek independent legal advice regarding the regulatory implications of participation in their specific jurisdiction.</w:t>
      </w:r>
    </w:p>
    <w:p>
      <w:pPr>
        <w:spacing w:after="240" w:before="60" w:line="360" w:lineRule="auto"/>
      </w:pPr>
      <w:r>
        <w:rPr>
          <w:rFonts w:ascii="Calibri" w:cs="Calibri" w:eastAsia="Calibri" w:hAnsi="Calibri"/>
          <w:b/>
          <w:bCs/>
          <w:i w:val="false"/>
          <w:iCs w:val="false"/>
          <w:strike w:val="false"/>
          <w:color w:val="000000"/>
          <w:sz w:val="22"/>
          <w:szCs w:val="22"/>
        </w:rPr>
        <w:t xml:space="preserve">No Guarantee of Value.</w:t>
      </w:r>
      <w:r>
        <w:rPr>
          <w:rFonts w:ascii="Calibri" w:cs="Calibri" w:eastAsia="Calibri" w:hAnsi="Calibri"/>
          <w:b w:val="false"/>
          <w:bCs w:val="false"/>
          <w:i w:val="false"/>
          <w:iCs w:val="false"/>
          <w:strike w:val="false"/>
          <w:color w:val="000000"/>
          <w:sz w:val="22"/>
          <w:szCs w:val="22"/>
        </w:rPr>
        <w:t xml:space="preserve"> Participation in the Degen Ecosystem does not guarantee any financial return, profit, or preservation of value. The value of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tokens, if any, may fluctuate significantly and may decline to zero. Past performance of any token or blockchain project is not indicative of future results.</w:t>
      </w:r>
    </w:p>
    <w:p>
      <w:pPr>
        <w:spacing w:after="240" w:before="60" w:line="360" w:lineRule="auto"/>
      </w:pPr>
      <w:r>
        <w:rPr>
          <w:rFonts w:ascii="Calibri" w:cs="Calibri" w:eastAsia="Calibri" w:hAnsi="Calibri"/>
          <w:b/>
          <w:bCs/>
          <w:i w:val="false"/>
          <w:iCs w:val="false"/>
          <w:strike w:val="false"/>
          <w:color w:val="000000"/>
          <w:sz w:val="22"/>
          <w:szCs w:val="22"/>
        </w:rPr>
        <w:t xml:space="preserve">Technology Risk.</w:t>
      </w:r>
      <w:r>
        <w:rPr>
          <w:rFonts w:ascii="Calibri" w:cs="Calibri" w:eastAsia="Calibri" w:hAnsi="Calibri"/>
          <w:b w:val="false"/>
          <w:bCs w:val="false"/>
          <w:i w:val="false"/>
          <w:iCs w:val="false"/>
          <w:strike w:val="false"/>
          <w:color w:val="000000"/>
          <w:sz w:val="22"/>
          <w:szCs w:val="22"/>
        </w:rPr>
        <w:t xml:space="preserve"> Smart contracts, blockchain networks, and cryptographic protocols carry inherent technical risks including, but not limited to, software bugs, protocol vulnerabilities, network failures, and unforeseen attack vectors. Despite the Degen Ecosystem's commitment to auditing and security best practices, no guarantee of technical invulnerability is made or implied.</w:t>
      </w:r>
    </w:p>
    <w:p>
      <w:pPr>
        <w:spacing w:after="240" w:before="60" w:line="360" w:lineRule="auto"/>
      </w:pPr>
      <w:r>
        <w:rPr>
          <w:rFonts w:ascii="Calibri" w:cs="Calibri" w:eastAsia="Calibri" w:hAnsi="Calibri"/>
          <w:b/>
          <w:bCs/>
          <w:i w:val="false"/>
          <w:iCs w:val="false"/>
          <w:strike w:val="false"/>
          <w:color w:val="000000"/>
          <w:sz w:val="22"/>
          <w:szCs w:val="22"/>
        </w:rPr>
        <w:t xml:space="preserve">Restriction on Distribution.</w:t>
      </w:r>
      <w:r>
        <w:rPr>
          <w:rFonts w:ascii="Calibri" w:cs="Calibri" w:eastAsia="Calibri" w:hAnsi="Calibri"/>
          <w:b w:val="false"/>
          <w:bCs w:val="false"/>
          <w:i w:val="false"/>
          <w:iCs w:val="false"/>
          <w:strike w:val="false"/>
          <w:color w:val="000000"/>
          <w:sz w:val="22"/>
          <w:szCs w:val="22"/>
        </w:rPr>
        <w:t xml:space="preserve"> This Whitepaper may not be distributed, copied, or reproduced in any jurisdiction where such distribution would be unlawful. It is the responsibility of any person in possession of this document to inform themselves of, and to comply with, all applicable laws and regulations in their relevant jurisdiction.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By engaging with the Degen Ecosystem, acquiring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tokens, or participating in any ecosystem mechanics, you acknowledge that you have read, understood, and accepted all terms, risks, and conditions described herein and in any supplementary legal documentation published by the Degen Ecosystem.</w:t>
      </w:r>
    </w:p>
    <w:p>
      <w:pPr>
        <w:pBdr>
          <w:bottom w:val="single" w:color="000000" w:sz="6"/>
        </w:pBdr>
        <w:spacing w:after="240" w:before="240"/>
      </w:pPr>
    </w:p>
    <w:p>
      <w:pPr>
        <w:pStyle w:val="Heading1"/>
        <w:spacing w:after="120" w:before="480" w:line="312" w:lineRule="auto"/>
      </w:pPr>
      <w:r>
        <w:rPr>
          <w:rFonts w:ascii="Calibri" w:cs="Calibri" w:eastAsia="Calibri" w:hAnsi="Calibri"/>
          <w:color w:val="0D1F3C"/>
          <w:sz w:val="44"/>
          <w:szCs w:val="44"/>
        </w:rPr>
        <w:t xml:space="preserve">14. Conclusion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Degen Ecosystem is built on a conviction that community tokens can be more than speculative assets — that they can be genuine engines of participation, governance, and social impact. The systems described in this Whitepaper are not features bolted onto a standard token contract. They are the architecture of a new kind of community economy, one where the value of participation is measurable, transparent, and consequential.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Every mechanism in the Degen Ecosystem — the XP system, the epoch leaderboard, the Veto-Booster, the hybrid governance model, the charitable giving program, the deflationary burn — is designed with the same purpose: to ensure that the people who invest their time, attention, and creativity into this community are the people who shape its future and share in its success.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ecosystem does not promise returns. It offers something rarer: a fair system. One where a new wallet can earn its way to governance influence through consistent contribution. Where no whale can unilaterally override the community's will. Where three percent of everything goes to causes larger than the ecosystem itself. Where all of this is verifiable on-chain, today and ten years from now.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B" w:sz="24"/>
              <w:bottom w:val="nil" w:color="FFFFFF" w:sz="0"/>
              <w:right w:val="nil" w:color="FFFFFF" w:sz="0"/>
            </w:tcBorders>
            <w:shd w:fill="F4F7FC" w:color="auto" w:val="clear"/>
            <w:tcMar>
              <w:top w:type="dxa" w:w="120"/>
              <w:left w:type="dxa" w:w="280"/>
              <w:bottom w:type="dxa" w:w="120"/>
              <w:right w:type="dxa" w:w="280"/>
            </w:tcMar>
          </w:tcPr>
          <w:p>
            <w:pPr>
              <w:spacing w:after="120" w:line="408" w:lineRule="auto"/>
            </w:pPr>
            <w:r>
              <w:rPr>
                <w:i/>
                <w:iCs/>
              </w:rPr>
              <w:t xml:space="preserve">"In Degen, participation is power. Every vote counts. Every contribution matters. Every epoch is a new opportunity to rise."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F7EE" w:color="auto" w:val="clear"/>
            <w:tcMar>
              <w:top w:type="dxa" w:w="180"/>
              <w:left w:type="dxa" w:w="240"/>
              <w:bottom w:type="dxa" w:w="180"/>
              <w:right w:type="dxa" w:w="240"/>
            </w:tcMar>
          </w:tcPr>
          <w:p>
            <w:pPr>
              <w:spacing w:after="120" w:line="408" w:lineRule="auto"/>
            </w:pPr>
            <w:r>
              <w:rPr>
                <w:b/>
                <w:bCs/>
                <w:i w:val="false"/>
                <w:iCs w:val="false"/>
                <w:color w:val="1A6B3A"/>
              </w:rPr>
              <w:t xml:space="preserve">◆ Call to Action — Join the Degen Ecosystem</w:t>
            </w:r>
          </w:p>
          <w:p>
            <w:pPr>
              <w:spacing w:after="160" w:line="360" w:lineRule="auto"/>
            </w:pPr>
            <w:r>
              <w:rPr>
                <w:rFonts w:ascii="Calibri" w:cs="Calibri" w:eastAsia="Calibri" w:hAnsi="Calibri"/>
                <w:b/>
                <w:bCs/>
                <w:i w:val="false"/>
                <w:iCs w:val="false"/>
                <w:strike w:val="false"/>
                <w:color w:val="000000"/>
                <w:sz w:val="22"/>
                <w:szCs w:val="22"/>
              </w:rPr>
              <w:t xml:space="preserve">Earn XP.</w:t>
            </w:r>
            <w:r>
              <w:rPr>
                <w:rFonts w:ascii="Calibri" w:cs="Calibri" w:eastAsia="Calibri" w:hAnsi="Calibri"/>
                <w:b w:val="false"/>
                <w:bCs w:val="false"/>
                <w:i w:val="false"/>
                <w:iCs w:val="false"/>
                <w:strike w:val="false"/>
                <w:color w:val="000000"/>
                <w:sz w:val="22"/>
                <w:szCs w:val="22"/>
              </w:rPr>
              <w:t xml:space="preserve"> Start contributing from day one — vote, compete, refer, and build.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Govern.</w:t>
            </w:r>
            <w:r>
              <w:rPr>
                <w:rFonts w:ascii="Calibri" w:cs="Calibri" w:eastAsia="Calibri" w:hAnsi="Calibri"/>
                <w:b w:val="false"/>
                <w:bCs w:val="false"/>
                <w:i w:val="false"/>
                <w:iCs w:val="false"/>
                <w:strike w:val="false"/>
                <w:color w:val="000000"/>
                <w:sz w:val="22"/>
                <w:szCs w:val="22"/>
              </w:rPr>
              <w:t xml:space="preserve"> Your voice shapes everything: charity recipients, treasury decisions, partnership approvals, and the direction of the roadmap.</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Rise.</w:t>
            </w:r>
            <w:r>
              <w:rPr>
                <w:rFonts w:ascii="Calibri" w:cs="Calibri" w:eastAsia="Calibri" w:hAnsi="Calibri"/>
                <w:b w:val="false"/>
                <w:bCs w:val="false"/>
                <w:i w:val="false"/>
                <w:iCs w:val="false"/>
                <w:strike w:val="false"/>
                <w:color w:val="000000"/>
                <w:sz w:val="22"/>
                <w:szCs w:val="22"/>
              </w:rPr>
              <w:t xml:space="preserve"> From Rookie to Degen Legend, the leaderboard is open to everyone willing to put in the work.</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Build.</w:t>
            </w:r>
            <w:r>
              <w:rPr>
                <w:rFonts w:ascii="Calibri" w:cs="Calibri" w:eastAsia="Calibri" w:hAnsi="Calibri"/>
                <w:b w:val="false"/>
                <w:bCs w:val="false"/>
                <w:i w:val="false"/>
                <w:iCs w:val="false"/>
                <w:strike w:val="false"/>
                <w:color w:val="000000"/>
                <w:sz w:val="22"/>
                <w:szCs w:val="22"/>
              </w:rPr>
              <w:t xml:space="preserve"> High-XP developers can apply for community grants and help expand the ecosystem from the inside.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Degen Ecosystem is not a product. It is a community you co-own. Come build it with us.</w:t>
            </w:r>
          </w:p>
        </w:tc>
      </w:tr>
    </w:tbl>
    <w:p>
      <w:pPr>
        <w:spacing w:after="240" w:before="0"/>
      </w:pPr>
    </w:p>
    <w:p>
      <w:pPr>
        <w:pBdr>
          <w:bottom w:val="single" w:color="1A3A6B" w:sz="6"/>
        </w:pBdr>
        <w:spacing w:after="240" w:before="240"/>
      </w:pPr>
    </w:p>
    <w:p>
      <w:pPr>
        <w:spacing w:after="240" w:before="60" w:line="360" w:lineRule="auto"/>
        <w:jc w:val="center"/>
      </w:pPr>
      <w:r>
        <w:rPr>
          <w:rFonts w:ascii="Calibri" w:cs="Calibri" w:eastAsia="Calibri" w:hAnsi="Calibri"/>
          <w:b/>
          <w:bCs/>
          <w:i w:val="false"/>
          <w:iCs w:val="false"/>
          <w:strike w:val="false"/>
          <w:color w:val="000000"/>
          <w:sz w:val="22"/>
          <w:szCs w:val="22"/>
        </w:rPr>
        <w:t xml:space="preserve">Degen Ecosystem Whitepaper &amp; Tokenomics</w:t>
      </w:r>
      <w:r>
        <w:rPr>
          <w:rFonts w:ascii="Calibri" w:cs="Calibri" w:eastAsia="Calibri" w:hAnsi="Calibri"/>
          <w:b w:val="false"/>
          <w:bCs w:val="false"/>
          <w:i w:val="false"/>
          <w:iCs w:val="false"/>
          <w:strike w:val="false"/>
          <w:color w:val="000000"/>
          <w:sz w:val="22"/>
          <w:szCs w:val="22"/>
        </w:rPr>
        <w:t xml:space="preserve"> — Version 1.0 — September 25, 2026</w:t>
      </w:r>
    </w:p>
    <w:p>
      <w:pPr>
        <w:spacing w:after="240" w:before="60" w:line="360" w:lineRule="auto"/>
        <w:jc w:val="center"/>
      </w:pPr>
      <w:r>
        <w:rPr>
          <w:rFonts w:ascii="Calibri" w:cs="Calibri" w:eastAsia="Calibri" w:hAnsi="Calibri"/>
          <w:b w:val="false"/>
          <w:bCs w:val="false"/>
          <w:i w:val="false"/>
          <w:iCs w:val="false"/>
          <w:strike w:val="false"/>
          <w:color w:val="000000"/>
          <w:sz w:val="22"/>
          <w:szCs w:val="22"/>
        </w:rPr>
        <w:t xml:space="preserve">This document is subject to update. Always refer to the latest published version via the official Degen Ecosystem community dashboard.  |  </w:t>
      </w:r>
      <w:r>
        <w:rPr>
          <w:rFonts w:ascii="Consolas" w:cs="Consolas" w:eastAsia="Consolas" w:hAnsi="Consolas"/>
          <w:b/>
          <w:bCs/>
          <w:i w:val="false"/>
          <w:iCs w:val="false"/>
          <w:strike w:val="false"/>
          <w:color w:val="1A3A6B"/>
          <w:sz w:val="22"/>
          <w:szCs w:val="22"/>
          <w:shd w:fill="EAF0FB" w:color="auto" w:val="clear"/>
        </w:rPr>
        <w:t xml:space="preserve">$DDLR</w:t>
      </w:r>
      <w:r>
        <w:rPr>
          <w:rFonts w:ascii="Calibri" w:cs="Calibri" w:eastAsia="Calibri" w:hAnsi="Calibri"/>
          <w:b w:val="false"/>
          <w:bCs w:val="false"/>
          <w:i w:val="false"/>
          <w:iCs w:val="false"/>
          <w:strike w:val="false"/>
          <w:color w:val="000000"/>
          <w:sz w:val="22"/>
          <w:szCs w:val="22"/>
        </w:rPr>
        <w:t xml:space="preserve"> — Community-First. Participation-Driven. Transparent by Design.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uxg11ZCMnn9kojLxpCkya</dc:title>
  <dc:creator>Un-named</dc:creator>
  <dc:description>Generated document</dc:description>
  <cp:lastModifiedBy>Un-named</cp:lastModifiedBy>
  <cp:revision>1</cp:revision>
  <dcterms:created xsi:type="dcterms:W3CDTF">2026-09-25T22:04:31.147Z</dcterms:created>
  <dcterms:modified xsi:type="dcterms:W3CDTF">2026-09-25T22:04:31.147Z</dcterms:modified>
</cp:coreProperties>
</file>

<file path=docProps/custom.xml><?xml version="1.0" encoding="utf-8"?>
<Properties xmlns="http://schemas.openxmlformats.org/officeDocument/2006/custom-properties" xmlns:vt="http://schemas.openxmlformats.org/officeDocument/2006/docPropsVTypes"/>
</file>