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b/>
          <w:bCs/>
          <w:color w:val="F59E0B"/>
          <w:sz w:val="56"/>
          <w:szCs w:val="56"/>
        </w:rPr>
        <w:t xml:space="preserve">AWR Insight Portal v2</w:t>
      </w:r>
    </w:p>
    <w:p>
      <w:pPr>
        <w:spacing w:after="400" w:before="0"/>
        <w:jc w:val="center"/>
      </w:pPr>
      <w:r>
        <w:rPr>
          <w:b/>
          <w:bCs/>
          <w:color w:val="1E293B"/>
          <w:sz w:val="36"/>
          <w:szCs w:val="36"/>
        </w:rPr>
        <w:t xml:space="preserve">User Guide</w:t>
      </w:r>
    </w:p>
    <w:p>
      <w:pPr>
        <w:spacing w:after="2880" w:before="0"/>
        <w:jc w:val="center"/>
      </w:pPr>
      <w:r>
        <w:rPr>
          <w:color w:val="CBD5E1"/>
          <w:sz w:val="22"/>
          <w:szCs w:val="22"/>
        </w:rPr>
        <w:t xml:space="preserve">July 2026</w:t>
      </w:r>
    </w:p>
    <w:p>
      <w:r>
        <w:br w:type="page"/>
      </w:r>
    </w:p>
    <w:p>
      <w:pPr>
        <w:pStyle w:val="Heading1"/>
        <w:spacing w:after="120" w:before="360"/>
      </w:pPr>
      <w:r>
        <w:t xml:space="preserve">1. Getting Started</w:t>
      </w:r>
    </w:p>
    <w:p>
      <w:pPr>
        <w:spacing w:after="60" w:before="60"/>
      </w:pPr>
      <w:r>
        <w:rPr>
          <w:color w:val="334155"/>
          <w:sz w:val="20"/>
          <w:szCs w:val="20"/>
        </w:rPr>
        <w:t xml:space="preserve">Access the portal at http://localhost:8000. Log in with your username and password. The default admin credentials are admin / Admin@123 — change these on first login.</w:t>
      </w:r>
    </w:p>
    <w:p>
      <w:pPr>
        <w:spacing w:after="40" w:before="120"/>
      </w:pPr>
    </w:p>
    <w:p>
      <w:pPr>
        <w:pStyle w:val="Heading2"/>
        <w:spacing w:after="80" w:before="240"/>
      </w:pPr>
      <w:r>
        <w:t xml:space="preserve">1.1 Navigation 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E293B" w:val="clear"/>
          </w:tcPr>
          <w:p>
            <w:pPr>
              <w:spacing w:after="60" w:before="60"/>
            </w:pPr>
            <w:r>
              <w:rPr>
                <w:b/>
                <w:bCs/>
                <w:color w:val="FFFFFF"/>
                <w:sz w:val="18"/>
                <w:szCs w:val="18"/>
              </w:rPr>
              <w:t xml:space="preserve">Link</w:t>
            </w:r>
          </w:p>
        </w:tc>
        <w:tc>
          <w:tcPr>
            <w:tcW w:type="dxa" w:w="7000"/>
            <w:shd w:fill="1E293B" w:val="clear"/>
          </w:tcPr>
          <w:p>
            <w:pPr>
              <w:spacing w:after="60" w:before="60"/>
            </w:pPr>
            <w:r>
              <w:rPr>
                <w:b/>
                <w:bCs/>
                <w:color w:val="FFFFFF"/>
                <w:sz w:val="18"/>
                <w:szCs w:val="18"/>
              </w:rPr>
              <w:t xml:space="preserve">Description</w:t>
            </w:r>
          </w:p>
        </w:tc>
      </w:tr>
      <w:tr>
        <w:trPr>
          <w:tblHeader w:val="false"/>
        </w:trPr>
        <w:tc>
          <w:tcPr>
            <w:tcW w:type="dxa" w:w="2000"/>
            <w:shd w:fill="FFFFFF" w:val="clear"/>
          </w:tcPr>
          <w:p>
            <w:pPr>
              <w:spacing w:after="60" w:before="60"/>
            </w:pPr>
            <w:r>
              <w:rPr>
                <w:b w:val="false"/>
                <w:bCs w:val="false"/>
                <w:color w:val="334155"/>
                <w:sz w:val="18"/>
                <w:szCs w:val="18"/>
              </w:rPr>
              <w:t xml:space="preserve">🏠 Home</w:t>
            </w:r>
          </w:p>
        </w:tc>
        <w:tc>
          <w:tcPr>
            <w:tcW w:type="dxa" w:w="7000"/>
            <w:shd w:fill="FFFFFF" w:val="clear"/>
          </w:tcPr>
          <w:p>
            <w:pPr>
              <w:spacing w:after="60" w:before="60"/>
            </w:pPr>
            <w:r>
              <w:rPr>
                <w:b w:val="false"/>
                <w:bCs w:val="false"/>
                <w:color w:val="334155"/>
                <w:sz w:val="18"/>
                <w:szCs w:val="18"/>
              </w:rPr>
              <w:t xml:space="preserve">Dashboard overview, queue stats, service control</w:t>
            </w:r>
          </w:p>
        </w:tc>
      </w:tr>
      <w:tr>
        <w:trPr>
          <w:tblHeader w:val="false"/>
        </w:trPr>
        <w:tc>
          <w:tcPr>
            <w:tcW w:type="dxa" w:w="2000"/>
            <w:shd w:fill="FFFFFF" w:val="clear"/>
          </w:tcPr>
          <w:p>
            <w:pPr>
              <w:spacing w:after="60" w:before="60"/>
            </w:pPr>
            <w:r>
              <w:rPr>
                <w:b w:val="false"/>
                <w:bCs w:val="false"/>
                <w:color w:val="334155"/>
                <w:sz w:val="18"/>
                <w:szCs w:val="18"/>
              </w:rPr>
              <w:t xml:space="preserve">📤 Upload AWR</w:t>
            </w:r>
          </w:p>
        </w:tc>
        <w:tc>
          <w:tcPr>
            <w:tcW w:type="dxa" w:w="7000"/>
            <w:shd w:fill="FFFFFF" w:val="clear"/>
          </w:tcPr>
          <w:p>
            <w:pPr>
              <w:spacing w:after="60" w:before="60"/>
            </w:pPr>
            <w:r>
              <w:rPr>
                <w:b w:val="false"/>
                <w:bCs w:val="false"/>
                <w:color w:val="334155"/>
                <w:sz w:val="18"/>
                <w:szCs w:val="18"/>
              </w:rPr>
              <w:t xml:space="preserve">Upload Oracle AWR HTML reports for parsing</w:t>
            </w:r>
          </w:p>
        </w:tc>
      </w:tr>
      <w:tr>
        <w:trPr>
          <w:tblHeader w:val="false"/>
        </w:trPr>
        <w:tc>
          <w:tcPr>
            <w:tcW w:type="dxa" w:w="2000"/>
            <w:shd w:fill="FFFFFF" w:val="clear"/>
          </w:tcPr>
          <w:p>
            <w:pPr>
              <w:spacing w:after="60" w:before="60"/>
            </w:pPr>
            <w:r>
              <w:rPr>
                <w:b w:val="false"/>
                <w:bCs w:val="false"/>
                <w:color w:val="334155"/>
                <w:sz w:val="18"/>
                <w:szCs w:val="18"/>
              </w:rPr>
              <w:t xml:space="preserve">📤 Upload SAR</w:t>
            </w:r>
          </w:p>
        </w:tc>
        <w:tc>
          <w:tcPr>
            <w:tcW w:type="dxa" w:w="7000"/>
            <w:shd w:fill="FFFFFF" w:val="clear"/>
          </w:tcPr>
          <w:p>
            <w:pPr>
              <w:spacing w:after="60" w:before="60"/>
            </w:pPr>
            <w:r>
              <w:rPr>
                <w:b w:val="false"/>
                <w:bCs w:val="false"/>
                <w:color w:val="334155"/>
                <w:sz w:val="18"/>
                <w:szCs w:val="18"/>
              </w:rPr>
              <w:t xml:space="preserve">Upload Linux SAR files for parsing</w:t>
            </w:r>
          </w:p>
        </w:tc>
      </w:tr>
      <w:tr>
        <w:trPr>
          <w:tblHeader w:val="false"/>
        </w:trPr>
        <w:tc>
          <w:tcPr>
            <w:tcW w:type="dxa" w:w="2000"/>
            <w:shd w:fill="FFFFFF" w:val="clear"/>
          </w:tcPr>
          <w:p>
            <w:pPr>
              <w:spacing w:after="60" w:before="60"/>
            </w:pPr>
            <w:r>
              <w:rPr>
                <w:b w:val="false"/>
                <w:bCs w:val="false"/>
                <w:color w:val="334155"/>
                <w:sz w:val="18"/>
                <w:szCs w:val="18"/>
              </w:rPr>
              <w:t xml:space="preserve">📊 Queue Monitor</w:t>
            </w:r>
          </w:p>
        </w:tc>
        <w:tc>
          <w:tcPr>
            <w:tcW w:type="dxa" w:w="7000"/>
            <w:shd w:fill="FFFFFF" w:val="clear"/>
          </w:tcPr>
          <w:p>
            <w:pPr>
              <w:spacing w:after="60" w:before="60"/>
            </w:pPr>
            <w:r>
              <w:rPr>
                <w:b w:val="false"/>
                <w:bCs w:val="false"/>
                <w:color w:val="334155"/>
                <w:sz w:val="18"/>
                <w:szCs w:val="18"/>
              </w:rPr>
              <w:t xml:space="preserve">View AWR and SAR queue status</w:t>
            </w:r>
          </w:p>
        </w:tc>
      </w:tr>
      <w:tr>
        <w:trPr>
          <w:tblHeader w:val="false"/>
        </w:trPr>
        <w:tc>
          <w:tcPr>
            <w:tcW w:type="dxa" w:w="2000"/>
            <w:shd w:fill="FFFFFF" w:val="clear"/>
          </w:tcPr>
          <w:p>
            <w:pPr>
              <w:spacing w:after="60" w:before="60"/>
            </w:pPr>
            <w:r>
              <w:rPr>
                <w:b w:val="false"/>
                <w:bCs w:val="false"/>
                <w:color w:val="334155"/>
                <w:sz w:val="18"/>
                <w:szCs w:val="18"/>
              </w:rPr>
              <w:t xml:space="preserve">🔍 SQL Search</w:t>
            </w:r>
          </w:p>
        </w:tc>
        <w:tc>
          <w:tcPr>
            <w:tcW w:type="dxa" w:w="7000"/>
            <w:shd w:fill="FFFFFF" w:val="clear"/>
          </w:tcPr>
          <w:p>
            <w:pPr>
              <w:spacing w:after="60" w:before="60"/>
            </w:pPr>
            <w:r>
              <w:rPr>
                <w:b w:val="false"/>
                <w:bCs w:val="false"/>
                <w:color w:val="334155"/>
                <w:sz w:val="18"/>
                <w:szCs w:val="18"/>
              </w:rPr>
              <w:t xml:space="preserve">Search by SQL ID or text across all databases</w:t>
            </w:r>
          </w:p>
        </w:tc>
      </w:tr>
      <w:tr>
        <w:trPr>
          <w:tblHeader w:val="false"/>
        </w:trPr>
        <w:tc>
          <w:tcPr>
            <w:tcW w:type="dxa" w:w="2000"/>
            <w:shd w:fill="FFFFFF" w:val="clear"/>
          </w:tcPr>
          <w:p>
            <w:pPr>
              <w:spacing w:after="60" w:before="60"/>
            </w:pPr>
            <w:r>
              <w:rPr>
                <w:b w:val="false"/>
                <w:bCs w:val="false"/>
                <w:color w:val="334155"/>
                <w:sz w:val="18"/>
                <w:szCs w:val="18"/>
              </w:rPr>
              <w:t xml:space="preserve">📋 Exec Plan</w:t>
            </w:r>
          </w:p>
        </w:tc>
        <w:tc>
          <w:tcPr>
            <w:tcW w:type="dxa" w:w="7000"/>
            <w:shd w:fill="FFFFFF" w:val="clear"/>
          </w:tcPr>
          <w:p>
            <w:pPr>
              <w:spacing w:after="60" w:before="60"/>
            </w:pPr>
            <w:r>
              <w:rPr>
                <w:b w:val="false"/>
                <w:bCs w:val="false"/>
                <w:color w:val="334155"/>
                <w:sz w:val="18"/>
                <w:szCs w:val="18"/>
              </w:rPr>
              <w:t xml:space="preserve">Execution plan upload and comparison</w:t>
            </w:r>
          </w:p>
        </w:tc>
      </w:tr>
      <w:tr>
        <w:trPr>
          <w:tblHeader w:val="false"/>
        </w:trPr>
        <w:tc>
          <w:tcPr>
            <w:tcW w:type="dxa" w:w="2000"/>
            <w:shd w:fill="FFFFFF" w:val="clear"/>
          </w:tcPr>
          <w:p>
            <w:pPr>
              <w:spacing w:after="60" w:before="60"/>
            </w:pPr>
            <w:r>
              <w:rPr>
                <w:b w:val="false"/>
                <w:bCs w:val="false"/>
                <w:color w:val="334155"/>
                <w:sz w:val="18"/>
                <w:szCs w:val="18"/>
              </w:rPr>
              <w:t xml:space="preserve">🔄 Comparison</w:t>
            </w:r>
          </w:p>
        </w:tc>
        <w:tc>
          <w:tcPr>
            <w:tcW w:type="dxa" w:w="7000"/>
            <w:shd w:fill="FFFFFF" w:val="clear"/>
          </w:tcPr>
          <w:p>
            <w:pPr>
              <w:spacing w:after="60" w:before="60"/>
            </w:pPr>
            <w:r>
              <w:rPr>
                <w:b w:val="false"/>
                <w:bCs w:val="false"/>
                <w:color w:val="334155"/>
                <w:sz w:val="18"/>
                <w:szCs w:val="18"/>
              </w:rPr>
              <w:t xml:space="preserve">AWR Before/After snapshot comparison</w:t>
            </w:r>
          </w:p>
        </w:tc>
      </w:tr>
      <w:tr>
        <w:trPr>
          <w:tblHeader w:val="false"/>
        </w:trPr>
        <w:tc>
          <w:tcPr>
            <w:tcW w:type="dxa" w:w="2000"/>
            <w:shd w:fill="FFFFFF" w:val="clear"/>
          </w:tcPr>
          <w:p>
            <w:pPr>
              <w:spacing w:after="60" w:before="60"/>
            </w:pPr>
            <w:r>
              <w:rPr>
                <w:b w:val="false"/>
                <w:bCs w:val="false"/>
                <w:color w:val="334155"/>
                <w:sz w:val="18"/>
                <w:szCs w:val="18"/>
              </w:rPr>
              <w:t xml:space="preserve">🤖 AI Recs</w:t>
            </w:r>
          </w:p>
        </w:tc>
        <w:tc>
          <w:tcPr>
            <w:tcW w:type="dxa" w:w="7000"/>
            <w:shd w:fill="FFFFFF" w:val="clear"/>
          </w:tcPr>
          <w:p>
            <w:pPr>
              <w:spacing w:after="60" w:before="60"/>
            </w:pPr>
            <w:r>
              <w:rPr>
                <w:b w:val="false"/>
                <w:bCs w:val="false"/>
                <w:color w:val="334155"/>
                <w:sz w:val="18"/>
                <w:szCs w:val="18"/>
              </w:rPr>
              <w:t xml:space="preserve">AI-powered performance recommendations</w:t>
            </w:r>
          </w:p>
        </w:tc>
      </w:tr>
      <w:tr>
        <w:trPr>
          <w:tblHeader w:val="false"/>
        </w:trPr>
        <w:tc>
          <w:tcPr>
            <w:tcW w:type="dxa" w:w="2000"/>
            <w:shd w:fill="FFFFFF" w:val="clear"/>
          </w:tcPr>
          <w:p>
            <w:pPr>
              <w:spacing w:after="60" w:before="60"/>
            </w:pPr>
            <w:r>
              <w:rPr>
                <w:b w:val="false"/>
                <w:bCs w:val="false"/>
                <w:color w:val="334155"/>
                <w:sz w:val="18"/>
                <w:szCs w:val="18"/>
              </w:rPr>
              <w:t xml:space="preserve">📚 Metadata</w:t>
            </w:r>
          </w:p>
        </w:tc>
        <w:tc>
          <w:tcPr>
            <w:tcW w:type="dxa" w:w="7000"/>
            <w:shd w:fill="FFFFFF" w:val="clear"/>
          </w:tcPr>
          <w:p>
            <w:pPr>
              <w:spacing w:after="60" w:before="60"/>
            </w:pPr>
            <w:r>
              <w:rPr>
                <w:b w:val="false"/>
                <w:bCs w:val="false"/>
                <w:color w:val="334155"/>
                <w:sz w:val="18"/>
                <w:szCs w:val="18"/>
              </w:rPr>
              <w:t xml:space="preserve">Oracle object metadata upload and management</w:t>
            </w:r>
          </w:p>
        </w:tc>
      </w:tr>
      <w:tr>
        <w:trPr>
          <w:tblHeader w:val="false"/>
        </w:trPr>
        <w:tc>
          <w:tcPr>
            <w:tcW w:type="dxa" w:w="2000"/>
            <w:shd w:fill="FFFFFF" w:val="clear"/>
          </w:tcPr>
          <w:p>
            <w:pPr>
              <w:spacing w:after="60" w:before="60"/>
            </w:pPr>
            <w:r>
              <w:rPr>
                <w:b w:val="false"/>
                <w:bCs w:val="false"/>
                <w:color w:val="334155"/>
                <w:sz w:val="18"/>
                <w:szCs w:val="18"/>
              </w:rPr>
              <w:t xml:space="preserve">⚙️ Settings</w:t>
            </w:r>
          </w:p>
        </w:tc>
        <w:tc>
          <w:tcPr>
            <w:tcW w:type="dxa" w:w="7000"/>
            <w:shd w:fill="FFFFFF" w:val="clear"/>
          </w:tcPr>
          <w:p>
            <w:pPr>
              <w:spacing w:after="60" w:before="60"/>
            </w:pPr>
            <w:r>
              <w:rPr>
                <w:b w:val="false"/>
                <w:bCs w:val="false"/>
                <w:color w:val="334155"/>
                <w:sz w:val="18"/>
                <w:szCs w:val="18"/>
              </w:rPr>
              <w:t xml:space="preserve">Portal configuration and user management</w:t>
            </w:r>
          </w:p>
        </w:tc>
      </w:tr>
      <w:tr>
        <w:trPr>
          <w:tblHeader w:val="false"/>
        </w:trPr>
        <w:tc>
          <w:tcPr>
            <w:tcW w:type="dxa" w:w="2000"/>
            <w:shd w:fill="FFFFFF" w:val="clear"/>
          </w:tcPr>
          <w:p>
            <w:pPr>
              <w:spacing w:after="60" w:before="60"/>
            </w:pPr>
            <w:r>
              <w:rPr>
                <w:b w:val="false"/>
                <w:bCs w:val="false"/>
                <w:color w:val="334155"/>
                <w:sz w:val="18"/>
                <w:szCs w:val="18"/>
              </w:rPr>
              <w:t xml:space="preserve">📖 User Guide</w:t>
            </w:r>
          </w:p>
        </w:tc>
        <w:tc>
          <w:tcPr>
            <w:tcW w:type="dxa" w:w="7000"/>
            <w:shd w:fill="FFFFFF" w:val="clear"/>
          </w:tcPr>
          <w:p>
            <w:pPr>
              <w:spacing w:after="60" w:before="60"/>
            </w:pPr>
            <w:r>
              <w:rPr>
                <w:b w:val="false"/>
                <w:bCs w:val="false"/>
                <w:color w:val="334155"/>
                <w:sz w:val="18"/>
                <w:szCs w:val="18"/>
              </w:rPr>
              <w:t xml:space="preserve">Download this user guide</w:t>
            </w:r>
          </w:p>
        </w:tc>
      </w:tr>
    </w:tbl>
    <w:p>
      <w:pPr>
        <w:spacing w:after="40" w:before="120"/>
      </w:pPr>
    </w:p>
    <w:p>
      <w:r>
        <w:br w:type="page"/>
      </w:r>
    </w:p>
    <w:p>
      <w:pPr>
        <w:pStyle w:val="Heading1"/>
        <w:spacing w:after="120" w:before="360"/>
      </w:pPr>
      <w:r>
        <w:t xml:space="preserve">2. Home Page</w:t>
      </w:r>
    </w:p>
    <w:p>
      <w:pPr>
        <w:pStyle w:val="Heading2"/>
        <w:spacing w:after="80" w:before="240"/>
      </w:pPr>
      <w:r>
        <w:t xml:space="preserve">2.1 Stats Bar</w:t>
      </w:r>
    </w:p>
    <w:p>
      <w:pPr>
        <w:spacing w:after="60" w:before="60"/>
      </w:pPr>
      <w:r>
        <w:rPr>
          <w:color w:val="334155"/>
          <w:sz w:val="20"/>
          <w:szCs w:val="20"/>
        </w:rPr>
        <w:t xml:space="preserve">The top row shows 10 real-time counters — refreshed every 15 seconds: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E293B" w:val="clear"/>
          </w:tcPr>
          <w:p>
            <w:pPr>
              <w:spacing w:after="60" w:before="60"/>
            </w:pPr>
            <w:r>
              <w:rPr>
                <w:b/>
                <w:bCs/>
                <w:color w:val="FFFFFF"/>
                <w:sz w:val="18"/>
                <w:szCs w:val="18"/>
              </w:rPr>
              <w:t xml:space="preserve">Counter</w:t>
            </w:r>
          </w:p>
        </w:tc>
        <w:tc>
          <w:tcPr>
            <w:tcW w:type="dxa" w:w="7000"/>
            <w:shd w:fill="1E293B" w:val="clear"/>
          </w:tcPr>
          <w:p>
            <w:pPr>
              <w:spacing w:after="60" w:before="60"/>
            </w:pPr>
            <w:r>
              <w:rPr>
                <w:b/>
                <w:bCs/>
                <w:color w:val="FFFFFF"/>
                <w:sz w:val="18"/>
                <w:szCs w:val="18"/>
              </w:rPr>
              <w:t xml:space="preserve">Meaning</w:t>
            </w:r>
          </w:p>
        </w:tc>
      </w:tr>
      <w:tr>
        <w:trPr>
          <w:tblHeader w:val="false"/>
        </w:trPr>
        <w:tc>
          <w:tcPr>
            <w:tcW w:type="dxa" w:w="2000"/>
            <w:shd w:fill="FFFFFF" w:val="clear"/>
          </w:tcPr>
          <w:p>
            <w:pPr>
              <w:spacing w:after="60" w:before="60"/>
            </w:pPr>
            <w:r>
              <w:rPr>
                <w:b w:val="false"/>
                <w:bCs w:val="false"/>
                <w:color w:val="334155"/>
                <w:sz w:val="18"/>
                <w:szCs w:val="18"/>
              </w:rPr>
              <w:t xml:space="preserve">AWR Pending</w:t>
            </w:r>
          </w:p>
        </w:tc>
        <w:tc>
          <w:tcPr>
            <w:tcW w:type="dxa" w:w="7000"/>
            <w:shd w:fill="FFFFFF" w:val="clear"/>
          </w:tcPr>
          <w:p>
            <w:pPr>
              <w:spacing w:after="60" w:before="60"/>
            </w:pPr>
            <w:r>
              <w:rPr>
                <w:b w:val="false"/>
                <w:bCs w:val="false"/>
                <w:color w:val="334155"/>
                <w:sz w:val="18"/>
                <w:szCs w:val="18"/>
              </w:rPr>
              <w:t xml:space="preserve">AWR files queued, waiting to be parsed</w:t>
            </w:r>
          </w:p>
        </w:tc>
      </w:tr>
      <w:tr>
        <w:trPr>
          <w:tblHeader w:val="false"/>
        </w:trPr>
        <w:tc>
          <w:tcPr>
            <w:tcW w:type="dxa" w:w="2000"/>
            <w:shd w:fill="FFFFFF" w:val="clear"/>
          </w:tcPr>
          <w:p>
            <w:pPr>
              <w:spacing w:after="60" w:before="60"/>
            </w:pPr>
            <w:r>
              <w:rPr>
                <w:b w:val="false"/>
                <w:bCs w:val="false"/>
                <w:color w:val="334155"/>
                <w:sz w:val="18"/>
                <w:szCs w:val="18"/>
              </w:rPr>
              <w:t xml:space="preserve">AWR Processing</w:t>
            </w:r>
          </w:p>
        </w:tc>
        <w:tc>
          <w:tcPr>
            <w:tcW w:type="dxa" w:w="7000"/>
            <w:shd w:fill="FFFFFF" w:val="clear"/>
          </w:tcPr>
          <w:p>
            <w:pPr>
              <w:spacing w:after="60" w:before="60"/>
            </w:pPr>
            <w:r>
              <w:rPr>
                <w:b w:val="false"/>
                <w:bCs w:val="false"/>
                <w:color w:val="334155"/>
                <w:sz w:val="18"/>
                <w:szCs w:val="18"/>
              </w:rPr>
              <w:t xml:space="preserve">AWR files currently being parsed</w:t>
            </w:r>
          </w:p>
        </w:tc>
      </w:tr>
      <w:tr>
        <w:trPr>
          <w:tblHeader w:val="false"/>
        </w:trPr>
        <w:tc>
          <w:tcPr>
            <w:tcW w:type="dxa" w:w="2000"/>
            <w:shd w:fill="FFFFFF" w:val="clear"/>
          </w:tcPr>
          <w:p>
            <w:pPr>
              <w:spacing w:after="60" w:before="60"/>
            </w:pPr>
            <w:r>
              <w:rPr>
                <w:b w:val="false"/>
                <w:bCs w:val="false"/>
                <w:color w:val="334155"/>
                <w:sz w:val="18"/>
                <w:szCs w:val="18"/>
              </w:rPr>
              <w:t xml:space="preserve">AWR Done</w:t>
            </w:r>
          </w:p>
        </w:tc>
        <w:tc>
          <w:tcPr>
            <w:tcW w:type="dxa" w:w="7000"/>
            <w:shd w:fill="FFFFFF" w:val="clear"/>
          </w:tcPr>
          <w:p>
            <w:pPr>
              <w:spacing w:after="60" w:before="60"/>
            </w:pPr>
            <w:r>
              <w:rPr>
                <w:b w:val="false"/>
                <w:bCs w:val="false"/>
                <w:color w:val="334155"/>
                <w:sz w:val="18"/>
                <w:szCs w:val="18"/>
              </w:rPr>
              <w:t xml:space="preserve">AWR files successfully parsed</w:t>
            </w:r>
          </w:p>
        </w:tc>
      </w:tr>
      <w:tr>
        <w:trPr>
          <w:tblHeader w:val="false"/>
        </w:trPr>
        <w:tc>
          <w:tcPr>
            <w:tcW w:type="dxa" w:w="2000"/>
            <w:shd w:fill="FFFFFF" w:val="clear"/>
          </w:tcPr>
          <w:p>
            <w:pPr>
              <w:spacing w:after="60" w:before="60"/>
            </w:pPr>
            <w:r>
              <w:rPr>
                <w:b w:val="false"/>
                <w:bCs w:val="false"/>
                <w:color w:val="334155"/>
                <w:sz w:val="18"/>
                <w:szCs w:val="18"/>
              </w:rPr>
              <w:t xml:space="preserve">AWR Failed</w:t>
            </w:r>
          </w:p>
        </w:tc>
        <w:tc>
          <w:tcPr>
            <w:tcW w:type="dxa" w:w="7000"/>
            <w:shd w:fill="FFFFFF" w:val="clear"/>
          </w:tcPr>
          <w:p>
            <w:pPr>
              <w:spacing w:after="60" w:before="60"/>
            </w:pPr>
            <w:r>
              <w:rPr>
                <w:b w:val="false"/>
                <w:bCs w:val="false"/>
                <w:color w:val="334155"/>
                <w:sz w:val="18"/>
                <w:szCs w:val="18"/>
              </w:rPr>
              <w:t xml:space="preserve">AWR files that failed — check Queue Monitor for errors</w:t>
            </w:r>
          </w:p>
        </w:tc>
      </w:tr>
      <w:tr>
        <w:trPr>
          <w:tblHeader w:val="false"/>
        </w:trPr>
        <w:tc>
          <w:tcPr>
            <w:tcW w:type="dxa" w:w="2000"/>
            <w:shd w:fill="FFFFFF" w:val="clear"/>
          </w:tcPr>
          <w:p>
            <w:pPr>
              <w:spacing w:after="60" w:before="60"/>
            </w:pPr>
            <w:r>
              <w:rPr>
                <w:b w:val="false"/>
                <w:bCs w:val="false"/>
                <w:color w:val="334155"/>
                <w:sz w:val="18"/>
                <w:szCs w:val="18"/>
              </w:rPr>
              <w:t xml:space="preserve">Databases</w:t>
            </w:r>
          </w:p>
        </w:tc>
        <w:tc>
          <w:tcPr>
            <w:tcW w:type="dxa" w:w="7000"/>
            <w:shd w:fill="FFFFFF" w:val="clear"/>
          </w:tcPr>
          <w:p>
            <w:pPr>
              <w:spacing w:after="60" w:before="60"/>
            </w:pPr>
            <w:r>
              <w:rPr>
                <w:b w:val="false"/>
                <w:bCs w:val="false"/>
                <w:color w:val="334155"/>
                <w:sz w:val="18"/>
                <w:szCs w:val="18"/>
              </w:rPr>
              <w:t xml:space="preserve">Number of distinct Oracle databases in the portal</w:t>
            </w:r>
          </w:p>
        </w:tc>
      </w:tr>
      <w:tr>
        <w:trPr>
          <w:tblHeader w:val="false"/>
        </w:trPr>
        <w:tc>
          <w:tcPr>
            <w:tcW w:type="dxa" w:w="2000"/>
            <w:shd w:fill="FFFFFF" w:val="clear"/>
          </w:tcPr>
          <w:p>
            <w:pPr>
              <w:spacing w:after="60" w:before="60"/>
            </w:pPr>
            <w:r>
              <w:rPr>
                <w:b w:val="false"/>
                <w:bCs w:val="false"/>
                <w:color w:val="334155"/>
                <w:sz w:val="18"/>
                <w:szCs w:val="18"/>
              </w:rPr>
              <w:t xml:space="preserve">SAR Pending</w:t>
            </w:r>
          </w:p>
        </w:tc>
        <w:tc>
          <w:tcPr>
            <w:tcW w:type="dxa" w:w="7000"/>
            <w:shd w:fill="FFFFFF" w:val="clear"/>
          </w:tcPr>
          <w:p>
            <w:pPr>
              <w:spacing w:after="60" w:before="60"/>
            </w:pPr>
            <w:r>
              <w:rPr>
                <w:b w:val="false"/>
                <w:bCs w:val="false"/>
                <w:color w:val="334155"/>
                <w:sz w:val="18"/>
                <w:szCs w:val="18"/>
              </w:rPr>
              <w:t xml:space="preserve">SAR files queued</w:t>
            </w:r>
          </w:p>
        </w:tc>
      </w:tr>
      <w:tr>
        <w:trPr>
          <w:tblHeader w:val="false"/>
        </w:trPr>
        <w:tc>
          <w:tcPr>
            <w:tcW w:type="dxa" w:w="2000"/>
            <w:shd w:fill="FFFFFF" w:val="clear"/>
          </w:tcPr>
          <w:p>
            <w:pPr>
              <w:spacing w:after="60" w:before="60"/>
            </w:pPr>
            <w:r>
              <w:rPr>
                <w:b w:val="false"/>
                <w:bCs w:val="false"/>
                <w:color w:val="334155"/>
                <w:sz w:val="18"/>
                <w:szCs w:val="18"/>
              </w:rPr>
              <w:t xml:space="preserve">SAR Processing</w:t>
            </w:r>
          </w:p>
        </w:tc>
        <w:tc>
          <w:tcPr>
            <w:tcW w:type="dxa" w:w="7000"/>
            <w:shd w:fill="FFFFFF" w:val="clear"/>
          </w:tcPr>
          <w:p>
            <w:pPr>
              <w:spacing w:after="60" w:before="60"/>
            </w:pPr>
            <w:r>
              <w:rPr>
                <w:b w:val="false"/>
                <w:bCs w:val="false"/>
                <w:color w:val="334155"/>
                <w:sz w:val="18"/>
                <w:szCs w:val="18"/>
              </w:rPr>
              <w:t xml:space="preserve">SAR files currently being parsed</w:t>
            </w:r>
          </w:p>
        </w:tc>
      </w:tr>
      <w:tr>
        <w:trPr>
          <w:tblHeader w:val="false"/>
        </w:trPr>
        <w:tc>
          <w:tcPr>
            <w:tcW w:type="dxa" w:w="2000"/>
            <w:shd w:fill="FFFFFF" w:val="clear"/>
          </w:tcPr>
          <w:p>
            <w:pPr>
              <w:spacing w:after="60" w:before="60"/>
            </w:pPr>
            <w:r>
              <w:rPr>
                <w:b w:val="false"/>
                <w:bCs w:val="false"/>
                <w:color w:val="334155"/>
                <w:sz w:val="18"/>
                <w:szCs w:val="18"/>
              </w:rPr>
              <w:t xml:space="preserve">SAR Done</w:t>
            </w:r>
          </w:p>
        </w:tc>
        <w:tc>
          <w:tcPr>
            <w:tcW w:type="dxa" w:w="7000"/>
            <w:shd w:fill="FFFFFF" w:val="clear"/>
          </w:tcPr>
          <w:p>
            <w:pPr>
              <w:spacing w:after="60" w:before="60"/>
            </w:pPr>
            <w:r>
              <w:rPr>
                <w:b w:val="false"/>
                <w:bCs w:val="false"/>
                <w:color w:val="334155"/>
                <w:sz w:val="18"/>
                <w:szCs w:val="18"/>
              </w:rPr>
              <w:t xml:space="preserve">SAR files successfully parsed</w:t>
            </w:r>
          </w:p>
        </w:tc>
      </w:tr>
      <w:tr>
        <w:trPr>
          <w:tblHeader w:val="false"/>
        </w:trPr>
        <w:tc>
          <w:tcPr>
            <w:tcW w:type="dxa" w:w="2000"/>
            <w:shd w:fill="FFFFFF" w:val="clear"/>
          </w:tcPr>
          <w:p>
            <w:pPr>
              <w:spacing w:after="60" w:before="60"/>
            </w:pPr>
            <w:r>
              <w:rPr>
                <w:b w:val="false"/>
                <w:bCs w:val="false"/>
                <w:color w:val="334155"/>
                <w:sz w:val="18"/>
                <w:szCs w:val="18"/>
              </w:rPr>
              <w:t xml:space="preserve">SAR Failed</w:t>
            </w:r>
          </w:p>
        </w:tc>
        <w:tc>
          <w:tcPr>
            <w:tcW w:type="dxa" w:w="7000"/>
            <w:shd w:fill="FFFFFF" w:val="clear"/>
          </w:tcPr>
          <w:p>
            <w:pPr>
              <w:spacing w:after="60" w:before="60"/>
            </w:pPr>
            <w:r>
              <w:rPr>
                <w:b w:val="false"/>
                <w:bCs w:val="false"/>
                <w:color w:val="334155"/>
                <w:sz w:val="18"/>
                <w:szCs w:val="18"/>
              </w:rPr>
              <w:t xml:space="preserve">SAR files that failed</w:t>
            </w:r>
          </w:p>
        </w:tc>
      </w:tr>
      <w:tr>
        <w:trPr>
          <w:tblHeader w:val="false"/>
        </w:trPr>
        <w:tc>
          <w:tcPr>
            <w:tcW w:type="dxa" w:w="2000"/>
            <w:shd w:fill="FFFFFF" w:val="clear"/>
          </w:tcPr>
          <w:p>
            <w:pPr>
              <w:spacing w:after="60" w:before="60"/>
            </w:pPr>
            <w:r>
              <w:rPr>
                <w:b w:val="false"/>
                <w:bCs w:val="false"/>
                <w:color w:val="334155"/>
                <w:sz w:val="18"/>
                <w:szCs w:val="18"/>
              </w:rPr>
              <w:t xml:space="preserve">Servers</w:t>
            </w:r>
          </w:p>
        </w:tc>
        <w:tc>
          <w:tcPr>
            <w:tcW w:type="dxa" w:w="7000"/>
            <w:shd w:fill="FFFFFF" w:val="clear"/>
          </w:tcPr>
          <w:p>
            <w:pPr>
              <w:spacing w:after="60" w:before="60"/>
            </w:pPr>
            <w:r>
              <w:rPr>
                <w:b w:val="false"/>
                <w:bCs w:val="false"/>
                <w:color w:val="334155"/>
                <w:sz w:val="18"/>
                <w:szCs w:val="18"/>
              </w:rPr>
              <w:t xml:space="preserve">Number of distinct Linux servers in the portal</w:t>
            </w:r>
          </w:p>
        </w:tc>
      </w:tr>
    </w:tbl>
    <w:p>
      <w:pPr>
        <w:spacing w:after="40" w:before="120"/>
      </w:pPr>
    </w:p>
    <w:p>
      <w:pPr>
        <w:pStyle w:val="Heading2"/>
        <w:spacing w:after="80" w:before="240"/>
      </w:pPr>
      <w:r>
        <w:t xml:space="preserve">2.2 Metadata Refresh Alert</w:t>
      </w:r>
    </w:p>
    <w:p>
      <w:pPr>
        <w:spacing w:after="60" w:before="60"/>
      </w:pPr>
      <w:r>
        <w:rPr>
          <w:color w:val="334155"/>
          <w:sz w:val="20"/>
          <w:szCs w:val="20"/>
        </w:rPr>
        <w:t xml:space="preserve">An amber banner appears on the home page when Oracle object metadata is overdue for any database. The alert shows which databases need updating and links to the Metadata upload page. Dismiss hides it until the next day.</w:t>
      </w:r>
    </w:p>
    <w:p>
      <w:pPr>
        <w:pBdr>
          <w:left w:val="single" w:color="3B82F6" w:sz="12"/>
        </w:pBdr>
        <w:shd w:fill="EFF6FF" w:val="clear"/>
        <w:spacing w:after="80" w:before="80"/>
        <w:ind w:left="400"/>
      </w:pPr>
      <w:r>
        <w:rPr>
          <w:b/>
          <w:bCs/>
          <w:color w:val="3B82F6"/>
          <w:sz w:val="20"/>
          <w:szCs w:val="20"/>
        </w:rPr>
        <w:t xml:space="preserve">ℹ  </w:t>
      </w:r>
      <w:r>
        <w:rPr>
          <w:color w:val="334155"/>
          <w:sz w:val="20"/>
          <w:szCs w:val="20"/>
        </w:rPr>
        <w:t xml:space="preserve">Configure the refresh frequency in Settings → Access Control → Metadata Refresh Frequency (Weekly / Fortnightly / Monthly). Default is Fortnightly.</w:t>
      </w:r>
    </w:p>
    <w:p>
      <w:pPr>
        <w:spacing w:after="40" w:before="120"/>
      </w:pPr>
    </w:p>
    <w:p>
      <w:pPr>
        <w:pStyle w:val="Heading2"/>
        <w:spacing w:after="80" w:before="240"/>
      </w:pPr>
      <w:r>
        <w:t xml:space="preserve">2.3 Dashboard Grid</w:t>
      </w:r>
    </w:p>
    <w:p>
      <w:pPr>
        <w:spacing w:after="60" w:before="60"/>
      </w:pPr>
      <w:r>
        <w:rPr>
          <w:color w:val="334155"/>
          <w:sz w:val="20"/>
          <w:szCs w:val="20"/>
        </w:rPr>
        <w:t xml:space="preserve">Three columns of clickable dashboard cards — AWR Analysis | SAR &amp; Correlation | Portal Tools. Each card shows the dashboard name and a brief description. Grafana dashboards open in a new tab. Portal tools open in the same tab.</w:t>
      </w:r>
    </w:p>
    <w:p>
      <w:pPr>
        <w:spacing w:after="40" w:before="120"/>
      </w:pPr>
    </w:p>
    <w:p>
      <w:pPr>
        <w:pStyle w:val="Heading2"/>
        <w:spacing w:after="80" w:before="240"/>
      </w:pPr>
      <w:r>
        <w:t xml:space="preserve">2.4 Service Control (Admin Only)</w:t>
      </w:r>
    </w:p>
    <w:p>
      <w:pPr>
        <w:spacing w:after="60" w:before="60"/>
      </w:pPr>
      <w:r>
        <w:rPr>
          <w:color w:val="334155"/>
          <w:sz w:val="20"/>
          <w:szCs w:val="20"/>
        </w:rPr>
        <w:t xml:space="preserve">Admin users see Start/Stop buttons for all portal services: Portal, AWR Watcher, SAR Watcher, Queue Processor, Grafana. Non-admin users see service status tiles only.</w:t>
      </w:r>
    </w:p>
    <w:p>
      <w:pPr>
        <w:spacing w:after="40" w:before="120"/>
      </w:pPr>
    </w:p>
    <w:p>
      <w:pPr>
        <w:pStyle w:val="Heading2"/>
        <w:spacing w:after="80" w:before="240"/>
      </w:pPr>
      <w:r>
        <w:t xml:space="preserve">2.5 Log Viewer</w:t>
      </w:r>
    </w:p>
    <w:p>
      <w:pPr>
        <w:spacing w:after="60" w:before="60"/>
      </w:pPr>
      <w:r>
        <w:rPr>
          <w:color w:val="334155"/>
          <w:sz w:val="20"/>
          <w:szCs w:val="20"/>
        </w:rPr>
        <w:t xml:space="preserve">Select a log from the dropdown to view the last 50 lines: Portal / AWR Watcher / SAR Watcher / Queue Processor / Anomaly Detection.</w:t>
      </w:r>
    </w:p>
    <w:p>
      <w:pPr>
        <w:spacing w:after="40" w:before="120"/>
      </w:pPr>
    </w:p>
    <w:p>
      <w:r>
        <w:br w:type="page"/>
      </w:r>
    </w:p>
    <w:p>
      <w:pPr>
        <w:pStyle w:val="Heading1"/>
        <w:spacing w:after="120" w:before="360"/>
      </w:pPr>
      <w:r>
        <w:t xml:space="preserve">3. Uploading Reports</w:t>
      </w:r>
    </w:p>
    <w:p>
      <w:pPr>
        <w:pStyle w:val="Heading2"/>
        <w:spacing w:after="80" w:before="240"/>
      </w:pPr>
      <w:r>
        <w:t xml:space="preserve">3.1 AWR Reports</w:t>
      </w:r>
    </w:p>
    <w:p>
      <w:pPr>
        <w:spacing w:after="60" w:before="60"/>
      </w:pPr>
      <w:r>
        <w:rPr>
          <w:color w:val="334155"/>
          <w:sz w:val="20"/>
          <w:szCs w:val="20"/>
        </w:rPr>
        <w:t xml:space="preserve">Oracle AWR reports must be in HTML format (generated from Oracle Enterprise Manager or SQL*Plus).</w:t>
      </w:r>
    </w:p>
    <w:p>
      <w:pPr>
        <w:spacing w:after="60" w:before="60"/>
        <w:ind w:left="200"/>
      </w:pPr>
      <w:r>
        <w:rPr>
          <w:b/>
          <w:bCs/>
          <w:color w:val="F59E0B"/>
          <w:sz w:val="20"/>
          <w:szCs w:val="20"/>
        </w:rPr>
        <w:t xml:space="preserve">1. </w:t>
      </w:r>
      <w:r>
        <w:rPr>
          <w:color w:val="334155"/>
          <w:sz w:val="20"/>
          <w:szCs w:val="20"/>
        </w:rPr>
        <w:t xml:space="preserve">Navigate to Upload → AWR Report</w:t>
      </w:r>
    </w:p>
    <w:p>
      <w:pPr>
        <w:spacing w:after="60" w:before="60"/>
        <w:ind w:left="200"/>
      </w:pPr>
      <w:r>
        <w:rPr>
          <w:b/>
          <w:bCs/>
          <w:color w:val="F59E0B"/>
          <w:sz w:val="20"/>
          <w:szCs w:val="20"/>
        </w:rPr>
        <w:t xml:space="preserve">2. </w:t>
      </w:r>
      <w:r>
        <w:rPr>
          <w:color w:val="334155"/>
          <w:sz w:val="20"/>
          <w:szCs w:val="20"/>
        </w:rPr>
        <w:t xml:space="preserve">Select the database name from the dropdown</w:t>
      </w:r>
    </w:p>
    <w:p>
      <w:pPr>
        <w:spacing w:after="60" w:before="60"/>
        <w:ind w:left="200"/>
      </w:pPr>
      <w:r>
        <w:rPr>
          <w:b/>
          <w:bCs/>
          <w:color w:val="F59E0B"/>
          <w:sz w:val="20"/>
          <w:szCs w:val="20"/>
        </w:rPr>
        <w:t xml:space="preserve">3. </w:t>
      </w:r>
      <w:r>
        <w:rPr>
          <w:color w:val="334155"/>
          <w:sz w:val="20"/>
          <w:szCs w:val="20"/>
        </w:rPr>
        <w:t xml:space="preserve">Select one or more AWR HTML files</w:t>
      </w:r>
    </w:p>
    <w:p>
      <w:pPr>
        <w:spacing w:after="60" w:before="60"/>
        <w:ind w:left="200"/>
      </w:pPr>
      <w:r>
        <w:rPr>
          <w:b/>
          <w:bCs/>
          <w:color w:val="F59E0B"/>
          <w:sz w:val="20"/>
          <w:szCs w:val="20"/>
        </w:rPr>
        <w:t xml:space="preserve">4. </w:t>
      </w:r>
      <w:r>
        <w:rPr>
          <w:color w:val="334155"/>
          <w:sz w:val="20"/>
          <w:szCs w:val="20"/>
        </w:rPr>
        <w:t xml:space="preserve">Click Upload — files are added to the parsing queue</w:t>
      </w:r>
    </w:p>
    <w:p>
      <w:pPr>
        <w:spacing w:after="60" w:before="60"/>
        <w:ind w:left="200"/>
      </w:pPr>
      <w:r>
        <w:rPr>
          <w:b/>
          <w:bCs/>
          <w:color w:val="F59E0B"/>
          <w:sz w:val="20"/>
          <w:szCs w:val="20"/>
        </w:rPr>
        <w:t xml:space="preserve">5. </w:t>
      </w:r>
      <w:r>
        <w:rPr>
          <w:color w:val="334155"/>
          <w:sz w:val="20"/>
          <w:szCs w:val="20"/>
        </w:rPr>
        <w:t xml:space="preserve">Monitor progress on the Home page stats bar</w:t>
      </w:r>
    </w:p>
    <w:p>
      <w:pPr>
        <w:pBdr>
          <w:left w:val="single" w:color="3B82F6" w:sz="12"/>
        </w:pBdr>
        <w:shd w:fill="EFF6FF" w:val="clear"/>
        <w:spacing w:after="80" w:before="80"/>
        <w:ind w:left="400"/>
      </w:pPr>
      <w:r>
        <w:rPr>
          <w:b/>
          <w:bCs/>
          <w:color w:val="3B82F6"/>
          <w:sz w:val="20"/>
          <w:szCs w:val="20"/>
        </w:rPr>
        <w:t xml:space="preserve">ℹ  </w:t>
      </w:r>
      <w:r>
        <w:rPr>
          <w:color w:val="334155"/>
          <w:sz w:val="20"/>
          <w:szCs w:val="20"/>
        </w:rPr>
        <w:t xml:space="preserve">If a database name is not in the list, it will be created automatically on first upload.</w:t>
      </w:r>
    </w:p>
    <w:p>
      <w:pPr>
        <w:spacing w:after="40" w:before="120"/>
      </w:pPr>
    </w:p>
    <w:p>
      <w:pPr>
        <w:pStyle w:val="Heading2"/>
        <w:spacing w:after="80" w:before="240"/>
      </w:pPr>
      <w:r>
        <w:t xml:space="preserve">3.2 SAR Files</w:t>
      </w:r>
    </w:p>
    <w:p>
      <w:pPr>
        <w:spacing w:after="60" w:before="60"/>
        <w:ind w:left="200"/>
      </w:pPr>
      <w:r>
        <w:rPr>
          <w:b/>
          <w:bCs/>
          <w:color w:val="F59E0B"/>
          <w:sz w:val="20"/>
          <w:szCs w:val="20"/>
        </w:rPr>
        <w:t xml:space="preserve">1. </w:t>
      </w:r>
      <w:r>
        <w:rPr>
          <w:color w:val="334155"/>
          <w:sz w:val="20"/>
          <w:szCs w:val="20"/>
        </w:rPr>
        <w:t xml:space="preserve">Navigate to Upload → SAR File</w:t>
      </w:r>
    </w:p>
    <w:p>
      <w:pPr>
        <w:spacing w:after="60" w:before="60"/>
        <w:ind w:left="200"/>
      </w:pPr>
      <w:r>
        <w:rPr>
          <w:b/>
          <w:bCs/>
          <w:color w:val="F59E0B"/>
          <w:sz w:val="20"/>
          <w:szCs w:val="20"/>
        </w:rPr>
        <w:t xml:space="preserve">2. </w:t>
      </w:r>
      <w:r>
        <w:rPr>
          <w:color w:val="334155"/>
          <w:sz w:val="20"/>
          <w:szCs w:val="20"/>
        </w:rPr>
        <w:t xml:space="preserve">Select the server name</w:t>
      </w:r>
    </w:p>
    <w:p>
      <w:pPr>
        <w:spacing w:after="60" w:before="60"/>
        <w:ind w:left="200"/>
      </w:pPr>
      <w:r>
        <w:rPr>
          <w:b/>
          <w:bCs/>
          <w:color w:val="F59E0B"/>
          <w:sz w:val="20"/>
          <w:szCs w:val="20"/>
        </w:rPr>
        <w:t xml:space="preserve">3. </w:t>
      </w:r>
      <w:r>
        <w:rPr>
          <w:color w:val="334155"/>
          <w:sz w:val="20"/>
          <w:szCs w:val="20"/>
        </w:rPr>
        <w:t xml:space="preserve">Upload binary SA files (e.g. sa01, sa02) or text SAR output</w:t>
      </w:r>
    </w:p>
    <w:p>
      <w:pPr>
        <w:spacing w:after="60" w:before="60"/>
        <w:ind w:left="200"/>
      </w:pPr>
      <w:r>
        <w:rPr>
          <w:b/>
          <w:bCs/>
          <w:color w:val="F59E0B"/>
          <w:sz w:val="20"/>
          <w:szCs w:val="20"/>
        </w:rPr>
        <w:t xml:space="preserve">4. </w:t>
      </w:r>
      <w:r>
        <w:rPr>
          <w:color w:val="334155"/>
          <w:sz w:val="20"/>
          <w:szCs w:val="20"/>
        </w:rPr>
        <w:t xml:space="preserve">Binary files are converted via WSL — text files processed directly</w:t>
      </w:r>
    </w:p>
    <w:p>
      <w:pPr>
        <w:pBdr>
          <w:left w:val="single" w:color="3B82F6" w:sz="12"/>
        </w:pBdr>
        <w:shd w:fill="EFF6FF" w:val="clear"/>
        <w:spacing w:after="80" w:before="80"/>
        <w:ind w:left="400"/>
      </w:pPr>
      <w:r>
        <w:rPr>
          <w:b/>
          <w:bCs/>
          <w:color w:val="3B82F6"/>
          <w:sz w:val="20"/>
          <w:szCs w:val="20"/>
        </w:rPr>
        <w:t xml:space="preserve">ℹ  </w:t>
      </w:r>
      <w:r>
        <w:rPr>
          <w:color w:val="334155"/>
          <w:sz w:val="20"/>
          <w:szCs w:val="20"/>
        </w:rPr>
        <w:t xml:space="preserve">All SAR data is stored in IST matching AWR timezone.</w:t>
      </w:r>
    </w:p>
    <w:p>
      <w:pPr>
        <w:spacing w:after="40" w:before="120"/>
      </w:pPr>
    </w:p>
    <w:p>
      <w:r>
        <w:br w:type="page"/>
      </w:r>
    </w:p>
    <w:p>
      <w:pPr>
        <w:pStyle w:val="Heading1"/>
        <w:spacing w:after="120" w:before="360"/>
      </w:pPr>
      <w:r>
        <w:t xml:space="preserve">4. Grafana Dashboards</w:t>
      </w:r>
    </w:p>
    <w:p>
      <w:pPr>
        <w:pStyle w:val="Heading2"/>
        <w:spacing w:after="80" w:before="240"/>
      </w:pPr>
      <w:r>
        <w:t xml:space="preserve">4.1 AWR Intelligence Dashboard</w:t>
      </w:r>
    </w:p>
    <w:p>
      <w:pPr>
        <w:spacing w:after="60" w:before="60"/>
      </w:pPr>
      <w:r>
        <w:rPr>
          <w:color w:val="334155"/>
          <w:sz w:val="20"/>
          <w:szCs w:val="20"/>
        </w:rPr>
        <w:t xml:space="preserve">The primary analysis dashboard. Two versions exist depending on AI mode configured in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00"/>
      </w:tblGrid>
      <w:tr>
        <w:trPr>
          <w:tblHeader/>
        </w:trPr>
        <w:tc>
          <w:tcPr>
            <w:tcW w:type="dxa" w:w="1000"/>
            <w:shd w:fill="1E293B" w:val="clear"/>
          </w:tcPr>
          <w:p>
            <w:pPr>
              <w:spacing w:after="60" w:before="60"/>
            </w:pPr>
            <w:r>
              <w:rPr>
                <w:b/>
                <w:bCs/>
                <w:color w:val="FFFFFF"/>
                <w:sz w:val="18"/>
                <w:szCs w:val="18"/>
              </w:rPr>
              <w:t xml:space="preserve">Mode</w:t>
            </w:r>
          </w:p>
        </w:tc>
        <w:tc>
          <w:tcPr>
            <w:tcW w:type="dxa" w:w="3400"/>
            <w:shd w:fill="1E293B" w:val="clear"/>
          </w:tcPr>
          <w:p>
            <w:pPr>
              <w:spacing w:after="60" w:before="60"/>
            </w:pPr>
            <w:r>
              <w:rPr>
                <w:b/>
                <w:bCs/>
                <w:color w:val="FFFFFF"/>
                <w:sz w:val="18"/>
                <w:szCs w:val="18"/>
              </w:rPr>
              <w:t xml:space="preserve">Dashboard</w:t>
            </w:r>
          </w:p>
        </w:tc>
        <w:tc>
          <w:tcPr>
            <w:tcW w:type="dxa" w:w="4600"/>
            <w:shd w:fill="1E293B" w:val="clear"/>
          </w:tcPr>
          <w:p>
            <w:pPr>
              <w:spacing w:after="60" w:before="60"/>
            </w:pPr>
            <w:r>
              <w:rPr>
                <w:b/>
                <w:bCs/>
                <w:color w:val="FFFFFF"/>
                <w:sz w:val="18"/>
                <w:szCs w:val="18"/>
              </w:rPr>
              <w:t xml:space="preserve">Features</w:t>
            </w:r>
          </w:p>
        </w:tc>
      </w:tr>
      <w:tr>
        <w:trPr>
          <w:tblHeader w:val="false"/>
        </w:trPr>
        <w:tc>
          <w:tcPr>
            <w:tcW w:type="dxa" w:w="1000"/>
            <w:shd w:fill="FFFFFF" w:val="clear"/>
          </w:tcPr>
          <w:p>
            <w:pPr>
              <w:spacing w:after="60" w:before="60"/>
            </w:pPr>
            <w:r>
              <w:rPr>
                <w:b w:val="false"/>
                <w:bCs w:val="false"/>
                <w:color w:val="334155"/>
                <w:sz w:val="18"/>
                <w:szCs w:val="18"/>
              </w:rPr>
              <w:t xml:space="preserve">Rules</w:t>
            </w:r>
          </w:p>
        </w:tc>
        <w:tc>
          <w:tcPr>
            <w:tcW w:type="dxa" w:w="3400"/>
            <w:shd w:fill="FFFFFF" w:val="clear"/>
          </w:tcPr>
          <w:p>
            <w:pPr>
              <w:spacing w:after="60" w:before="60"/>
            </w:pPr>
            <w:r>
              <w:rPr>
                <w:b w:val="false"/>
                <w:bCs w:val="false"/>
                <w:color w:val="334155"/>
                <w:sz w:val="18"/>
                <w:szCs w:val="18"/>
              </w:rPr>
              <w:t xml:space="preserve">AWR Intelligence — Wait/SQL/Segment/Correlation &amp; Recommendations</w:t>
            </w:r>
          </w:p>
        </w:tc>
        <w:tc>
          <w:tcPr>
            <w:tcW w:type="dxa" w:w="4600"/>
            <w:shd w:fill="FFFFFF" w:val="clear"/>
          </w:tcPr>
          <w:p>
            <w:pPr>
              <w:spacing w:after="60" w:before="60"/>
            </w:pPr>
            <w:r>
              <w:rPr>
                <w:b w:val="false"/>
                <w:bCs w:val="false"/>
                <w:color w:val="334155"/>
                <w:sz w:val="18"/>
                <w:szCs w:val="18"/>
              </w:rPr>
              <w:t xml:space="preserve">Donut charts + RAG tables + Correlation drill-down + Active Recommendations panel</w:t>
            </w:r>
          </w:p>
        </w:tc>
      </w:tr>
      <w:tr>
        <w:trPr>
          <w:tblHeader w:val="false"/>
        </w:trPr>
        <w:tc>
          <w:tcPr>
            <w:tcW w:type="dxa" w:w="1000"/>
            <w:shd w:fill="FFFFFF" w:val="clear"/>
          </w:tcPr>
          <w:p>
            <w:pPr>
              <w:spacing w:after="60" w:before="60"/>
            </w:pPr>
            <w:r>
              <w:rPr>
                <w:b w:val="false"/>
                <w:bCs w:val="false"/>
                <w:color w:val="334155"/>
                <w:sz w:val="18"/>
                <w:szCs w:val="18"/>
              </w:rPr>
              <w:t xml:space="preserve">AI</w:t>
            </w:r>
          </w:p>
        </w:tc>
        <w:tc>
          <w:tcPr>
            <w:tcW w:type="dxa" w:w="3400"/>
            <w:shd w:fill="FFFFFF" w:val="clear"/>
          </w:tcPr>
          <w:p>
            <w:pPr>
              <w:spacing w:after="60" w:before="60"/>
            </w:pPr>
            <w:r>
              <w:rPr>
                <w:b w:val="false"/>
                <w:bCs w:val="false"/>
                <w:color w:val="334155"/>
                <w:sz w:val="18"/>
                <w:szCs w:val="18"/>
              </w:rPr>
              <w:t xml:space="preserve">AWR Intelligence — Wait/SQL/Segment/Correlation</w:t>
            </w:r>
          </w:p>
        </w:tc>
        <w:tc>
          <w:tcPr>
            <w:tcW w:type="dxa" w:w="4600"/>
            <w:shd w:fill="FFFFFF" w:val="clear"/>
          </w:tcPr>
          <w:p>
            <w:pPr>
              <w:spacing w:after="60" w:before="60"/>
            </w:pPr>
            <w:r>
              <w:rPr>
                <w:b w:val="false"/>
                <w:bCs w:val="false"/>
                <w:color w:val="334155"/>
                <w:sz w:val="18"/>
                <w:szCs w:val="18"/>
              </w:rPr>
              <w:t xml:space="preserve">Donut charts + RAG tables + Correlation drill-down + Link to AI Recs portal page</w:t>
            </w:r>
          </w:p>
        </w:tc>
      </w:tr>
    </w:tbl>
    <w:p>
      <w:pPr>
        <w:spacing w:after="40" w:before="120"/>
      </w:pPr>
    </w:p>
    <w:p>
      <w:pPr>
        <w:pStyle w:val="Heading3"/>
        <w:spacing w:after="60" w:before="160"/>
      </w:pPr>
      <w:r>
        <w:t xml:space="preserve">Using the Dashboard</w:t>
      </w:r>
    </w:p>
    <w:p>
      <w:pPr>
        <w:spacing w:after="60" w:before="60"/>
        <w:ind w:left="200"/>
      </w:pPr>
      <w:r>
        <w:rPr>
          <w:b/>
          <w:bCs/>
          <w:color w:val="F59E0B"/>
          <w:sz w:val="20"/>
          <w:szCs w:val="20"/>
        </w:rPr>
        <w:t xml:space="preserve">1. </w:t>
      </w:r>
      <w:r>
        <w:rPr>
          <w:color w:val="334155"/>
          <w:sz w:val="20"/>
          <w:szCs w:val="20"/>
        </w:rPr>
        <w:t xml:space="preserve">Select Database → Instance → Start Snap → End Snap from variable dropdowns</w:t>
      </w:r>
    </w:p>
    <w:p>
      <w:pPr>
        <w:spacing w:after="60" w:before="60"/>
        <w:ind w:left="200"/>
      </w:pPr>
      <w:r>
        <w:rPr>
          <w:b/>
          <w:bCs/>
          <w:color w:val="F59E0B"/>
          <w:sz w:val="20"/>
          <w:szCs w:val="20"/>
        </w:rPr>
        <w:t xml:space="preserve">2. </w:t>
      </w:r>
      <w:r>
        <w:rPr>
          <w:color w:val="334155"/>
          <w:sz w:val="20"/>
          <w:szCs w:val="20"/>
        </w:rPr>
        <w:t xml:space="preserve">Three donut charts populate: Top Wait Events | Top SQL | Top Segments</w:t>
      </w:r>
    </w:p>
    <w:p>
      <w:pPr>
        <w:spacing w:after="60" w:before="60"/>
        <w:ind w:left="200"/>
      </w:pPr>
      <w:r>
        <w:rPr>
          <w:b/>
          <w:bCs/>
          <w:color w:val="F59E0B"/>
          <w:sz w:val="20"/>
          <w:szCs w:val="20"/>
        </w:rPr>
        <w:t xml:space="preserve">3. </w:t>
      </w:r>
      <w:r>
        <w:rPr>
          <w:color w:val="334155"/>
          <w:sz w:val="20"/>
          <w:szCs w:val="20"/>
        </w:rPr>
        <w:t xml:space="preserve">Each donut shows proportional share — All Values mode shows every item</w:t>
      </w:r>
    </w:p>
    <w:p>
      <w:pPr>
        <w:spacing w:after="60" w:before="60"/>
        <w:ind w:left="200"/>
      </w:pPr>
      <w:r>
        <w:rPr>
          <w:b/>
          <w:bCs/>
          <w:color w:val="F59E0B"/>
          <w:sz w:val="20"/>
          <w:szCs w:val="20"/>
        </w:rPr>
        <w:t xml:space="preserve">4. </w:t>
      </w:r>
      <w:r>
        <w:rPr>
          <w:color w:val="334155"/>
          <w:sz w:val="20"/>
          <w:szCs w:val="20"/>
        </w:rPr>
        <w:t xml:space="preserve">Click any row in the Wait/SQL/Segment table to drill into Correlation panel</w:t>
      </w:r>
    </w:p>
    <w:p>
      <w:pPr>
        <w:spacing w:after="60" w:before="60"/>
      </w:pPr>
      <w:r>
        <w:rPr>
          <w:color w:val="334155"/>
          <w:sz w:val="20"/>
          <w:szCs w:val="20"/>
        </w:rPr>
        <w:t xml:space="preserve">The Correlation panel automatically shows linked segments, SQLs, and wait events for the clicked item.</w:t>
      </w:r>
    </w:p>
    <w:p>
      <w:pPr>
        <w:spacing w:after="40" w:before="120"/>
      </w:pPr>
    </w:p>
    <w:p>
      <w:pPr>
        <w:pStyle w:val="Heading2"/>
        <w:spacing w:after="80" w:before="240"/>
      </w:pPr>
      <w:r>
        <w:t xml:space="preserve">4.2 RAG Colour Scoring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400"/>
      </w:tblGrid>
      <w:tr>
        <w:trPr>
          <w:tblHeader/>
        </w:trPr>
        <w:tc>
          <w:tcPr>
            <w:tcW w:type="dxa" w:w="1400"/>
            <w:shd w:fill="1E293B" w:val="clear"/>
          </w:tcPr>
          <w:p>
            <w:pPr>
              <w:spacing w:after="60" w:before="60"/>
            </w:pPr>
            <w:r>
              <w:rPr>
                <w:b/>
                <w:bCs/>
                <w:color w:val="FFFFFF"/>
                <w:sz w:val="18"/>
                <w:szCs w:val="18"/>
              </w:rPr>
              <w:t xml:space="preserve">Colour</w:t>
            </w:r>
          </w:p>
        </w:tc>
        <w:tc>
          <w:tcPr>
            <w:tcW w:type="dxa" w:w="1200"/>
            <w:shd w:fill="1E293B" w:val="clear"/>
          </w:tcPr>
          <w:p>
            <w:pPr>
              <w:spacing w:after="60" w:before="60"/>
            </w:pPr>
            <w:r>
              <w:rPr>
                <w:b/>
                <w:bCs/>
                <w:color w:val="FFFFFF"/>
                <w:sz w:val="18"/>
                <w:szCs w:val="18"/>
              </w:rPr>
              <w:t xml:space="preserve">Score</w:t>
            </w:r>
          </w:p>
        </w:tc>
        <w:tc>
          <w:tcPr>
            <w:tcW w:type="dxa" w:w="6400"/>
            <w:shd w:fill="1E293B" w:val="clear"/>
          </w:tcPr>
          <w:p>
            <w:pPr>
              <w:spacing w:after="60" w:before="60"/>
            </w:pPr>
            <w:r>
              <w:rPr>
                <w:b/>
                <w:bCs/>
                <w:color w:val="FFFFFF"/>
                <w:sz w:val="18"/>
                <w:szCs w:val="18"/>
              </w:rPr>
              <w:t xml:space="preserve">Action</w:t>
            </w:r>
          </w:p>
        </w:tc>
      </w:tr>
      <w:tr>
        <w:trPr>
          <w:tblHeader w:val="false"/>
        </w:trPr>
        <w:tc>
          <w:tcPr>
            <w:tcW w:type="dxa" w:w="1400"/>
            <w:shd w:fill="FFFFFF" w:val="clear"/>
          </w:tcPr>
          <w:p>
            <w:pPr>
              <w:spacing w:after="60" w:before="60"/>
            </w:pPr>
            <w:r>
              <w:rPr>
                <w:b w:val="false"/>
                <w:bCs w:val="false"/>
                <w:color w:val="334155"/>
                <w:sz w:val="18"/>
                <w:szCs w:val="18"/>
              </w:rPr>
              <w:t xml:space="preserve">🟢 Green</w:t>
            </w:r>
          </w:p>
        </w:tc>
        <w:tc>
          <w:tcPr>
            <w:tcW w:type="dxa" w:w="1200"/>
            <w:shd w:fill="FFFFFF" w:val="clear"/>
          </w:tcPr>
          <w:p>
            <w:pPr>
              <w:spacing w:after="60" w:before="60"/>
            </w:pPr>
            <w:r>
              <w:rPr>
                <w:b w:val="false"/>
                <w:bCs w:val="false"/>
                <w:color w:val="334155"/>
                <w:sz w:val="18"/>
                <w:szCs w:val="18"/>
              </w:rPr>
              <w:t xml:space="preserve">0–10</w:t>
            </w:r>
          </w:p>
        </w:tc>
        <w:tc>
          <w:tcPr>
            <w:tcW w:type="dxa" w:w="6400"/>
            <w:shd w:fill="FFFFFF" w:val="clear"/>
          </w:tcPr>
          <w:p>
            <w:pPr>
              <w:spacing w:after="60" w:before="60"/>
            </w:pPr>
            <w:r>
              <w:rPr>
                <w:b w:val="false"/>
                <w:bCs w:val="false"/>
                <w:color w:val="334155"/>
                <w:sz w:val="18"/>
                <w:szCs w:val="18"/>
              </w:rPr>
              <w:t xml:space="preserve">Normal — within baseline, no action needed</w:t>
            </w:r>
          </w:p>
        </w:tc>
      </w:tr>
      <w:tr>
        <w:trPr>
          <w:tblHeader w:val="false"/>
        </w:trPr>
        <w:tc>
          <w:tcPr>
            <w:tcW w:type="dxa" w:w="1400"/>
            <w:shd w:fill="FFFFFF" w:val="clear"/>
          </w:tcPr>
          <w:p>
            <w:pPr>
              <w:spacing w:after="60" w:before="60"/>
            </w:pPr>
            <w:r>
              <w:rPr>
                <w:b w:val="false"/>
                <w:bCs w:val="false"/>
                <w:color w:val="334155"/>
                <w:sz w:val="18"/>
                <w:szCs w:val="18"/>
              </w:rPr>
              <w:t xml:space="preserve">🟡 Yellow</w:t>
            </w:r>
          </w:p>
        </w:tc>
        <w:tc>
          <w:tcPr>
            <w:tcW w:type="dxa" w:w="1200"/>
            <w:shd w:fill="FFFFFF" w:val="clear"/>
          </w:tcPr>
          <w:p>
            <w:pPr>
              <w:spacing w:after="60" w:before="60"/>
            </w:pPr>
            <w:r>
              <w:rPr>
                <w:b w:val="false"/>
                <w:bCs w:val="false"/>
                <w:color w:val="334155"/>
                <w:sz w:val="18"/>
                <w:szCs w:val="18"/>
              </w:rPr>
              <w:t xml:space="preserve">11–40</w:t>
            </w:r>
          </w:p>
        </w:tc>
        <w:tc>
          <w:tcPr>
            <w:tcW w:type="dxa" w:w="6400"/>
            <w:shd w:fill="FFFFFF" w:val="clear"/>
          </w:tcPr>
          <w:p>
            <w:pPr>
              <w:spacing w:after="60" w:before="60"/>
            </w:pPr>
            <w:r>
              <w:rPr>
                <w:b w:val="false"/>
                <w:bCs w:val="false"/>
                <w:color w:val="334155"/>
                <w:sz w:val="18"/>
                <w:szCs w:val="18"/>
              </w:rPr>
              <w:t xml:space="preserve">Monitor — approaching threshold</w:t>
            </w:r>
          </w:p>
        </w:tc>
      </w:tr>
      <w:tr>
        <w:trPr>
          <w:tblHeader w:val="false"/>
        </w:trPr>
        <w:tc>
          <w:tcPr>
            <w:tcW w:type="dxa" w:w="1400"/>
            <w:shd w:fill="FFFFFF" w:val="clear"/>
          </w:tcPr>
          <w:p>
            <w:pPr>
              <w:spacing w:after="60" w:before="60"/>
            </w:pPr>
            <w:r>
              <w:rPr>
                <w:b w:val="false"/>
                <w:bCs w:val="false"/>
                <w:color w:val="334155"/>
                <w:sz w:val="18"/>
                <w:szCs w:val="18"/>
              </w:rPr>
              <w:t xml:space="preserve">🟠 Orange</w:t>
            </w:r>
          </w:p>
        </w:tc>
        <w:tc>
          <w:tcPr>
            <w:tcW w:type="dxa" w:w="1200"/>
            <w:shd w:fill="FFFFFF" w:val="clear"/>
          </w:tcPr>
          <w:p>
            <w:pPr>
              <w:spacing w:after="60" w:before="60"/>
            </w:pPr>
            <w:r>
              <w:rPr>
                <w:b w:val="false"/>
                <w:bCs w:val="false"/>
                <w:color w:val="334155"/>
                <w:sz w:val="18"/>
                <w:szCs w:val="18"/>
              </w:rPr>
              <w:t xml:space="preserve">41–79</w:t>
            </w:r>
          </w:p>
        </w:tc>
        <w:tc>
          <w:tcPr>
            <w:tcW w:type="dxa" w:w="6400"/>
            <w:shd w:fill="FFFFFF" w:val="clear"/>
          </w:tcPr>
          <w:p>
            <w:pPr>
              <w:spacing w:after="60" w:before="60"/>
            </w:pPr>
            <w:r>
              <w:rPr>
                <w:b w:val="false"/>
                <w:bCs w:val="false"/>
                <w:color w:val="334155"/>
                <w:sz w:val="18"/>
                <w:szCs w:val="18"/>
              </w:rPr>
              <w:t xml:space="preserve">High — investigate and plan tuning</w:t>
            </w:r>
          </w:p>
        </w:tc>
      </w:tr>
      <w:tr>
        <w:trPr>
          <w:tblHeader w:val="false"/>
        </w:trPr>
        <w:tc>
          <w:tcPr>
            <w:tcW w:type="dxa" w:w="1400"/>
            <w:shd w:fill="FFFFFF" w:val="clear"/>
          </w:tcPr>
          <w:p>
            <w:pPr>
              <w:spacing w:after="60" w:before="60"/>
            </w:pPr>
            <w:r>
              <w:rPr>
                <w:b w:val="false"/>
                <w:bCs w:val="false"/>
                <w:color w:val="334155"/>
                <w:sz w:val="18"/>
                <w:szCs w:val="18"/>
              </w:rPr>
              <w:t xml:space="preserve">🔴 Red</w:t>
            </w:r>
          </w:p>
        </w:tc>
        <w:tc>
          <w:tcPr>
            <w:tcW w:type="dxa" w:w="1200"/>
            <w:shd w:fill="FFFFFF" w:val="clear"/>
          </w:tcPr>
          <w:p>
            <w:pPr>
              <w:spacing w:after="60" w:before="60"/>
            </w:pPr>
            <w:r>
              <w:rPr>
                <w:b w:val="false"/>
                <w:bCs w:val="false"/>
                <w:color w:val="334155"/>
                <w:sz w:val="18"/>
                <w:szCs w:val="18"/>
              </w:rPr>
              <w:t xml:space="preserve">80+</w:t>
            </w:r>
          </w:p>
        </w:tc>
        <w:tc>
          <w:tcPr>
            <w:tcW w:type="dxa" w:w="6400"/>
            <w:shd w:fill="FFFFFF" w:val="clear"/>
          </w:tcPr>
          <w:p>
            <w:pPr>
              <w:spacing w:after="60" w:before="60"/>
            </w:pPr>
            <w:r>
              <w:rPr>
                <w:b w:val="false"/>
                <w:bCs w:val="false"/>
                <w:color w:val="334155"/>
                <w:sz w:val="18"/>
                <w:szCs w:val="18"/>
              </w:rPr>
              <w:t xml:space="preserve">Critical — immediate action required</w:t>
            </w:r>
          </w:p>
        </w:tc>
      </w:tr>
    </w:tbl>
    <w:p>
      <w:pPr>
        <w:spacing w:after="40" w:before="120"/>
      </w:pPr>
    </w:p>
    <w:p>
      <w:pPr>
        <w:pStyle w:val="Heading2"/>
        <w:spacing w:after="80" w:before="240"/>
      </w:pPr>
      <w:r>
        <w:t xml:space="preserve">4.3 Memory Advisory &amp; Instance Efficiency</w:t>
      </w:r>
    </w:p>
    <w:p>
      <w:pPr>
        <w:spacing w:after="60" w:before="60"/>
      </w:pPr>
      <w:r>
        <w:rPr>
          <w:color w:val="334155"/>
          <w:sz w:val="20"/>
          <w:szCs w:val="20"/>
        </w:rPr>
        <w:t xml:space="preserve">Shows SGA and PGA memory sizing recommendations with safety checks against available OS memory. Also shows 4 instance efficiency gauges: Buffer Cache Hit%, Soft Parse%, Library Cache Hit%, Execute-to-Parse%.</w:t>
      </w:r>
    </w:p>
    <w:p>
      <w:pPr>
        <w:pBdr>
          <w:left w:val="single" w:color="3B82F6" w:sz="12"/>
        </w:pBdr>
        <w:shd w:fill="EFF6FF" w:val="clear"/>
        <w:spacing w:after="80" w:before="80"/>
        <w:ind w:left="400"/>
      </w:pPr>
      <w:r>
        <w:rPr>
          <w:b/>
          <w:bCs/>
          <w:color w:val="3B82F6"/>
          <w:sz w:val="20"/>
          <w:szCs w:val="20"/>
        </w:rPr>
        <w:t xml:space="preserve">ℹ  </w:t>
      </w:r>
      <w:r>
        <w:rPr>
          <w:color w:val="334155"/>
          <w:sz w:val="20"/>
          <w:szCs w:val="20"/>
        </w:rPr>
        <w:t xml:space="preserve">Access from Home → 💾 Memory Advisory &amp; Instance Efficiency or from the AWR Intelligence dashboard navigation bar.</w:t>
      </w:r>
    </w:p>
    <w:p>
      <w:pPr>
        <w:spacing w:after="40" w:before="120"/>
      </w:pPr>
    </w:p>
    <w:p>
      <w:pPr>
        <w:pStyle w:val="Heading2"/>
        <w:spacing w:after="80" w:before="240"/>
      </w:pPr>
      <w:r>
        <w:t xml:space="preserve">4.4 AWR Anomaly Detection</w:t>
      </w:r>
    </w:p>
    <w:p>
      <w:pPr>
        <w:spacing w:after="60" w:before="60"/>
      </w:pPr>
      <w:r>
        <w:rPr>
          <w:color w:val="334155"/>
          <w:sz w:val="20"/>
          <w:szCs w:val="20"/>
        </w:rPr>
        <w:t xml:space="preserve">Uses Z-score analysis to identify statistical anomalies across snap ranges. Useful for spotting gradual degradation over time that may not be obvious in single-snap analysis.</w:t>
      </w:r>
    </w:p>
    <w:p>
      <w:pPr>
        <w:spacing w:after="40" w:before="120"/>
      </w:pPr>
    </w:p>
    <w:p>
      <w:pPr>
        <w:pStyle w:val="Heading2"/>
        <w:spacing w:after="80" w:before="240"/>
      </w:pPr>
      <w:r>
        <w:t xml:space="preserve">4.5 SAR Dashboards</w:t>
      </w:r>
    </w:p>
    <w:p>
      <w:pPr>
        <w:spacing w:after="60" w:before="60"/>
      </w:pPr>
      <w:r>
        <w:rPr>
          <w:color w:val="334155"/>
          <w:sz w:val="20"/>
          <w:szCs w:val="20"/>
        </w:rPr>
        <w:t xml:space="preserve">SAR dashboards use From Date / To Date dropdowns (DD-Mon-YYYY format) instead of the Grafana time picker. Select the date range then click Apply.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E293B" w:val="clear"/>
          </w:tcPr>
          <w:p>
            <w:pPr>
              <w:spacing w:after="60" w:before="60"/>
            </w:pPr>
            <w:r>
              <w:rPr>
                <w:b/>
                <w:bCs/>
                <w:color w:val="FFFFFF"/>
                <w:sz w:val="18"/>
                <w:szCs w:val="18"/>
              </w:rPr>
              <w:t xml:space="preserve">Dashboard</w:t>
            </w:r>
          </w:p>
        </w:tc>
        <w:tc>
          <w:tcPr>
            <w:tcW w:type="dxa" w:w="6600"/>
            <w:shd w:fill="1E293B" w:val="clear"/>
          </w:tcPr>
          <w:p>
            <w:pPr>
              <w:spacing w:after="60" w:before="60"/>
            </w:pPr>
            <w:r>
              <w:rPr>
                <w:b/>
                <w:bCs/>
                <w:color w:val="FFFFFF"/>
                <w:sz w:val="18"/>
                <w:szCs w:val="18"/>
              </w:rPr>
              <w:t xml:space="preserve">Shows</w:t>
            </w:r>
          </w:p>
        </w:tc>
      </w:tr>
      <w:tr>
        <w:trPr>
          <w:tblHeader w:val="false"/>
        </w:trPr>
        <w:tc>
          <w:tcPr>
            <w:tcW w:type="dxa" w:w="2400"/>
            <w:shd w:fill="FFFFFF" w:val="clear"/>
          </w:tcPr>
          <w:p>
            <w:pPr>
              <w:spacing w:after="60" w:before="60"/>
            </w:pPr>
            <w:r>
              <w:rPr>
                <w:b w:val="false"/>
                <w:bCs w:val="false"/>
                <w:color w:val="334155"/>
                <w:sz w:val="18"/>
                <w:szCs w:val="18"/>
              </w:rPr>
              <w:t xml:space="preserve">SAR System Overview</w:t>
            </w:r>
          </w:p>
        </w:tc>
        <w:tc>
          <w:tcPr>
            <w:tcW w:type="dxa" w:w="6600"/>
            <w:shd w:fill="FFFFFF" w:val="clear"/>
          </w:tcPr>
          <w:p>
            <w:pPr>
              <w:spacing w:after="60" w:before="60"/>
            </w:pPr>
            <w:r>
              <w:rPr>
                <w:b w:val="false"/>
                <w:bCs w:val="false"/>
                <w:color w:val="334155"/>
                <w:sz w:val="18"/>
                <w:szCs w:val="18"/>
              </w:rPr>
              <w:t xml:space="preserve">CPU usage, memory utilisation, disk I/O, network throughput per server</w:t>
            </w:r>
          </w:p>
        </w:tc>
      </w:tr>
      <w:tr>
        <w:trPr>
          <w:tblHeader w:val="false"/>
        </w:trPr>
        <w:tc>
          <w:tcPr>
            <w:tcW w:type="dxa" w:w="2400"/>
            <w:shd w:fill="FFFFFF" w:val="clear"/>
          </w:tcPr>
          <w:p>
            <w:pPr>
              <w:spacing w:after="60" w:before="60"/>
            </w:pPr>
            <w:r>
              <w:rPr>
                <w:b w:val="false"/>
                <w:bCs w:val="false"/>
                <w:color w:val="334155"/>
                <w:sz w:val="18"/>
                <w:szCs w:val="18"/>
              </w:rPr>
              <w:t xml:space="preserve">SAR Anomaly Detection</w:t>
            </w:r>
          </w:p>
        </w:tc>
        <w:tc>
          <w:tcPr>
            <w:tcW w:type="dxa" w:w="6600"/>
            <w:shd w:fill="FFFFFF" w:val="clear"/>
          </w:tcPr>
          <w:p>
            <w:pPr>
              <w:spacing w:after="60" w:before="60"/>
            </w:pPr>
            <w:r>
              <w:rPr>
                <w:b w:val="false"/>
                <w:bCs w:val="false"/>
                <w:color w:val="334155"/>
                <w:sz w:val="18"/>
                <w:szCs w:val="18"/>
              </w:rPr>
              <w:t xml:space="preserve">Statistical anomalies in OS resource usage</w:t>
            </w:r>
          </w:p>
        </w:tc>
      </w:tr>
      <w:tr>
        <w:trPr>
          <w:tblHeader w:val="false"/>
        </w:trPr>
        <w:tc>
          <w:tcPr>
            <w:tcW w:type="dxa" w:w="2400"/>
            <w:shd w:fill="FFFFFF" w:val="clear"/>
          </w:tcPr>
          <w:p>
            <w:pPr>
              <w:spacing w:after="60" w:before="60"/>
            </w:pPr>
            <w:r>
              <w:rPr>
                <w:b w:val="false"/>
                <w:bCs w:val="false"/>
                <w:color w:val="334155"/>
                <w:sz w:val="18"/>
                <w:szCs w:val="18"/>
              </w:rPr>
              <w:t xml:space="preserve">AWR+SAR Correlation</w:t>
            </w:r>
          </w:p>
        </w:tc>
        <w:tc>
          <w:tcPr>
            <w:tcW w:type="dxa" w:w="6600"/>
            <w:shd w:fill="FFFFFF" w:val="clear"/>
          </w:tcPr>
          <w:p>
            <w:pPr>
              <w:spacing w:after="60" w:before="60"/>
            </w:pPr>
            <w:r>
              <w:rPr>
                <w:b w:val="false"/>
                <w:bCs w:val="false"/>
                <w:color w:val="334155"/>
                <w:sz w:val="18"/>
                <w:szCs w:val="18"/>
              </w:rPr>
              <w:t xml:space="preserve">Side-by-side Oracle wait events vs OS resource metrics</w:t>
            </w:r>
          </w:p>
        </w:tc>
      </w:tr>
    </w:tbl>
    <w:p>
      <w:pPr>
        <w:spacing w:after="40" w:before="120"/>
      </w:pPr>
    </w:p>
    <w:p>
      <w:r>
        <w:br w:type="page"/>
      </w:r>
    </w:p>
    <w:p>
      <w:pPr>
        <w:pStyle w:val="Heading1"/>
        <w:spacing w:after="120" w:before="360"/>
      </w:pPr>
      <w:r>
        <w:t xml:space="preserve">5. AWR Before/After Comparison</w:t>
      </w:r>
    </w:p>
    <w:p>
      <w:pPr>
        <w:spacing w:after="60" w:before="60"/>
      </w:pPr>
      <w:r>
        <w:rPr>
          <w:color w:val="334155"/>
          <w:sz w:val="20"/>
          <w:szCs w:val="20"/>
        </w:rPr>
        <w:t xml:space="preserve">Compare two AWR snapshot ranges to quantify the impact of a tuning change.</w:t>
      </w:r>
    </w:p>
    <w:p>
      <w:pPr>
        <w:spacing w:after="60" w:before="60"/>
        <w:ind w:left="200"/>
      </w:pPr>
      <w:r>
        <w:rPr>
          <w:b/>
          <w:bCs/>
          <w:color w:val="F59E0B"/>
          <w:sz w:val="20"/>
          <w:szCs w:val="20"/>
        </w:rPr>
        <w:t xml:space="preserve">1. </w:t>
      </w:r>
      <w:r>
        <w:rPr>
          <w:color w:val="334155"/>
          <w:sz w:val="20"/>
          <w:szCs w:val="20"/>
        </w:rPr>
        <w:t xml:space="preserve">Navigate to 🔄 AWR Before/After Comparison</w:t>
      </w:r>
    </w:p>
    <w:p>
      <w:pPr>
        <w:spacing w:after="60" w:before="60"/>
        <w:ind w:left="200"/>
      </w:pPr>
      <w:r>
        <w:rPr>
          <w:b/>
          <w:bCs/>
          <w:color w:val="F59E0B"/>
          <w:sz w:val="20"/>
          <w:szCs w:val="20"/>
        </w:rPr>
        <w:t xml:space="preserve">2. </w:t>
      </w:r>
      <w:r>
        <w:rPr>
          <w:color w:val="334155"/>
          <w:sz w:val="20"/>
          <w:szCs w:val="20"/>
        </w:rPr>
        <w:t xml:space="preserve">Select Database and Instance</w:t>
      </w:r>
    </w:p>
    <w:p>
      <w:pPr>
        <w:spacing w:after="60" w:before="60"/>
        <w:ind w:left="200"/>
      </w:pPr>
      <w:r>
        <w:rPr>
          <w:b/>
          <w:bCs/>
          <w:color w:val="F59E0B"/>
          <w:sz w:val="20"/>
          <w:szCs w:val="20"/>
        </w:rPr>
        <w:t xml:space="preserve">3. </w:t>
      </w:r>
      <w:r>
        <w:rPr>
          <w:color w:val="334155"/>
          <w:sz w:val="20"/>
          <w:szCs w:val="20"/>
        </w:rPr>
        <w:t xml:space="preserve">Select Baseline snap range (before tuning)</w:t>
      </w:r>
    </w:p>
    <w:p>
      <w:pPr>
        <w:spacing w:after="60" w:before="60"/>
        <w:ind w:left="200"/>
      </w:pPr>
      <w:r>
        <w:rPr>
          <w:b/>
          <w:bCs/>
          <w:color w:val="F59E0B"/>
          <w:sz w:val="20"/>
          <w:szCs w:val="20"/>
        </w:rPr>
        <w:t xml:space="preserve">4. </w:t>
      </w:r>
      <w:r>
        <w:rPr>
          <w:color w:val="334155"/>
          <w:sz w:val="20"/>
          <w:szCs w:val="20"/>
        </w:rPr>
        <w:t xml:space="preserve">Select Current snap range (after tuning)</w:t>
      </w:r>
    </w:p>
    <w:p>
      <w:pPr>
        <w:spacing w:after="60" w:before="60"/>
        <w:ind w:left="200"/>
      </w:pPr>
      <w:r>
        <w:rPr>
          <w:b/>
          <w:bCs/>
          <w:color w:val="F59E0B"/>
          <w:sz w:val="20"/>
          <w:szCs w:val="20"/>
        </w:rPr>
        <w:t xml:space="preserve">5. </w:t>
      </w:r>
      <w:r>
        <w:rPr>
          <w:color w:val="334155"/>
          <w:sz w:val="20"/>
          <w:szCs w:val="20"/>
        </w:rPr>
        <w:t xml:space="preserve">View side-by-side comparison of wait events, SQL performance, and load profile</w:t>
      </w:r>
    </w:p>
    <w:p>
      <w:pPr>
        <w:pBdr>
          <w:left w:val="single" w:color="3B82F6" w:sz="12"/>
        </w:pBdr>
        <w:shd w:fill="EFF6FF" w:val="clear"/>
        <w:spacing w:after="80" w:before="80"/>
        <w:ind w:left="400"/>
      </w:pPr>
      <w:r>
        <w:rPr>
          <w:b/>
          <w:bCs/>
          <w:color w:val="3B82F6"/>
          <w:sz w:val="20"/>
          <w:szCs w:val="20"/>
        </w:rPr>
        <w:t xml:space="preserve">ℹ  </w:t>
      </w:r>
      <w:r>
        <w:rPr>
          <w:color w:val="334155"/>
          <w:sz w:val="20"/>
          <w:szCs w:val="20"/>
        </w:rPr>
        <w:t xml:space="preserve">Use this after index changes, parameter changes, or SQL rewrites to confirm improvement.</w:t>
      </w:r>
    </w:p>
    <w:p>
      <w:pPr>
        <w:spacing w:after="40" w:before="120"/>
      </w:pPr>
    </w:p>
    <w:p>
      <w:r>
        <w:br w:type="page"/>
      </w:r>
    </w:p>
    <w:p>
      <w:pPr>
        <w:pStyle w:val="Heading1"/>
        <w:spacing w:after="120" w:before="360"/>
      </w:pPr>
      <w:r>
        <w:t xml:space="preserve">6. Execution Plan Analysis</w:t>
      </w:r>
    </w:p>
    <w:p>
      <w:pPr>
        <w:pStyle w:val="Heading2"/>
        <w:spacing w:after="80" w:before="240"/>
      </w:pPr>
      <w:r>
        <w:t xml:space="preserve">6.1 Uploading Plans</w:t>
      </w:r>
    </w:p>
    <w:p>
      <w:pPr>
        <w:spacing w:after="60" w:before="60"/>
        <w:ind w:left="200"/>
      </w:pPr>
      <w:r>
        <w:rPr>
          <w:b/>
          <w:bCs/>
          <w:color w:val="F59E0B"/>
          <w:sz w:val="20"/>
          <w:szCs w:val="20"/>
        </w:rPr>
        <w:t xml:space="preserve">1. </w:t>
      </w:r>
      <w:r>
        <w:rPr>
          <w:color w:val="334155"/>
          <w:sz w:val="20"/>
          <w:szCs w:val="20"/>
        </w:rPr>
        <w:t xml:space="preserve">Navigate to 📋 Exec Plan</w:t>
      </w:r>
    </w:p>
    <w:p>
      <w:pPr>
        <w:spacing w:after="60" w:before="60"/>
        <w:ind w:left="200"/>
      </w:pPr>
      <w:r>
        <w:rPr>
          <w:b/>
          <w:bCs/>
          <w:color w:val="F59E0B"/>
          <w:sz w:val="20"/>
          <w:szCs w:val="20"/>
        </w:rPr>
        <w:t xml:space="preserve">2. </w:t>
      </w:r>
      <w:r>
        <w:rPr>
          <w:color w:val="334155"/>
          <w:sz w:val="20"/>
          <w:szCs w:val="20"/>
        </w:rPr>
        <w:t xml:space="preserve">Upload or paste Execution Plan A (baseline) and Plan B (current)</w:t>
      </w:r>
    </w:p>
    <w:p>
      <w:pPr>
        <w:spacing w:after="60" w:before="60"/>
        <w:ind w:left="200"/>
      </w:pPr>
      <w:r>
        <w:rPr>
          <w:b/>
          <w:bCs/>
          <w:color w:val="F59E0B"/>
          <w:sz w:val="20"/>
          <w:szCs w:val="20"/>
        </w:rPr>
        <w:t xml:space="preserve">3. </w:t>
      </w:r>
      <w:r>
        <w:rPr>
          <w:color w:val="334155"/>
          <w:sz w:val="20"/>
          <w:szCs w:val="20"/>
        </w:rPr>
        <w:t xml:space="preserve">Click Compare to view side-by-side diff</w:t>
      </w:r>
    </w:p>
    <w:p>
      <w:pPr>
        <w:spacing w:after="40" w:before="120"/>
      </w:pPr>
    </w:p>
    <w:p>
      <w:pPr>
        <w:pStyle w:val="Heading2"/>
        <w:spacing w:after="80" w:before="240"/>
      </w:pPr>
      <w:r>
        <w:t xml:space="preserve">6.2 Metadata Enrichment</w:t>
      </w:r>
    </w:p>
    <w:p>
      <w:pPr>
        <w:spacing w:after="60" w:before="60"/>
      </w:pPr>
      <w:r>
        <w:rPr>
          <w:color w:val="334155"/>
          <w:sz w:val="20"/>
          <w:szCs w:val="20"/>
        </w:rPr>
        <w:t xml:space="preserve">If Oracle object metadata has been uploaded (see Section 9), the plan analyser automatically enriches findings with:</w:t>
      </w:r>
    </w:p>
    <w:p>
      <w:pPr>
        <w:pStyle w:val="ListParagraph"/>
        <w:numPr>
          <w:ilvl w:val="0"/>
          <w:numId w:val="1"/>
        </w:numPr>
        <w:spacing w:after="40" w:before="40"/>
        <w:ind w:left="400"/>
      </w:pPr>
      <w:r>
        <w:rPr>
          <w:color w:val="334155"/>
          <w:sz w:val="20"/>
          <w:szCs w:val="20"/>
        </w:rPr>
        <w:t xml:space="preserve">Missing or stale statistics warnings on plan objects</w:t>
      </w:r>
    </w:p>
    <w:p>
      <w:pPr>
        <w:pStyle w:val="ListParagraph"/>
        <w:numPr>
          <w:ilvl w:val="0"/>
          <w:numId w:val="1"/>
        </w:numPr>
        <w:spacing w:after="40" w:before="40"/>
        <w:ind w:left="400"/>
      </w:pPr>
      <w:r>
        <w:rPr>
          <w:color w:val="334155"/>
          <w:sz w:val="20"/>
          <w:szCs w:val="20"/>
        </w:rPr>
        <w:t xml:space="preserve">High clustering factor alerts for indexes in the plan</w:t>
      </w:r>
    </w:p>
    <w:p>
      <w:pPr>
        <w:pStyle w:val="ListParagraph"/>
        <w:numPr>
          <w:ilvl w:val="0"/>
          <w:numId w:val="1"/>
        </w:numPr>
        <w:spacing w:after="40" w:before="40"/>
        <w:ind w:left="400"/>
      </w:pPr>
      <w:r>
        <w:rPr>
          <w:color w:val="334155"/>
          <w:sz w:val="20"/>
          <w:szCs w:val="20"/>
        </w:rPr>
        <w:t xml:space="preserve">Deep B-tree index warnings (blevel ≥ 4 — rebuild recommended)</w:t>
      </w:r>
    </w:p>
    <w:p>
      <w:pPr>
        <w:pStyle w:val="ListParagraph"/>
        <w:numPr>
          <w:ilvl w:val="0"/>
          <w:numId w:val="1"/>
        </w:numPr>
        <w:spacing w:after="40" w:before="40"/>
        <w:ind w:left="400"/>
      </w:pPr>
      <w:r>
        <w:rPr>
          <w:color w:val="334155"/>
          <w:sz w:val="20"/>
          <w:szCs w:val="20"/>
        </w:rPr>
        <w:t xml:space="preserve">Table row counts and partitioning context</w:t>
      </w:r>
    </w:p>
    <w:p>
      <w:pPr>
        <w:pStyle w:val="ListParagraph"/>
        <w:numPr>
          <w:ilvl w:val="0"/>
          <w:numId w:val="1"/>
        </w:numPr>
        <w:spacing w:after="40" w:before="40"/>
        <w:ind w:left="400"/>
      </w:pPr>
      <w:r>
        <w:rPr>
          <w:color w:val="334155"/>
          <w:sz w:val="20"/>
          <w:szCs w:val="20"/>
        </w:rPr>
        <w:t xml:space="preserve">Index column definitions for predicate analysis</w:t>
      </w:r>
    </w:p>
    <w:p>
      <w:pPr>
        <w:spacing w:after="40" w:before="120"/>
      </w:pPr>
    </w:p>
    <w:p>
      <w:r>
        <w:br w:type="page"/>
      </w:r>
    </w:p>
    <w:p>
      <w:pPr>
        <w:pStyle w:val="Heading1"/>
        <w:spacing w:after="120" w:before="360"/>
      </w:pPr>
      <w:r>
        <w:t xml:space="preserve">7. AI Recommendations</w:t>
      </w:r>
    </w:p>
    <w:p>
      <w:pPr>
        <w:pStyle w:val="Heading2"/>
        <w:spacing w:after="80" w:before="240"/>
      </w:pPr>
      <w:r>
        <w:t xml:space="preserve">7.1 Generating a Recommendation</w:t>
      </w:r>
    </w:p>
    <w:p>
      <w:pPr>
        <w:spacing w:after="60" w:before="60"/>
        <w:ind w:left="200"/>
      </w:pPr>
      <w:r>
        <w:rPr>
          <w:b/>
          <w:bCs/>
          <w:color w:val="F59E0B"/>
          <w:sz w:val="20"/>
          <w:szCs w:val="20"/>
        </w:rPr>
        <w:t xml:space="preserve">1. </w:t>
      </w:r>
      <w:r>
        <w:rPr>
          <w:color w:val="334155"/>
          <w:sz w:val="20"/>
          <w:szCs w:val="20"/>
        </w:rPr>
        <w:t xml:space="preserve">Navigate to 🤖 AI Recs</w:t>
      </w:r>
    </w:p>
    <w:p>
      <w:pPr>
        <w:spacing w:after="60" w:before="60"/>
        <w:ind w:left="200"/>
      </w:pPr>
      <w:r>
        <w:rPr>
          <w:b/>
          <w:bCs/>
          <w:color w:val="F59E0B"/>
          <w:sz w:val="20"/>
          <w:szCs w:val="20"/>
        </w:rPr>
        <w:t xml:space="preserve">2. </w:t>
      </w:r>
      <w:r>
        <w:rPr>
          <w:color w:val="334155"/>
          <w:sz w:val="20"/>
          <w:szCs w:val="20"/>
        </w:rPr>
        <w:t xml:space="preserve">Select Database from dropdown</w:t>
      </w:r>
    </w:p>
    <w:p>
      <w:pPr>
        <w:spacing w:after="60" w:before="60"/>
        <w:ind w:left="200"/>
      </w:pPr>
      <w:r>
        <w:rPr>
          <w:b/>
          <w:bCs/>
          <w:color w:val="F59E0B"/>
          <w:sz w:val="20"/>
          <w:szCs w:val="20"/>
        </w:rPr>
        <w:t xml:space="preserve">3. </w:t>
      </w:r>
      <w:r>
        <w:rPr>
          <w:color w:val="334155"/>
          <w:sz w:val="20"/>
          <w:szCs w:val="20"/>
        </w:rPr>
        <w:t xml:space="preserve">Select Instance from dropdown</w:t>
      </w:r>
    </w:p>
    <w:p>
      <w:pPr>
        <w:spacing w:after="60" w:before="60"/>
        <w:ind w:left="200"/>
      </w:pPr>
      <w:r>
        <w:rPr>
          <w:b/>
          <w:bCs/>
          <w:color w:val="F59E0B"/>
          <w:sz w:val="20"/>
          <w:szCs w:val="20"/>
        </w:rPr>
        <w:t xml:space="preserve">4. </w:t>
      </w:r>
      <w:r>
        <w:rPr>
          <w:color w:val="334155"/>
          <w:sz w:val="20"/>
          <w:szCs w:val="20"/>
        </w:rPr>
        <w:t xml:space="preserve">Click ▶ Load Snaps — Start and End Snap dropdowns populate</w:t>
      </w:r>
    </w:p>
    <w:p>
      <w:pPr>
        <w:spacing w:after="60" w:before="60"/>
        <w:ind w:left="200"/>
      </w:pPr>
      <w:r>
        <w:rPr>
          <w:b/>
          <w:bCs/>
          <w:color w:val="F59E0B"/>
          <w:sz w:val="20"/>
          <w:szCs w:val="20"/>
        </w:rPr>
        <w:t xml:space="preserve">5. </w:t>
      </w:r>
      <w:r>
        <w:rPr>
          <w:color w:val="334155"/>
          <w:sz w:val="20"/>
          <w:szCs w:val="20"/>
        </w:rPr>
        <w:t xml:space="preserve">Select Start Snap and End Snap</w:t>
      </w:r>
    </w:p>
    <w:p>
      <w:pPr>
        <w:spacing w:after="60" w:before="60"/>
        <w:ind w:left="200"/>
      </w:pPr>
      <w:r>
        <w:rPr>
          <w:b/>
          <w:bCs/>
          <w:color w:val="F59E0B"/>
          <w:sz w:val="20"/>
          <w:szCs w:val="20"/>
        </w:rPr>
        <w:t xml:space="preserve">6. </w:t>
      </w:r>
      <w:r>
        <w:rPr>
          <w:color w:val="334155"/>
          <w:sz w:val="20"/>
          <w:szCs w:val="20"/>
        </w:rPr>
        <w:t xml:space="preserve">Select Focus Type: Overall Analysis / Wait Event / SQL ID / Segment</w:t>
      </w:r>
    </w:p>
    <w:p>
      <w:pPr>
        <w:spacing w:after="60" w:before="60"/>
        <w:ind w:left="200"/>
      </w:pPr>
      <w:r>
        <w:rPr>
          <w:b/>
          <w:bCs/>
          <w:color w:val="F59E0B"/>
          <w:sz w:val="20"/>
          <w:szCs w:val="20"/>
        </w:rPr>
        <w:t xml:space="preserve">7. </w:t>
      </w:r>
      <w:r>
        <w:rPr>
          <w:color w:val="334155"/>
          <w:sz w:val="20"/>
          <w:szCs w:val="20"/>
        </w:rPr>
        <w:t xml:space="preserve">Select Focus Value (auto-populated from snap data for the selected type)</w:t>
      </w:r>
    </w:p>
    <w:p>
      <w:pPr>
        <w:spacing w:after="60" w:before="60"/>
        <w:ind w:left="200"/>
      </w:pPr>
      <w:r>
        <w:rPr>
          <w:b/>
          <w:bCs/>
          <w:color w:val="F59E0B"/>
          <w:sz w:val="20"/>
          <w:szCs w:val="20"/>
        </w:rPr>
        <w:t xml:space="preserve">8. </w:t>
      </w:r>
      <w:r>
        <w:rPr>
          <w:color w:val="334155"/>
          <w:sz w:val="20"/>
          <w:szCs w:val="20"/>
        </w:rPr>
        <w:t xml:space="preserve">Click 🤖 Generate AI Recommendation</w:t>
      </w:r>
    </w:p>
    <w:p>
      <w:pPr>
        <w:pBdr>
          <w:left w:val="single" w:color="3B82F6" w:sz="12"/>
        </w:pBdr>
        <w:shd w:fill="EFF6FF" w:val="clear"/>
        <w:spacing w:after="80" w:before="80"/>
        <w:ind w:left="400"/>
      </w:pPr>
      <w:r>
        <w:rPr>
          <w:b/>
          <w:bCs/>
          <w:color w:val="3B82F6"/>
          <w:sz w:val="20"/>
          <w:szCs w:val="20"/>
        </w:rPr>
        <w:t xml:space="preserve">ℹ  </w:t>
      </w:r>
      <w:r>
        <w:rPr>
          <w:color w:val="334155"/>
          <w:sz w:val="20"/>
          <w:szCs w:val="20"/>
        </w:rPr>
        <w:t xml:space="preserve">Local AI (Ollama) may take 2-5 minutes on the first call while the model loads into RAM. Subsequent calls are faster. Cloud AI responds in 5-10 seconds.</w:t>
      </w:r>
    </w:p>
    <w:p>
      <w:pPr>
        <w:spacing w:after="40" w:before="120"/>
      </w:pPr>
    </w:p>
    <w:p>
      <w:pPr>
        <w:pStyle w:val="Heading2"/>
        <w:spacing w:after="80" w:before="240"/>
      </w:pPr>
      <w:r>
        <w:t xml:space="preserve">7.2 Reviewing Recommendations</w:t>
      </w:r>
    </w:p>
    <w:p>
      <w:pPr>
        <w:spacing w:after="60" w:before="60"/>
      </w:pPr>
      <w:r>
        <w:rPr>
          <w:color w:val="334155"/>
          <w:sz w:val="20"/>
          <w:szCs w:val="20"/>
        </w:rPr>
        <w:t xml:space="preserve">Each recommendation shows: severity (🔴🟠🟡🟢), trigger type and value, AI provider, generation time, and the full recommendation text including Root Cause, Evidence, Recommendations, and Validation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E293B" w:val="clear"/>
          </w:tcPr>
          <w:p>
            <w:pPr>
              <w:spacing w:after="60" w:before="60"/>
            </w:pPr>
            <w:r>
              <w:rPr>
                <w:b/>
                <w:bCs/>
                <w:color w:val="FFFFFF"/>
                <w:sz w:val="18"/>
                <w:szCs w:val="18"/>
              </w:rPr>
              <w:t xml:space="preserve">Button</w:t>
            </w:r>
          </w:p>
        </w:tc>
        <w:tc>
          <w:tcPr>
            <w:tcW w:type="dxa" w:w="7600"/>
            <w:shd w:fill="1E293B" w:val="clear"/>
          </w:tcPr>
          <w:p>
            <w:pPr>
              <w:spacing w:after="60" w:before="60"/>
            </w:pPr>
            <w:r>
              <w:rPr>
                <w:b/>
                <w:bCs/>
                <w:color w:val="FFFFFF"/>
                <w:sz w:val="18"/>
                <w:szCs w:val="18"/>
              </w:rPr>
              <w:t xml:space="preserve">Action</w:t>
            </w:r>
          </w:p>
        </w:tc>
      </w:tr>
      <w:tr>
        <w:trPr>
          <w:tblHeader w:val="false"/>
        </w:trPr>
        <w:tc>
          <w:tcPr>
            <w:tcW w:type="dxa" w:w="1400"/>
            <w:shd w:fill="FFFFFF" w:val="clear"/>
          </w:tcPr>
          <w:p>
            <w:pPr>
              <w:spacing w:after="60" w:before="60"/>
            </w:pPr>
            <w:r>
              <w:rPr>
                <w:b w:val="false"/>
                <w:bCs w:val="false"/>
                <w:color w:val="334155"/>
                <w:sz w:val="18"/>
                <w:szCs w:val="18"/>
              </w:rPr>
              <w:t xml:space="preserve">✅ Accept</w:t>
            </w:r>
          </w:p>
        </w:tc>
        <w:tc>
          <w:tcPr>
            <w:tcW w:type="dxa" w:w="7600"/>
            <w:shd w:fill="FFFFFF" w:val="clear"/>
          </w:tcPr>
          <w:p>
            <w:pPr>
              <w:spacing w:after="60" w:before="60"/>
            </w:pPr>
            <w:r>
              <w:rPr>
                <w:b w:val="false"/>
                <w:bCs w:val="false"/>
                <w:color w:val="334155"/>
                <w:sz w:val="18"/>
                <w:szCs w:val="18"/>
              </w:rPr>
              <w:t xml:space="preserve">Marks as accepted. Added to AI learning store — similar issues get this as future context.</w:t>
            </w:r>
          </w:p>
        </w:tc>
      </w:tr>
      <w:tr>
        <w:trPr>
          <w:tblHeader w:val="false"/>
        </w:trPr>
        <w:tc>
          <w:tcPr>
            <w:tcW w:type="dxa" w:w="1400"/>
            <w:shd w:fill="FFFFFF" w:val="clear"/>
          </w:tcPr>
          <w:p>
            <w:pPr>
              <w:spacing w:after="60" w:before="60"/>
            </w:pPr>
            <w:r>
              <w:rPr>
                <w:b w:val="false"/>
                <w:bCs w:val="false"/>
                <w:color w:val="334155"/>
                <w:sz w:val="18"/>
                <w:szCs w:val="18"/>
              </w:rPr>
              <w:t xml:space="preserve">❌ Reject</w:t>
            </w:r>
          </w:p>
        </w:tc>
        <w:tc>
          <w:tcPr>
            <w:tcW w:type="dxa" w:w="7600"/>
            <w:shd w:fill="FFFFFF" w:val="clear"/>
          </w:tcPr>
          <w:p>
            <w:pPr>
              <w:spacing w:after="60" w:before="60"/>
            </w:pPr>
            <w:r>
              <w:rPr>
                <w:b w:val="false"/>
                <w:bCs w:val="false"/>
                <w:color w:val="334155"/>
                <w:sz w:val="18"/>
                <w:szCs w:val="18"/>
              </w:rPr>
              <w:t xml:space="preserve">Marks as rejected. Optionally provide feedback explaining why.</w:t>
            </w:r>
          </w:p>
        </w:tc>
      </w:tr>
      <w:tr>
        <w:trPr>
          <w:tblHeader w:val="false"/>
        </w:trPr>
        <w:tc>
          <w:tcPr>
            <w:tcW w:type="dxa" w:w="1400"/>
            <w:shd w:fill="FFFFFF" w:val="clear"/>
          </w:tcPr>
          <w:p>
            <w:pPr>
              <w:spacing w:after="60" w:before="60"/>
            </w:pPr>
            <w:r>
              <w:rPr>
                <w:b w:val="false"/>
                <w:bCs w:val="false"/>
                <w:color w:val="334155"/>
                <w:sz w:val="18"/>
                <w:szCs w:val="18"/>
              </w:rPr>
              <w:t xml:space="preserve">✏️ Revise</w:t>
            </w:r>
          </w:p>
        </w:tc>
        <w:tc>
          <w:tcPr>
            <w:tcW w:type="dxa" w:w="7600"/>
            <w:shd w:fill="FFFFFF" w:val="clear"/>
          </w:tcPr>
          <w:p>
            <w:pPr>
              <w:spacing w:after="60" w:before="60"/>
            </w:pPr>
            <w:r>
              <w:rPr>
                <w:b w:val="false"/>
                <w:bCs w:val="false"/>
                <w:color w:val="334155"/>
                <w:sz w:val="18"/>
                <w:szCs w:val="18"/>
              </w:rPr>
              <w:t xml:space="preserve">Add more context (e.g. table has 100 concurrent DML sessions) and re-generate.</w:t>
            </w:r>
          </w:p>
        </w:tc>
      </w:tr>
    </w:tbl>
    <w:p>
      <w:pPr>
        <w:spacing w:after="40" w:before="120"/>
      </w:pPr>
    </w:p>
    <w:p>
      <w:pPr>
        <w:pStyle w:val="Heading2"/>
        <w:spacing w:after="80" w:before="240"/>
      </w:pPr>
      <w:r>
        <w:t xml:space="preserve">7.3 Filtering History</w:t>
      </w:r>
    </w:p>
    <w:p>
      <w:pPr>
        <w:spacing w:after="60" w:before="60"/>
      </w:pPr>
      <w:r>
        <w:rPr>
          <w:color w:val="334155"/>
          <w:sz w:val="20"/>
          <w:szCs w:val="20"/>
        </w:rPr>
        <w:t xml:space="preserve">Use the filter bar above the recommendations list to filter by Database, Status (Pending / Accepted / Rejected / Revised), or search text. Click 🔄 Refresh to reload.</w:t>
      </w:r>
    </w:p>
    <w:p>
      <w:pPr>
        <w:spacing w:after="40" w:before="120"/>
      </w:pPr>
    </w:p>
    <w:p>
      <w:r>
        <w:br w:type="page"/>
      </w:r>
    </w:p>
    <w:p>
      <w:pPr>
        <w:pStyle w:val="Heading1"/>
        <w:spacing w:after="120" w:before="360"/>
      </w:pPr>
      <w:r>
        <w:t xml:space="preserve">8. SQL Search</w:t>
      </w:r>
    </w:p>
    <w:p>
      <w:pPr>
        <w:spacing w:after="60" w:before="60"/>
      </w:pPr>
      <w:r>
        <w:rPr>
          <w:color w:val="334155"/>
          <w:sz w:val="20"/>
          <w:szCs w:val="20"/>
        </w:rPr>
        <w:t xml:space="preserve">Search for SQL statements across all databases by SQL ID or by text pattern. Results show the SQL text, execution statistics, and which databases the SQL appears in.</w:t>
      </w:r>
    </w:p>
    <w:p>
      <w:pPr>
        <w:spacing w:after="60" w:before="60"/>
        <w:ind w:left="200"/>
      </w:pPr>
      <w:r>
        <w:rPr>
          <w:b/>
          <w:bCs/>
          <w:color w:val="F59E0B"/>
          <w:sz w:val="20"/>
          <w:szCs w:val="20"/>
        </w:rPr>
        <w:t xml:space="preserve">1. </w:t>
      </w:r>
      <w:r>
        <w:rPr>
          <w:color w:val="334155"/>
          <w:sz w:val="20"/>
          <w:szCs w:val="20"/>
        </w:rPr>
        <w:t xml:space="preserve">Navigate to 🔍 SQL Search</w:t>
      </w:r>
    </w:p>
    <w:p>
      <w:pPr>
        <w:spacing w:after="60" w:before="60"/>
        <w:ind w:left="200"/>
      </w:pPr>
      <w:r>
        <w:rPr>
          <w:b/>
          <w:bCs/>
          <w:color w:val="F59E0B"/>
          <w:sz w:val="20"/>
          <w:szCs w:val="20"/>
        </w:rPr>
        <w:t xml:space="preserve">2. </w:t>
      </w:r>
      <w:r>
        <w:rPr>
          <w:color w:val="334155"/>
          <w:sz w:val="20"/>
          <w:szCs w:val="20"/>
        </w:rPr>
        <w:t xml:space="preserve">Enter a SQL ID (e.g. 7qnw4kkfdbf7w) or a text fragment (e.g. GENERIC_EVENT)</w:t>
      </w:r>
    </w:p>
    <w:p>
      <w:pPr>
        <w:spacing w:after="60" w:before="60"/>
        <w:ind w:left="200"/>
      </w:pPr>
      <w:r>
        <w:rPr>
          <w:b/>
          <w:bCs/>
          <w:color w:val="F59E0B"/>
          <w:sz w:val="20"/>
          <w:szCs w:val="20"/>
        </w:rPr>
        <w:t xml:space="preserve">3. </w:t>
      </w:r>
      <w:r>
        <w:rPr>
          <w:color w:val="334155"/>
          <w:sz w:val="20"/>
          <w:szCs w:val="20"/>
        </w:rPr>
        <w:t xml:space="preserve">Select database filter (optional)</w:t>
      </w:r>
    </w:p>
    <w:p>
      <w:pPr>
        <w:spacing w:after="60" w:before="60"/>
        <w:ind w:left="200"/>
      </w:pPr>
      <w:r>
        <w:rPr>
          <w:b/>
          <w:bCs/>
          <w:color w:val="F59E0B"/>
          <w:sz w:val="20"/>
          <w:szCs w:val="20"/>
        </w:rPr>
        <w:t xml:space="preserve">4. </w:t>
      </w:r>
      <w:r>
        <w:rPr>
          <w:color w:val="334155"/>
          <w:sz w:val="20"/>
          <w:szCs w:val="20"/>
        </w:rPr>
        <w:t xml:space="preserve">View matching SQL statements with execution stats</w:t>
      </w:r>
    </w:p>
    <w:p>
      <w:pPr>
        <w:spacing w:after="40" w:before="120"/>
      </w:pPr>
    </w:p>
    <w:p>
      <w:r>
        <w:br w:type="page"/>
      </w:r>
    </w:p>
    <w:p>
      <w:pPr>
        <w:pStyle w:val="Heading1"/>
        <w:spacing w:after="120" w:before="360"/>
      </w:pPr>
      <w:r>
        <w:t xml:space="preserve">9. Oracle Object Metadata</w:t>
      </w:r>
    </w:p>
    <w:p>
      <w:pPr>
        <w:pStyle w:val="Heading2"/>
        <w:spacing w:after="80" w:before="240"/>
      </w:pPr>
      <w:r>
        <w:t xml:space="preserve">9.1 What Is It</w:t>
      </w:r>
    </w:p>
    <w:p>
      <w:pPr>
        <w:spacing w:after="60" w:before="60"/>
      </w:pPr>
      <w:r>
        <w:rPr>
          <w:color w:val="334155"/>
          <w:sz w:val="20"/>
          <w:szCs w:val="20"/>
        </w:rPr>
        <w:t xml:space="preserve">Object metadata is Oracle dictionary information — table sizes, index definitions, statistics dates, clustering factors — exported from dba_tables, dba_indexes, and dba_tab_partitions. It enriches AI recommendations and execution plan analysis significantly.</w:t>
      </w:r>
    </w:p>
    <w:p>
      <w:pPr>
        <w:spacing w:after="40" w:before="120"/>
      </w:pPr>
    </w:p>
    <w:p>
      <w:pPr>
        <w:pStyle w:val="Heading2"/>
        <w:spacing w:after="80" w:before="240"/>
      </w:pPr>
      <w:r>
        <w:t xml:space="preserve">9.2 Exporting from Oracle</w:t>
      </w:r>
    </w:p>
    <w:p>
      <w:pPr>
        <w:spacing w:after="60" w:before="60"/>
        <w:ind w:left="200"/>
      </w:pPr>
      <w:r>
        <w:rPr>
          <w:b/>
          <w:bCs/>
          <w:color w:val="F59E0B"/>
          <w:sz w:val="20"/>
          <w:szCs w:val="20"/>
        </w:rPr>
        <w:t xml:space="preserve">1. </w:t>
      </w:r>
      <w:r>
        <w:rPr>
          <w:color w:val="334155"/>
          <w:sz w:val="20"/>
          <w:szCs w:val="20"/>
        </w:rPr>
        <w:t xml:space="preserve">Download export_object_metadata.sql from Portal → 📚 Metadata → Step 1</w:t>
      </w:r>
    </w:p>
    <w:p>
      <w:pPr>
        <w:spacing w:after="60" w:before="60"/>
        <w:ind w:left="200"/>
      </w:pPr>
      <w:r>
        <w:rPr>
          <w:b/>
          <w:bCs/>
          <w:color w:val="F59E0B"/>
          <w:sz w:val="20"/>
          <w:szCs w:val="20"/>
        </w:rPr>
        <w:t xml:space="preserve">2. </w:t>
      </w:r>
      <w:r>
        <w:rPr>
          <w:color w:val="334155"/>
          <w:sz w:val="20"/>
          <w:szCs w:val="20"/>
        </w:rPr>
        <w:t xml:space="preserve">Run on each Oracle database as DBA or SELECT_CATALOG_ROLE user:</w:t>
      </w:r>
    </w:p>
    <w:p>
      <w:pPr>
        <w:pBdr>
          <w:left w:val="single" w:color="CBD5E1" w:sz="8"/>
        </w:pBdr>
        <w:shd w:fill="F1F5F9" w:val="clear"/>
        <w:spacing w:after="40" w:before="40"/>
        <w:ind w:left="600"/>
      </w:pPr>
      <w:r>
        <w:rPr>
          <w:rFonts w:ascii="Courier New" w:cs="Courier New" w:eastAsia="Courier New" w:hAnsi="Courier New"/>
          <w:color w:val="1E293B"/>
          <w:sz w:val="18"/>
          <w:szCs w:val="18"/>
        </w:rPr>
        <w:t xml:space="preserve">sqlplus user/password@DBNAME @export_object_metadata.sql DBNAME</w:t>
      </w:r>
    </w:p>
    <w:p>
      <w:pPr>
        <w:spacing w:after="60" w:before="60"/>
        <w:ind w:left="200"/>
      </w:pPr>
      <w:r>
        <w:rPr>
          <w:b/>
          <w:bCs/>
          <w:color w:val="F59E0B"/>
          <w:sz w:val="20"/>
          <w:szCs w:val="20"/>
        </w:rPr>
        <w:t xml:space="preserve">3. </w:t>
      </w:r>
      <w:r>
        <w:rPr>
          <w:color w:val="334155"/>
          <w:sz w:val="20"/>
          <w:szCs w:val="20"/>
        </w:rPr>
        <w:t xml:space="preserve">Output: object_metadata_DBNAME.csv in the current directory</w:t>
      </w:r>
    </w:p>
    <w:p>
      <w:pPr>
        <w:pBdr>
          <w:left w:val="single" w:color="3B82F6" w:sz="12"/>
        </w:pBdr>
        <w:shd w:fill="EFF6FF" w:val="clear"/>
        <w:spacing w:after="80" w:before="80"/>
        <w:ind w:left="400"/>
      </w:pPr>
      <w:r>
        <w:rPr>
          <w:b/>
          <w:bCs/>
          <w:color w:val="3B82F6"/>
          <w:sz w:val="20"/>
          <w:szCs w:val="20"/>
        </w:rPr>
        <w:t xml:space="preserve">ℹ  </w:t>
      </w:r>
      <w:r>
        <w:rPr>
          <w:color w:val="334155"/>
          <w:sz w:val="20"/>
          <w:szCs w:val="20"/>
        </w:rPr>
        <w:t xml:space="preserve">Run this on each Oracle database server separately. One CSV file per database.</w:t>
      </w:r>
    </w:p>
    <w:p>
      <w:pPr>
        <w:spacing w:after="40" w:before="120"/>
      </w:pPr>
    </w:p>
    <w:p>
      <w:pPr>
        <w:pStyle w:val="Heading2"/>
        <w:spacing w:after="80" w:before="240"/>
      </w:pPr>
      <w:r>
        <w:t xml:space="preserve">9.3 Uploading to Portal</w:t>
      </w:r>
    </w:p>
    <w:p>
      <w:pPr>
        <w:spacing w:after="60" w:before="60"/>
        <w:ind w:left="200"/>
      </w:pPr>
      <w:r>
        <w:rPr>
          <w:b/>
          <w:bCs/>
          <w:color w:val="F59E0B"/>
          <w:sz w:val="20"/>
          <w:szCs w:val="20"/>
        </w:rPr>
        <w:t xml:space="preserve">1. </w:t>
      </w:r>
      <w:r>
        <w:rPr>
          <w:color w:val="334155"/>
          <w:sz w:val="20"/>
          <w:szCs w:val="20"/>
        </w:rPr>
        <w:t xml:space="preserve">Navigate to 📚 Metadata</w:t>
      </w:r>
    </w:p>
    <w:p>
      <w:pPr>
        <w:spacing w:after="60" w:before="60"/>
        <w:ind w:left="200"/>
      </w:pPr>
      <w:r>
        <w:rPr>
          <w:b/>
          <w:bCs/>
          <w:color w:val="F59E0B"/>
          <w:sz w:val="20"/>
          <w:szCs w:val="20"/>
        </w:rPr>
        <w:t xml:space="preserve">2. </w:t>
      </w:r>
      <w:r>
        <w:rPr>
          <w:color w:val="334155"/>
          <w:sz w:val="20"/>
          <w:szCs w:val="20"/>
        </w:rPr>
        <w:t xml:space="preserve">Select the database name</w:t>
      </w:r>
    </w:p>
    <w:p>
      <w:pPr>
        <w:spacing w:after="60" w:before="60"/>
        <w:ind w:left="200"/>
      </w:pPr>
      <w:r>
        <w:rPr>
          <w:b/>
          <w:bCs/>
          <w:color w:val="F59E0B"/>
          <w:sz w:val="20"/>
          <w:szCs w:val="20"/>
        </w:rPr>
        <w:t xml:space="preserve">3. </w:t>
      </w:r>
      <w:r>
        <w:rPr>
          <w:color w:val="334155"/>
          <w:sz w:val="20"/>
          <w:szCs w:val="20"/>
        </w:rPr>
        <w:t xml:space="preserve">Click the upload zone and select the CSV file</w:t>
      </w:r>
    </w:p>
    <w:p>
      <w:pPr>
        <w:spacing w:after="60" w:before="60"/>
        <w:ind w:left="200"/>
      </w:pPr>
      <w:r>
        <w:rPr>
          <w:b/>
          <w:bCs/>
          <w:color w:val="F59E0B"/>
          <w:sz w:val="20"/>
          <w:szCs w:val="20"/>
        </w:rPr>
        <w:t xml:space="preserve">4. </w:t>
      </w:r>
      <w:r>
        <w:rPr>
          <w:color w:val="334155"/>
          <w:sz w:val="20"/>
          <w:szCs w:val="20"/>
        </w:rPr>
        <w:t xml:space="preserve">Click 📤 Upload &amp; Import</w:t>
      </w:r>
    </w:p>
    <w:p>
      <w:pPr>
        <w:spacing w:after="60" w:before="60"/>
      </w:pPr>
      <w:r>
        <w:rPr>
          <w:color w:val="334155"/>
          <w:sz w:val="20"/>
          <w:szCs w:val="20"/>
        </w:rPr>
        <w:t xml:space="preserve">The portal shows a coverage summary table with object counts and last upload date per database. Re-upload at any time to update statistics.</w:t>
      </w:r>
    </w:p>
    <w:p>
      <w:pPr>
        <w:spacing w:after="40" w:before="120"/>
      </w:pPr>
    </w:p>
    <w:p>
      <w:pPr>
        <w:pStyle w:val="Heading2"/>
        <w:spacing w:after="80" w:before="240"/>
      </w:pPr>
      <w:r>
        <w:t xml:space="preserve">9.4 Metadata-Driven Rules</w:t>
      </w:r>
    </w:p>
    <w:p>
      <w:pPr>
        <w:spacing w:after="60" w:before="60"/>
      </w:pPr>
      <w:r>
        <w:rPr>
          <w:color w:val="334155"/>
          <w:sz w:val="20"/>
          <w:szCs w:val="20"/>
        </w:rPr>
        <w:t xml:space="preserve">When metadata is available, the rules engine fires additional checks on hot segments: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shd w:fill="1E293B" w:val="clear"/>
          </w:tcPr>
          <w:p>
            <w:pPr>
              <w:spacing w:after="60" w:before="60"/>
            </w:pPr>
            <w:r>
              <w:rPr>
                <w:b/>
                <w:bCs/>
                <w:color w:val="FFFFFF"/>
                <w:sz w:val="18"/>
                <w:szCs w:val="18"/>
              </w:rPr>
              <w:t xml:space="preserve">Rule</w:t>
            </w:r>
          </w:p>
        </w:tc>
        <w:tc>
          <w:tcPr>
            <w:tcW w:type="dxa" w:w="3000"/>
            <w:shd w:fill="1E293B" w:val="clear"/>
          </w:tcPr>
          <w:p>
            <w:pPr>
              <w:spacing w:after="60" w:before="60"/>
            </w:pPr>
            <w:r>
              <w:rPr>
                <w:b/>
                <w:bCs/>
                <w:color w:val="FFFFFF"/>
                <w:sz w:val="18"/>
                <w:szCs w:val="18"/>
              </w:rPr>
              <w:t xml:space="preserve">Trigger</w:t>
            </w:r>
          </w:p>
        </w:tc>
        <w:tc>
          <w:tcPr>
            <w:tcW w:type="dxa" w:w="3600"/>
            <w:shd w:fill="1E293B" w:val="clear"/>
          </w:tcPr>
          <w:p>
            <w:pPr>
              <w:spacing w:after="60" w:before="60"/>
            </w:pPr>
            <w:r>
              <w:rPr>
                <w:b/>
                <w:bCs/>
                <w:color w:val="FFFFFF"/>
                <w:sz w:val="18"/>
                <w:szCs w:val="18"/>
              </w:rPr>
              <w:t xml:space="preserve">Severity</w:t>
            </w:r>
          </w:p>
        </w:tc>
      </w:tr>
      <w:tr>
        <w:trPr>
          <w:tblHeader w:val="false"/>
        </w:trPr>
        <w:tc>
          <w:tcPr>
            <w:tcW w:type="dxa" w:w="2400"/>
            <w:shd w:fill="FFFFFF" w:val="clear"/>
          </w:tcPr>
          <w:p>
            <w:pPr>
              <w:spacing w:after="60" w:before="60"/>
            </w:pPr>
            <w:r>
              <w:rPr>
                <w:b w:val="false"/>
                <w:bCs w:val="false"/>
                <w:color w:val="334155"/>
                <w:sz w:val="18"/>
                <w:szCs w:val="18"/>
              </w:rPr>
              <w:t xml:space="preserve">Missing Statistics</w:t>
            </w:r>
          </w:p>
        </w:tc>
        <w:tc>
          <w:tcPr>
            <w:tcW w:type="dxa" w:w="3000"/>
            <w:shd w:fill="FFFFFF" w:val="clear"/>
          </w:tcPr>
          <w:p>
            <w:pPr>
              <w:spacing w:after="60" w:before="60"/>
            </w:pPr>
            <w:r>
              <w:rPr>
                <w:b w:val="false"/>
                <w:bCs w:val="false"/>
                <w:color w:val="334155"/>
                <w:sz w:val="18"/>
                <w:szCs w:val="18"/>
              </w:rPr>
              <w:t xml:space="preserve">last_analyzed = NULL</w:t>
            </w:r>
          </w:p>
        </w:tc>
        <w:tc>
          <w:tcPr>
            <w:tcW w:type="dxa" w:w="3600"/>
            <w:shd w:fill="FFFFFF" w:val="clear"/>
          </w:tcPr>
          <w:p>
            <w:pPr>
              <w:spacing w:after="60" w:before="60"/>
            </w:pPr>
            <w:r>
              <w:rPr>
                <w:b w:val="false"/>
                <w:bCs w:val="false"/>
                <w:color w:val="334155"/>
                <w:sz w:val="18"/>
                <w:szCs w:val="18"/>
              </w:rPr>
              <w:t xml:space="preserve">High</w:t>
            </w:r>
          </w:p>
        </w:tc>
      </w:tr>
      <w:tr>
        <w:trPr>
          <w:tblHeader w:val="false"/>
        </w:trPr>
        <w:tc>
          <w:tcPr>
            <w:tcW w:type="dxa" w:w="2400"/>
            <w:shd w:fill="FFFFFF" w:val="clear"/>
          </w:tcPr>
          <w:p>
            <w:pPr>
              <w:spacing w:after="60" w:before="60"/>
            </w:pPr>
            <w:r>
              <w:rPr>
                <w:b w:val="false"/>
                <w:bCs w:val="false"/>
                <w:color w:val="334155"/>
                <w:sz w:val="18"/>
                <w:szCs w:val="18"/>
              </w:rPr>
              <w:t xml:space="preserve">Stale Statistics</w:t>
            </w:r>
          </w:p>
        </w:tc>
        <w:tc>
          <w:tcPr>
            <w:tcW w:type="dxa" w:w="3000"/>
            <w:shd w:fill="FFFFFF" w:val="clear"/>
          </w:tcPr>
          <w:p>
            <w:pPr>
              <w:spacing w:after="60" w:before="60"/>
            </w:pPr>
            <w:r>
              <w:rPr>
                <w:b w:val="false"/>
                <w:bCs w:val="false"/>
                <w:color w:val="334155"/>
                <w:sz w:val="18"/>
                <w:szCs w:val="18"/>
              </w:rPr>
              <w:t xml:space="preserve">last_analyzed &gt; 30 days ago</w:t>
            </w:r>
          </w:p>
        </w:tc>
        <w:tc>
          <w:tcPr>
            <w:tcW w:type="dxa" w:w="3600"/>
            <w:shd w:fill="FFFFFF" w:val="clear"/>
          </w:tcPr>
          <w:p>
            <w:pPr>
              <w:spacing w:after="60" w:before="60"/>
            </w:pPr>
            <w:r>
              <w:rPr>
                <w:b w:val="false"/>
                <w:bCs w:val="false"/>
                <w:color w:val="334155"/>
                <w:sz w:val="18"/>
                <w:szCs w:val="18"/>
              </w:rPr>
              <w:t xml:space="preserve">High (&gt;90d) / Medium</w:t>
            </w:r>
          </w:p>
        </w:tc>
      </w:tr>
      <w:tr>
        <w:trPr>
          <w:tblHeader w:val="false"/>
        </w:trPr>
        <w:tc>
          <w:tcPr>
            <w:tcW w:type="dxa" w:w="2400"/>
            <w:shd w:fill="FFFFFF" w:val="clear"/>
          </w:tcPr>
          <w:p>
            <w:pPr>
              <w:spacing w:after="60" w:before="60"/>
            </w:pPr>
            <w:r>
              <w:rPr>
                <w:b w:val="false"/>
                <w:bCs w:val="false"/>
                <w:color w:val="334155"/>
                <w:sz w:val="18"/>
                <w:szCs w:val="18"/>
              </w:rPr>
              <w:t xml:space="preserve">High Clustering Factor</w:t>
            </w:r>
          </w:p>
        </w:tc>
        <w:tc>
          <w:tcPr>
            <w:tcW w:type="dxa" w:w="3000"/>
            <w:shd w:fill="FFFFFF" w:val="clear"/>
          </w:tcPr>
          <w:p>
            <w:pPr>
              <w:spacing w:after="60" w:before="60"/>
            </w:pPr>
            <w:r>
              <w:rPr>
                <w:b w:val="false"/>
                <w:bCs w:val="false"/>
                <w:color w:val="334155"/>
                <w:sz w:val="18"/>
                <w:szCs w:val="18"/>
              </w:rPr>
              <w:t xml:space="preserve">clustering_factor / num_rows &gt; 0.8</w:t>
            </w:r>
          </w:p>
        </w:tc>
        <w:tc>
          <w:tcPr>
            <w:tcW w:type="dxa" w:w="3600"/>
            <w:shd w:fill="FFFFFF" w:val="clear"/>
          </w:tcPr>
          <w:p>
            <w:pPr>
              <w:spacing w:after="60" w:before="60"/>
            </w:pPr>
            <w:r>
              <w:rPr>
                <w:b w:val="false"/>
                <w:bCs w:val="false"/>
                <w:color w:val="334155"/>
                <w:sz w:val="18"/>
                <w:szCs w:val="18"/>
              </w:rPr>
              <w:t xml:space="preserve">High (&gt;1.5x) / Medium</w:t>
            </w:r>
          </w:p>
        </w:tc>
      </w:tr>
      <w:tr>
        <w:trPr>
          <w:tblHeader w:val="false"/>
        </w:trPr>
        <w:tc>
          <w:tcPr>
            <w:tcW w:type="dxa" w:w="2400"/>
            <w:shd w:fill="FFFFFF" w:val="clear"/>
          </w:tcPr>
          <w:p>
            <w:pPr>
              <w:spacing w:after="60" w:before="60"/>
            </w:pPr>
            <w:r>
              <w:rPr>
                <w:b w:val="false"/>
                <w:bCs w:val="false"/>
                <w:color w:val="334155"/>
                <w:sz w:val="18"/>
                <w:szCs w:val="18"/>
              </w:rPr>
              <w:t xml:space="preserve">Deep B-tree Index</w:t>
            </w:r>
          </w:p>
        </w:tc>
        <w:tc>
          <w:tcPr>
            <w:tcW w:type="dxa" w:w="3000"/>
            <w:shd w:fill="FFFFFF" w:val="clear"/>
          </w:tcPr>
          <w:p>
            <w:pPr>
              <w:spacing w:after="60" w:before="60"/>
            </w:pPr>
            <w:r>
              <w:rPr>
                <w:b w:val="false"/>
                <w:bCs w:val="false"/>
                <w:color w:val="334155"/>
                <w:sz w:val="18"/>
                <w:szCs w:val="18"/>
              </w:rPr>
              <w:t xml:space="preserve">blevel ≥ 4</w:t>
            </w:r>
          </w:p>
        </w:tc>
        <w:tc>
          <w:tcPr>
            <w:tcW w:type="dxa" w:w="3600"/>
            <w:shd w:fill="FFFFFF" w:val="clear"/>
          </w:tcPr>
          <w:p>
            <w:pPr>
              <w:spacing w:after="60" w:before="60"/>
            </w:pPr>
            <w:r>
              <w:rPr>
                <w:b w:val="false"/>
                <w:bCs w:val="false"/>
                <w:color w:val="334155"/>
                <w:sz w:val="18"/>
                <w:szCs w:val="18"/>
              </w:rPr>
              <w:t xml:space="preserve">High (≥5) / Medium</w:t>
            </w:r>
          </w:p>
        </w:tc>
      </w:tr>
      <w:tr>
        <w:trPr>
          <w:tblHeader w:val="false"/>
        </w:trPr>
        <w:tc>
          <w:tcPr>
            <w:tcW w:type="dxa" w:w="2400"/>
            <w:shd w:fill="FFFFFF" w:val="clear"/>
          </w:tcPr>
          <w:p>
            <w:pPr>
              <w:spacing w:after="60" w:before="60"/>
            </w:pPr>
            <w:r>
              <w:rPr>
                <w:b w:val="false"/>
                <w:bCs w:val="false"/>
                <w:color w:val="334155"/>
                <w:sz w:val="18"/>
                <w:szCs w:val="18"/>
              </w:rPr>
              <w:t xml:space="preserve">Large Unpartitioned Table</w:t>
            </w:r>
          </w:p>
        </w:tc>
        <w:tc>
          <w:tcPr>
            <w:tcW w:type="dxa" w:w="3000"/>
            <w:shd w:fill="FFFFFF" w:val="clear"/>
          </w:tcPr>
          <w:p>
            <w:pPr>
              <w:spacing w:after="60" w:before="60"/>
            </w:pPr>
            <w:r>
              <w:rPr>
                <w:b w:val="false"/>
                <w:bCs w:val="false"/>
                <w:color w:val="334155"/>
                <w:sz w:val="18"/>
                <w:szCs w:val="18"/>
              </w:rPr>
              <w:t xml:space="preserve">num_rows &gt; 10M, no partitioning</w:t>
            </w:r>
          </w:p>
        </w:tc>
        <w:tc>
          <w:tcPr>
            <w:tcW w:type="dxa" w:w="3600"/>
            <w:shd w:fill="FFFFFF" w:val="clear"/>
          </w:tcPr>
          <w:p>
            <w:pPr>
              <w:spacing w:after="60" w:before="60"/>
            </w:pPr>
            <w:r>
              <w:rPr>
                <w:b w:val="false"/>
                <w:bCs w:val="false"/>
                <w:color w:val="334155"/>
                <w:sz w:val="18"/>
                <w:szCs w:val="18"/>
              </w:rPr>
              <w:t xml:space="preserve">High (&gt;100M) / Medium</w:t>
            </w:r>
          </w:p>
        </w:tc>
      </w:tr>
    </w:tbl>
    <w:p>
      <w:pPr>
        <w:spacing w:after="40" w:before="120"/>
      </w:pPr>
    </w:p>
    <w:p>
      <w:r>
        <w:br w:type="page"/>
      </w:r>
    </w:p>
    <w:p>
      <w:pPr>
        <w:pStyle w:val="Heading1"/>
        <w:spacing w:after="120" w:before="360"/>
      </w:pPr>
      <w:r>
        <w:t xml:space="preserve">10. Queue Monitor</w:t>
      </w:r>
    </w:p>
    <w:p>
      <w:pPr>
        <w:spacing w:after="60" w:before="60"/>
      </w:pPr>
      <w:r>
        <w:rPr>
          <w:color w:val="334155"/>
          <w:sz w:val="20"/>
          <w:szCs w:val="20"/>
        </w:rPr>
        <w:t xml:space="preserve">The Queue Monitor shows detailed status of all AWR and SAR parsing jobs. Filter by database, status, or date range.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00"/>
      </w:tblGrid>
      <w:tr>
        <w:trPr>
          <w:tblHeader/>
        </w:trPr>
        <w:tc>
          <w:tcPr>
            <w:tcW w:type="dxa" w:w="1600"/>
            <w:shd w:fill="1E293B" w:val="clear"/>
          </w:tcPr>
          <w:p>
            <w:pPr>
              <w:spacing w:after="60" w:before="60"/>
            </w:pPr>
            <w:r>
              <w:rPr>
                <w:b/>
                <w:bCs/>
                <w:color w:val="FFFFFF"/>
                <w:sz w:val="18"/>
                <w:szCs w:val="18"/>
              </w:rPr>
              <w:t xml:space="preserve">Status</w:t>
            </w:r>
          </w:p>
        </w:tc>
        <w:tc>
          <w:tcPr>
            <w:tcW w:type="dxa" w:w="2400"/>
            <w:shd w:fill="1E293B" w:val="clear"/>
          </w:tcPr>
          <w:p>
            <w:pPr>
              <w:spacing w:after="60" w:before="60"/>
            </w:pPr>
            <w:r>
              <w:rPr>
                <w:b/>
                <w:bCs/>
                <w:color w:val="FFFFFF"/>
                <w:sz w:val="18"/>
                <w:szCs w:val="18"/>
              </w:rPr>
              <w:t xml:space="preserve">Meaning</w:t>
            </w:r>
          </w:p>
        </w:tc>
        <w:tc>
          <w:tcPr>
            <w:tcW w:type="dxa" w:w="5000"/>
            <w:shd w:fill="1E293B" w:val="clear"/>
          </w:tcPr>
          <w:p>
            <w:pPr>
              <w:spacing w:after="60" w:before="60"/>
            </w:pPr>
            <w:r>
              <w:rPr>
                <w:b/>
                <w:bCs/>
                <w:color w:val="FFFFFF"/>
                <w:sz w:val="18"/>
                <w:szCs w:val="18"/>
              </w:rPr>
              <w:t xml:space="preserve">Action</w:t>
            </w:r>
          </w:p>
        </w:tc>
      </w:tr>
      <w:tr>
        <w:trPr>
          <w:tblHeader w:val="false"/>
        </w:trPr>
        <w:tc>
          <w:tcPr>
            <w:tcW w:type="dxa" w:w="1600"/>
            <w:shd w:fill="FFFFFF" w:val="clear"/>
          </w:tcPr>
          <w:p>
            <w:pPr>
              <w:spacing w:after="60" w:before="60"/>
            </w:pPr>
            <w:r>
              <w:rPr>
                <w:b w:val="false"/>
                <w:bCs w:val="false"/>
                <w:color w:val="334155"/>
                <w:sz w:val="18"/>
                <w:szCs w:val="18"/>
              </w:rPr>
              <w:t xml:space="preserve">Pending</w:t>
            </w:r>
          </w:p>
        </w:tc>
        <w:tc>
          <w:tcPr>
            <w:tcW w:type="dxa" w:w="2400"/>
            <w:shd w:fill="FFFFFF" w:val="clear"/>
          </w:tcPr>
          <w:p>
            <w:pPr>
              <w:spacing w:after="60" w:before="60"/>
            </w:pPr>
            <w:r>
              <w:rPr>
                <w:b w:val="false"/>
                <w:bCs w:val="false"/>
                <w:color w:val="334155"/>
                <w:sz w:val="18"/>
                <w:szCs w:val="18"/>
              </w:rPr>
              <w:t xml:space="preserve">Waiting in queue</w:t>
            </w:r>
          </w:p>
        </w:tc>
        <w:tc>
          <w:tcPr>
            <w:tcW w:type="dxa" w:w="5000"/>
            <w:shd w:fill="FFFFFF" w:val="clear"/>
          </w:tcPr>
          <w:p>
            <w:pPr>
              <w:spacing w:after="60" w:before="60"/>
            </w:pPr>
            <w:r>
              <w:rPr>
                <w:b w:val="false"/>
                <w:bCs w:val="false"/>
                <w:color w:val="334155"/>
                <w:sz w:val="18"/>
                <w:szCs w:val="18"/>
              </w:rPr>
              <w:t xml:space="preserve">None — will be picked up automatically</w:t>
            </w:r>
          </w:p>
        </w:tc>
      </w:tr>
      <w:tr>
        <w:trPr>
          <w:tblHeader w:val="false"/>
        </w:trPr>
        <w:tc>
          <w:tcPr>
            <w:tcW w:type="dxa" w:w="1600"/>
            <w:shd w:fill="FFFFFF" w:val="clear"/>
          </w:tcPr>
          <w:p>
            <w:pPr>
              <w:spacing w:after="60" w:before="60"/>
            </w:pPr>
            <w:r>
              <w:rPr>
                <w:b w:val="false"/>
                <w:bCs w:val="false"/>
                <w:color w:val="334155"/>
                <w:sz w:val="18"/>
                <w:szCs w:val="18"/>
              </w:rPr>
              <w:t xml:space="preserve">Processing</w:t>
            </w:r>
          </w:p>
        </w:tc>
        <w:tc>
          <w:tcPr>
            <w:tcW w:type="dxa" w:w="2400"/>
            <w:shd w:fill="FFFFFF" w:val="clear"/>
          </w:tcPr>
          <w:p>
            <w:pPr>
              <w:spacing w:after="60" w:before="60"/>
            </w:pPr>
            <w:r>
              <w:rPr>
                <w:b w:val="false"/>
                <w:bCs w:val="false"/>
                <w:color w:val="334155"/>
                <w:sz w:val="18"/>
                <w:szCs w:val="18"/>
              </w:rPr>
              <w:t xml:space="preserve">Being parsed now</w:t>
            </w:r>
          </w:p>
        </w:tc>
        <w:tc>
          <w:tcPr>
            <w:tcW w:type="dxa" w:w="5000"/>
            <w:shd w:fill="FFFFFF" w:val="clear"/>
          </w:tcPr>
          <w:p>
            <w:pPr>
              <w:spacing w:after="60" w:before="60"/>
            </w:pPr>
            <w:r>
              <w:rPr>
                <w:b w:val="false"/>
                <w:bCs w:val="false"/>
                <w:color w:val="334155"/>
                <w:sz w:val="18"/>
                <w:szCs w:val="18"/>
              </w:rPr>
              <w:t xml:space="preserve">None — monitor progress</w:t>
            </w:r>
          </w:p>
        </w:tc>
      </w:tr>
      <w:tr>
        <w:trPr>
          <w:tblHeader w:val="false"/>
        </w:trPr>
        <w:tc>
          <w:tcPr>
            <w:tcW w:type="dxa" w:w="1600"/>
            <w:shd w:fill="FFFFFF" w:val="clear"/>
          </w:tcPr>
          <w:p>
            <w:pPr>
              <w:spacing w:after="60" w:before="60"/>
            </w:pPr>
            <w:r>
              <w:rPr>
                <w:b w:val="false"/>
                <w:bCs w:val="false"/>
                <w:color w:val="334155"/>
                <w:sz w:val="18"/>
                <w:szCs w:val="18"/>
              </w:rPr>
              <w:t xml:space="preserve">Done</w:t>
            </w:r>
          </w:p>
        </w:tc>
        <w:tc>
          <w:tcPr>
            <w:tcW w:type="dxa" w:w="2400"/>
            <w:shd w:fill="FFFFFF" w:val="clear"/>
          </w:tcPr>
          <w:p>
            <w:pPr>
              <w:spacing w:after="60" w:before="60"/>
            </w:pPr>
            <w:r>
              <w:rPr>
                <w:b w:val="false"/>
                <w:bCs w:val="false"/>
                <w:color w:val="334155"/>
                <w:sz w:val="18"/>
                <w:szCs w:val="18"/>
              </w:rPr>
              <w:t xml:space="preserve">Successfully parsed</w:t>
            </w:r>
          </w:p>
        </w:tc>
        <w:tc>
          <w:tcPr>
            <w:tcW w:type="dxa" w:w="5000"/>
            <w:shd w:fill="FFFFFF" w:val="clear"/>
          </w:tcPr>
          <w:p>
            <w:pPr>
              <w:spacing w:after="60" w:before="60"/>
            </w:pPr>
            <w:r>
              <w:rPr>
                <w:b w:val="false"/>
                <w:bCs w:val="false"/>
                <w:color w:val="334155"/>
                <w:sz w:val="18"/>
                <w:szCs w:val="18"/>
              </w:rPr>
              <w:t xml:space="preserve">Verify data in Grafana</w:t>
            </w:r>
          </w:p>
        </w:tc>
      </w:tr>
      <w:tr>
        <w:trPr>
          <w:tblHeader w:val="false"/>
        </w:trPr>
        <w:tc>
          <w:tcPr>
            <w:tcW w:type="dxa" w:w="1600"/>
            <w:shd w:fill="FFFFFF" w:val="clear"/>
          </w:tcPr>
          <w:p>
            <w:pPr>
              <w:spacing w:after="60" w:before="60"/>
            </w:pPr>
            <w:r>
              <w:rPr>
                <w:b w:val="false"/>
                <w:bCs w:val="false"/>
                <w:color w:val="334155"/>
                <w:sz w:val="18"/>
                <w:szCs w:val="18"/>
              </w:rPr>
              <w:t xml:space="preserve">Failed</w:t>
            </w:r>
          </w:p>
        </w:tc>
        <w:tc>
          <w:tcPr>
            <w:tcW w:type="dxa" w:w="2400"/>
            <w:shd w:fill="FFFFFF" w:val="clear"/>
          </w:tcPr>
          <w:p>
            <w:pPr>
              <w:spacing w:after="60" w:before="60"/>
            </w:pPr>
            <w:r>
              <w:rPr>
                <w:b w:val="false"/>
                <w:bCs w:val="false"/>
                <w:color w:val="334155"/>
                <w:sz w:val="18"/>
                <w:szCs w:val="18"/>
              </w:rPr>
              <w:t xml:space="preserve">Parsing error</w:t>
            </w:r>
          </w:p>
        </w:tc>
        <w:tc>
          <w:tcPr>
            <w:tcW w:type="dxa" w:w="5000"/>
            <w:shd w:fill="FFFFFF" w:val="clear"/>
          </w:tcPr>
          <w:p>
            <w:pPr>
              <w:spacing w:after="60" w:before="60"/>
            </w:pPr>
            <w:r>
              <w:rPr>
                <w:b w:val="false"/>
                <w:bCs w:val="false"/>
                <w:color w:val="334155"/>
                <w:sz w:val="18"/>
                <w:szCs w:val="18"/>
              </w:rPr>
              <w:t xml:space="preserve">Check error message, use Retry to re-queue</w:t>
            </w:r>
          </w:p>
        </w:tc>
      </w:tr>
    </w:tbl>
    <w:p>
      <w:pPr>
        <w:pBdr>
          <w:left w:val="single" w:color="F59E0B" w:sz="12"/>
        </w:pBdr>
        <w:shd w:fill="FFFBEB" w:val="clear"/>
        <w:spacing w:after="80" w:before="80"/>
        <w:ind w:left="400"/>
      </w:pPr>
      <w:r>
        <w:rPr>
          <w:b/>
          <w:bCs/>
          <w:color w:val="F59E0B"/>
          <w:sz w:val="20"/>
          <w:szCs w:val="20"/>
        </w:rPr>
        <w:t xml:space="preserve">ℹ  </w:t>
      </w:r>
      <w:r>
        <w:rPr>
          <w:color w:val="334155"/>
          <w:sz w:val="20"/>
          <w:szCs w:val="20"/>
        </w:rPr>
        <w:t xml:space="preserve">Failed items with stale locks can be retried from Queue Monitor. If retry fails repeatedly, check the Portal log for the error detail.</w:t>
      </w:r>
    </w:p>
    <w:p>
      <w:pPr>
        <w:spacing w:after="40" w:before="120"/>
      </w:pPr>
    </w:p>
    <w:p>
      <w:r>
        <w:br w:type="page"/>
      </w:r>
    </w:p>
    <w:p>
      <w:pPr>
        <w:pStyle w:val="Heading1"/>
        <w:spacing w:after="120" w:before="360"/>
      </w:pPr>
      <w:r>
        <w:t xml:space="preserve">11.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E293B" w:val="clear"/>
          </w:tcPr>
          <w:p>
            <w:pPr>
              <w:spacing w:after="60" w:before="60"/>
            </w:pPr>
            <w:r>
              <w:rPr>
                <w:b/>
                <w:bCs/>
                <w:color w:val="FFFFFF"/>
                <w:sz w:val="18"/>
                <w:szCs w:val="18"/>
              </w:rPr>
              <w:t xml:space="preserve">Section</w:t>
            </w:r>
          </w:p>
        </w:tc>
        <w:tc>
          <w:tcPr>
            <w:tcW w:type="dxa" w:w="6800"/>
            <w:shd w:fill="1E293B" w:val="clear"/>
          </w:tcPr>
          <w:p>
            <w:pPr>
              <w:spacing w:after="60" w:before="60"/>
            </w:pPr>
            <w:r>
              <w:rPr>
                <w:b/>
                <w:bCs/>
                <w:color w:val="FFFFFF"/>
                <w:sz w:val="18"/>
                <w:szCs w:val="18"/>
              </w:rPr>
              <w:t xml:space="preserve">What You Can Change</w:t>
            </w:r>
          </w:p>
        </w:tc>
      </w:tr>
      <w:tr>
        <w:trPr>
          <w:tblHeader w:val="false"/>
        </w:trPr>
        <w:tc>
          <w:tcPr>
            <w:tcW w:type="dxa" w:w="2200"/>
            <w:shd w:fill="FFFFFF" w:val="clear"/>
          </w:tcPr>
          <w:p>
            <w:pPr>
              <w:spacing w:after="60" w:before="60"/>
            </w:pPr>
            <w:r>
              <w:rPr>
                <w:b w:val="false"/>
                <w:bCs w:val="false"/>
                <w:color w:val="334155"/>
                <w:sz w:val="18"/>
                <w:szCs w:val="18"/>
              </w:rPr>
              <w:t xml:space="preserve">AI / Recommendations</w:t>
            </w:r>
          </w:p>
        </w:tc>
        <w:tc>
          <w:tcPr>
            <w:tcW w:type="dxa" w:w="6800"/>
            <w:shd w:fill="FFFFFF" w:val="clear"/>
          </w:tcPr>
          <w:p>
            <w:pPr>
              <w:spacing w:after="60" w:before="60"/>
            </w:pPr>
            <w:r>
              <w:rPr>
                <w:b w:val="false"/>
                <w:bCs w:val="false"/>
                <w:color w:val="334155"/>
                <w:sz w:val="18"/>
                <w:szCs w:val="18"/>
              </w:rPr>
              <w:t xml:space="preserve">Switch between Rules / Local AI / Cloud AI mode. Configure Ollama URL, model, and cloud API keys.</w:t>
            </w:r>
          </w:p>
        </w:tc>
      </w:tr>
      <w:tr>
        <w:trPr>
          <w:tblHeader w:val="false"/>
        </w:trPr>
        <w:tc>
          <w:tcPr>
            <w:tcW w:type="dxa" w:w="2200"/>
            <w:shd w:fill="FFFFFF" w:val="clear"/>
          </w:tcPr>
          <w:p>
            <w:pPr>
              <w:spacing w:after="60" w:before="60"/>
            </w:pPr>
            <w:r>
              <w:rPr>
                <w:b w:val="false"/>
                <w:bCs w:val="false"/>
                <w:color w:val="334155"/>
                <w:sz w:val="18"/>
                <w:szCs w:val="18"/>
              </w:rPr>
              <w:t xml:space="preserve">Anomaly Detection</w:t>
            </w:r>
          </w:p>
        </w:tc>
        <w:tc>
          <w:tcPr>
            <w:tcW w:type="dxa" w:w="6800"/>
            <w:shd w:fill="FFFFFF" w:val="clear"/>
          </w:tcPr>
          <w:p>
            <w:pPr>
              <w:spacing w:after="60" w:before="60"/>
            </w:pPr>
            <w:r>
              <w:rPr>
                <w:b w:val="false"/>
                <w:bCs w:val="false"/>
                <w:color w:val="334155"/>
                <w:sz w:val="18"/>
                <w:szCs w:val="18"/>
              </w:rPr>
              <w:t xml:space="preserve">Z-score threshold, baseline days, minimum severity to show.</w:t>
            </w:r>
          </w:p>
        </w:tc>
      </w:tr>
      <w:tr>
        <w:trPr>
          <w:tblHeader w:val="false"/>
        </w:trPr>
        <w:tc>
          <w:tcPr>
            <w:tcW w:type="dxa" w:w="2200"/>
            <w:shd w:fill="FFFFFF" w:val="clear"/>
          </w:tcPr>
          <w:p>
            <w:pPr>
              <w:spacing w:after="60" w:before="60"/>
            </w:pPr>
            <w:r>
              <w:rPr>
                <w:b w:val="false"/>
                <w:bCs w:val="false"/>
                <w:color w:val="334155"/>
                <w:sz w:val="18"/>
                <w:szCs w:val="18"/>
              </w:rPr>
              <w:t xml:space="preserve">AWR Source</w:t>
            </w:r>
          </w:p>
        </w:tc>
        <w:tc>
          <w:tcPr>
            <w:tcW w:type="dxa" w:w="6800"/>
            <w:shd w:fill="FFFFFF" w:val="clear"/>
          </w:tcPr>
          <w:p>
            <w:pPr>
              <w:spacing w:after="60" w:before="60"/>
            </w:pPr>
            <w:r>
              <w:rPr>
                <w:b w:val="false"/>
                <w:bCs w:val="false"/>
                <w:color w:val="334155"/>
                <w:sz w:val="18"/>
                <w:szCs w:val="18"/>
              </w:rPr>
              <w:t xml:space="preserve">AWR file watch folder path and archive path.</w:t>
            </w:r>
          </w:p>
        </w:tc>
      </w:tr>
      <w:tr>
        <w:trPr>
          <w:tblHeader w:val="false"/>
        </w:trPr>
        <w:tc>
          <w:tcPr>
            <w:tcW w:type="dxa" w:w="2200"/>
            <w:shd w:fill="FFFFFF" w:val="clear"/>
          </w:tcPr>
          <w:p>
            <w:pPr>
              <w:spacing w:after="60" w:before="60"/>
            </w:pPr>
            <w:r>
              <w:rPr>
                <w:b w:val="false"/>
                <w:bCs w:val="false"/>
                <w:color w:val="334155"/>
                <w:sz w:val="18"/>
                <w:szCs w:val="18"/>
              </w:rPr>
              <w:t xml:space="preserve">SAR Source</w:t>
            </w:r>
          </w:p>
        </w:tc>
        <w:tc>
          <w:tcPr>
            <w:tcW w:type="dxa" w:w="6800"/>
            <w:shd w:fill="FFFFFF" w:val="clear"/>
          </w:tcPr>
          <w:p>
            <w:pPr>
              <w:spacing w:after="60" w:before="60"/>
            </w:pPr>
            <w:r>
              <w:rPr>
                <w:b w:val="false"/>
                <w:bCs w:val="false"/>
                <w:color w:val="334155"/>
                <w:sz w:val="18"/>
                <w:szCs w:val="18"/>
              </w:rPr>
              <w:t xml:space="preserve">SAR file watch folder path, archive path, WSL executable path.</w:t>
            </w:r>
          </w:p>
        </w:tc>
      </w:tr>
      <w:tr>
        <w:trPr>
          <w:tblHeader w:val="false"/>
        </w:trPr>
        <w:tc>
          <w:tcPr>
            <w:tcW w:type="dxa" w:w="2200"/>
            <w:shd w:fill="FFFFFF" w:val="clear"/>
          </w:tcPr>
          <w:p>
            <w:pPr>
              <w:spacing w:after="60" w:before="60"/>
            </w:pPr>
            <w:r>
              <w:rPr>
                <w:b w:val="false"/>
                <w:bCs w:val="false"/>
                <w:color w:val="334155"/>
                <w:sz w:val="18"/>
                <w:szCs w:val="18"/>
              </w:rPr>
              <w:t xml:space="preserve">License</w:t>
            </w:r>
          </w:p>
        </w:tc>
        <w:tc>
          <w:tcPr>
            <w:tcW w:type="dxa" w:w="6800"/>
            <w:shd w:fill="FFFFFF" w:val="clear"/>
          </w:tcPr>
          <w:p>
            <w:pPr>
              <w:spacing w:after="60" w:before="60"/>
            </w:pPr>
            <w:r>
              <w:rPr>
                <w:b w:val="false"/>
                <w:bCs w:val="false"/>
                <w:color w:val="334155"/>
                <w:sz w:val="18"/>
                <w:szCs w:val="18"/>
              </w:rPr>
              <w:t xml:space="preserve">License key for production use.</w:t>
            </w:r>
          </w:p>
        </w:tc>
      </w:tr>
      <w:tr>
        <w:trPr>
          <w:tblHeader w:val="false"/>
        </w:trPr>
        <w:tc>
          <w:tcPr>
            <w:tcW w:type="dxa" w:w="2200"/>
            <w:shd w:fill="FFFFFF" w:val="clear"/>
          </w:tcPr>
          <w:p>
            <w:pPr>
              <w:spacing w:after="60" w:before="60"/>
            </w:pPr>
            <w:r>
              <w:rPr>
                <w:b w:val="false"/>
                <w:bCs w:val="false"/>
                <w:color w:val="334155"/>
                <w:sz w:val="18"/>
                <w:szCs w:val="18"/>
              </w:rPr>
              <w:t xml:space="preserve">Access Control</w:t>
            </w:r>
          </w:p>
        </w:tc>
        <w:tc>
          <w:tcPr>
            <w:tcW w:type="dxa" w:w="6800"/>
            <w:shd w:fill="FFFFFF" w:val="clear"/>
          </w:tcPr>
          <w:p>
            <w:pPr>
              <w:spacing w:after="60" w:before="60"/>
            </w:pPr>
            <w:r>
              <w:rPr>
                <w:b w:val="false"/>
                <w:bCs w:val="false"/>
                <w:color w:val="334155"/>
                <w:sz w:val="18"/>
                <w:szCs w:val="18"/>
              </w:rPr>
              <w:t xml:space="preserve">Admin reset PIN, session timeout (minutes), metadata refresh frequency.</w:t>
            </w:r>
          </w:p>
        </w:tc>
      </w:tr>
      <w:tr>
        <w:trPr>
          <w:tblHeader w:val="false"/>
        </w:trPr>
        <w:tc>
          <w:tcPr>
            <w:tcW w:type="dxa" w:w="2200"/>
            <w:shd w:fill="FFFFFF" w:val="clear"/>
          </w:tcPr>
          <w:p>
            <w:pPr>
              <w:spacing w:after="60" w:before="60"/>
            </w:pPr>
            <w:r>
              <w:rPr>
                <w:b w:val="false"/>
                <w:bCs w:val="false"/>
                <w:color w:val="334155"/>
                <w:sz w:val="18"/>
                <w:szCs w:val="18"/>
              </w:rPr>
              <w:t xml:space="preserve">Users</w:t>
            </w:r>
          </w:p>
        </w:tc>
        <w:tc>
          <w:tcPr>
            <w:tcW w:type="dxa" w:w="6800"/>
            <w:shd w:fill="FFFFFF" w:val="clear"/>
          </w:tcPr>
          <w:p>
            <w:pPr>
              <w:spacing w:after="60" w:before="60"/>
            </w:pPr>
            <w:r>
              <w:rPr>
                <w:b w:val="false"/>
                <w:bCs w:val="false"/>
                <w:color w:val="334155"/>
                <w:sz w:val="18"/>
                <w:szCs w:val="18"/>
              </w:rPr>
              <w:t xml:space="preserve">Add users, edit details, change passwords. Admin-only section.</w:t>
            </w:r>
          </w:p>
        </w:tc>
      </w:tr>
    </w:tbl>
    <w:p>
      <w:pPr>
        <w:spacing w:after="40" w:before="120"/>
      </w:pPr>
    </w:p>
    <w:p>
      <w:pPr>
        <w:pStyle w:val="Heading2"/>
        <w:spacing w:after="80" w:before="240"/>
      </w:pPr>
      <w:r>
        <w:t xml:space="preserve">11.1 Changing AI Mode</w:t>
      </w:r>
    </w:p>
    <w:p>
      <w:pPr>
        <w:spacing w:after="60" w:before="60"/>
        <w:ind w:left="200"/>
      </w:pPr>
      <w:r>
        <w:rPr>
          <w:b/>
          <w:bCs/>
          <w:color w:val="F59E0B"/>
          <w:sz w:val="20"/>
          <w:szCs w:val="20"/>
        </w:rPr>
        <w:t xml:space="preserve">1. </w:t>
      </w:r>
      <w:r>
        <w:rPr>
          <w:color w:val="334155"/>
          <w:sz w:val="20"/>
          <w:szCs w:val="20"/>
        </w:rPr>
        <w:t xml:space="preserve">Go to Settings → AI / Recommendations</w:t>
      </w:r>
    </w:p>
    <w:p>
      <w:pPr>
        <w:spacing w:after="60" w:before="60"/>
        <w:ind w:left="200"/>
      </w:pPr>
      <w:r>
        <w:rPr>
          <w:b/>
          <w:bCs/>
          <w:color w:val="F59E0B"/>
          <w:sz w:val="20"/>
          <w:szCs w:val="20"/>
        </w:rPr>
        <w:t xml:space="preserve">2. </w:t>
      </w:r>
      <w:r>
        <w:rPr>
          <w:color w:val="334155"/>
          <w:sz w:val="20"/>
          <w:szCs w:val="20"/>
        </w:rPr>
        <w:t xml:space="preserve">Select mode: Rules Engine / Local AI (Ollama) / Cloud AI</w:t>
      </w:r>
    </w:p>
    <w:p>
      <w:pPr>
        <w:spacing w:after="60" w:before="60"/>
        <w:ind w:left="200"/>
      </w:pPr>
      <w:r>
        <w:rPr>
          <w:b/>
          <w:bCs/>
          <w:color w:val="F59E0B"/>
          <w:sz w:val="20"/>
          <w:szCs w:val="20"/>
        </w:rPr>
        <w:t xml:space="preserve">3. </w:t>
      </w:r>
      <w:r>
        <w:rPr>
          <w:color w:val="334155"/>
          <w:sz w:val="20"/>
          <w:szCs w:val="20"/>
        </w:rPr>
        <w:t xml:space="preserve">For Local AI: enter Ollama URL (default http://localhost:11434) and model name (llama3.1:8b)</w:t>
      </w:r>
    </w:p>
    <w:p>
      <w:pPr>
        <w:spacing w:after="60" w:before="60"/>
        <w:ind w:left="200"/>
      </w:pPr>
      <w:r>
        <w:rPr>
          <w:b/>
          <w:bCs/>
          <w:color w:val="F59E0B"/>
          <w:sz w:val="20"/>
          <w:szCs w:val="20"/>
        </w:rPr>
        <w:t xml:space="preserve">4. </w:t>
      </w:r>
      <w:r>
        <w:rPr>
          <w:color w:val="334155"/>
          <w:sz w:val="20"/>
          <w:szCs w:val="20"/>
        </w:rPr>
        <w:t xml:space="preserve">For Cloud AI: select provider, enter API key, enter model name (claude-haiku-4-5 for Claude)</w:t>
      </w:r>
    </w:p>
    <w:p>
      <w:pPr>
        <w:spacing w:after="60" w:before="60"/>
        <w:ind w:left="200"/>
      </w:pPr>
      <w:r>
        <w:rPr>
          <w:b/>
          <w:bCs/>
          <w:color w:val="F59E0B"/>
          <w:sz w:val="20"/>
          <w:szCs w:val="20"/>
        </w:rPr>
        <w:t xml:space="preserve">5. </w:t>
      </w:r>
      <w:r>
        <w:rPr>
          <w:color w:val="334155"/>
          <w:sz w:val="20"/>
          <w:szCs w:val="20"/>
        </w:rPr>
        <w:t xml:space="preserve">Click Test Connection to verify</w:t>
      </w:r>
    </w:p>
    <w:p>
      <w:pPr>
        <w:spacing w:after="60" w:before="60"/>
        <w:ind w:left="200"/>
      </w:pPr>
      <w:r>
        <w:rPr>
          <w:b/>
          <w:bCs/>
          <w:color w:val="F59E0B"/>
          <w:sz w:val="20"/>
          <w:szCs w:val="20"/>
        </w:rPr>
        <w:t xml:space="preserve">6. </w:t>
      </w:r>
      <w:r>
        <w:rPr>
          <w:color w:val="334155"/>
          <w:sz w:val="20"/>
          <w:szCs w:val="20"/>
        </w:rPr>
        <w:t xml:space="preserve">Click Save AI Settings</w:t>
      </w:r>
    </w:p>
    <w:p>
      <w:pPr>
        <w:spacing w:after="60" w:before="60"/>
      </w:pPr>
      <w:r>
        <w:rPr>
          <w:color w:val="334155"/>
          <w:sz w:val="20"/>
          <w:szCs w:val="20"/>
        </w:rPr>
        <w:t xml:space="preserve">The home page dashboard link and the AI Recs page update automatically based on the selected mode.</w:t>
      </w:r>
    </w:p>
    <w:p>
      <w:pPr>
        <w:spacing w:after="40" w:before="120"/>
      </w:pPr>
    </w:p>
    <w:p>
      <w:r>
        <w:br w:type="page"/>
      </w:r>
    </w:p>
    <w:p>
      <w:pPr>
        <w:spacing w:before="2880"/>
        <w:jc w:val="center"/>
      </w:pPr>
      <w:r>
        <w:rPr>
          <w:color w:val="CBD5E1"/>
          <w:sz w:val="20"/>
          <w:szCs w:val="20"/>
        </w:rPr>
        <w:t xml:space="preserve">— End of User Guide —</w:t>
      </w:r>
    </w:p>
    <w:p>
      <w:pPr>
        <w:spacing w:before="80"/>
        <w:jc w:val="center"/>
      </w:pPr>
      <w:r>
        <w:rPr>
          <w:color w:val="CBD5E1"/>
          <w:sz w:val="16"/>
          <w:szCs w:val="16"/>
        </w:rPr>
        <w:t xml:space="preserve">AWR Insight Portal v2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BD5E1"/>
        <w:sz w:val="16"/>
        <w:szCs w:val="16"/>
      </w:rPr>
      <w:t xml:space="preserve">Page </w:t>
    </w:r>
    <w:fldSimple w:instr="PAGE"/>
    <w:r>
      <w:rPr>
        <w:color w:val="CBD5E1"/>
        <w:sz w:val="16"/>
        <w:szCs w:val="16"/>
      </w:rPr>
      <w:t xml:space="preserve">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pPr>
    <w:r>
      <w:rPr>
        <w:b/>
        <w:bCs/>
        <w:color w:val="F59E0B"/>
        <w:sz w:val="18"/>
        <w:szCs w:val="18"/>
      </w:rPr>
      <w:t xml:space="preserve">AWR Insight Portal v2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AWR Insight Portal v2 — User Guide</dc:title>
  <dc:creator>AWR Insight Portal v2</dc:creator>
  <cp:lastModifiedBy>Un-named</cp:lastModifiedBy>
  <cp:revision>1</cp:revision>
  <dcterms:created xsi:type="dcterms:W3CDTF">2026-07-06T16:14:16.610Z</dcterms:created>
  <dcterms:modified xsi:type="dcterms:W3CDTF">2026-07-06T16:14:16.622Z</dcterms:modified>
</cp:coreProperties>
</file>

<file path=docProps/custom.xml><?xml version="1.0" encoding="utf-8"?>
<Properties xmlns="http://schemas.openxmlformats.org/officeDocument/2006/custom-properties" xmlns:vt="http://schemas.openxmlformats.org/officeDocument/2006/docPropsVTypes"/>
</file>