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34EA1" w:val="clear"/>
        <w:spacing w:after="100" w:before="400"/>
        <w:jc w:val="center"/>
      </w:pPr>
      <w:r>
        <w:rPr>
          <w:rFonts w:ascii="Calibri" w:cs="Calibri" w:eastAsia="Calibri" w:hAnsi="Calibri"/>
          <w:b/>
          <w:bCs/>
          <w:color w:val="FFFFFF"/>
          <w:sz w:val="24"/>
          <w:szCs w:val="24"/>
        </w:rPr>
        <w:t xml:space="preserve">AVEKSHAA TECHNOLOGIES</w:t>
      </w:r>
    </w:p>
    <w:p>
      <w:pPr>
        <w:shd w:fill="034EA1" w:val="clear"/>
        <w:spacing w:after="60"/>
        <w:jc w:val="center"/>
      </w:pPr>
      <w:r>
        <w:rPr>
          <w:rFonts w:ascii="Calibri" w:cs="Calibri" w:eastAsia="Calibri" w:hAnsi="Calibri"/>
          <w:b/>
          <w:bCs/>
          <w:color w:val="FFFFFF"/>
          <w:sz w:val="44"/>
          <w:szCs w:val="44"/>
        </w:rPr>
        <w:t xml:space="preserve">DAR Portal v3</w:t>
      </w:r>
    </w:p>
    <w:p>
      <w:pPr>
        <w:shd w:fill="034EA1" w:val="clear"/>
        <w:spacing w:after="40"/>
        <w:jc w:val="center"/>
      </w:pPr>
      <w:r>
        <w:rPr>
          <w:rFonts w:ascii="Calibri" w:cs="Calibri" w:eastAsia="Calibri" w:hAnsi="Calibri"/>
          <w:b/>
          <w:bCs/>
          <w:color w:val="00B38C"/>
          <w:sz w:val="30"/>
          <w:szCs w:val="30"/>
        </w:rPr>
        <w:t xml:space="preserve">MS SQL Server Analysis Model</w:t>
      </w:r>
    </w:p>
    <w:p>
      <w:pPr>
        <w:shd w:fill="034EA1" w:val="clear"/>
        <w:spacing w:after="400"/>
        <w:jc w:val="center"/>
      </w:pPr>
      <w:r>
        <w:rPr>
          <w:rFonts w:ascii="Calibri" w:cs="Calibri" w:eastAsia="Calibri" w:hAnsi="Calibri"/>
          <w:color w:val="CBD5E1"/>
          <w:sz w:val="20"/>
          <w:szCs w:val="20"/>
        </w:rPr>
        <w:t xml:space="preserve">Extending DAR Platform to MS SQL Server via Query Store &amp; DMVs — Design Document</w:t>
      </w:r>
    </w:p>
    <w:p>
      <w:pPr>
        <w:spacing w:after="300" w:before="300"/>
        <w:jc w:val="center"/>
      </w:pPr>
      <w:r>
        <w:rPr>
          <w:rFonts w:ascii="Calibri" w:cs="Calibri" w:eastAsia="Calibri" w:hAnsi="Calibri"/>
          <w:color w:val="475569"/>
          <w:sz w:val="18"/>
          <w:szCs w:val="18"/>
        </w:rPr>
        <w:t xml:space="preserve">Version 1.3 (Draft)  |  Confidential  |  For Internal Review</w:t>
      </w:r>
    </w:p>
    <w:p>
      <w:pPr>
        <w:pBdr>
          <w:bottom w:val="single" w:color="00B38C" w:sz="4"/>
        </w:pBdr>
        <w:spacing w:after="100" w:before="260"/>
      </w:pPr>
      <w:r>
        <w:rPr>
          <w:rFonts w:ascii="Calibri" w:cs="Calibri" w:eastAsia="Calibri" w:hAnsi="Calibri"/>
          <w:b/>
          <w:bCs/>
          <w:color w:val="034EA1"/>
          <w:sz w:val="26"/>
          <w:szCs w:val="26"/>
        </w:rPr>
        <w:t xml:space="preserve">Revision Note — v1.3</w:t>
      </w:r>
    </w:p>
    <w:p>
      <w:pPr>
        <w:spacing w:after="120"/>
      </w:pPr>
      <w:r>
        <w:rPr>
          <w:rFonts w:ascii="Calibri" w:cs="Calibri" w:eastAsia="Calibri" w:hAnsi="Calibri"/>
          <w:color w:val="1A2035"/>
          <w:sz w:val="20"/>
          <w:szCs w:val="20"/>
        </w:rPr>
        <w:t xml:space="preserve">Two responses from Ganesh, one confirming, one reversing a prior decision — both reflected accurately below, not glossed over. Licensing is confirmed instance-level (Section 12.1). Availability Groups are pulled back OUT of Phase 1 — Ganesh's own words were "park it till the tool is built," which reads as more final than a routine phase reshuffle, so AG is now shown as Parked, not folded into Phase 2/3 as if it were merely queued up next. The design work already done for it (Section 9.1) is kept as-is, not deleted — it's real, verified-DMV design work that stays ready for whenever it's picked back up, it just isn't being built now.</w:t>
      </w:r>
    </w:p>
    <w:p>
      <w:pPr>
        <w:pBdr>
          <w:bottom w:val="single" w:color="00B38C" w:sz="4"/>
        </w:pBdr>
        <w:spacing w:after="100" w:before="260"/>
      </w:pPr>
      <w:r>
        <w:rPr>
          <w:rFonts w:ascii="Calibri" w:cs="Calibri" w:eastAsia="Calibri" w:hAnsi="Calibri"/>
          <w:b/>
          <w:bCs/>
          <w:color w:val="034EA1"/>
          <w:sz w:val="26"/>
          <w:szCs w:val="26"/>
        </w:rPr>
        <w:t xml:space="preserve">Document Purpose</w:t>
      </w:r>
    </w:p>
    <w:p>
      <w:pPr>
        <w:spacing w:after="120"/>
      </w:pPr>
      <w:r>
        <w:rPr>
          <w:rFonts w:ascii="Calibri" w:cs="Calibri" w:eastAsia="Calibri" w:hAnsi="Calibri"/>
          <w:color w:val="1A2035"/>
          <w:sz w:val="20"/>
          <w:szCs w:val="20"/>
        </w:rPr>
        <w:t xml:space="preserve">This is a design/architecture document, not user or installation documentation. It proposes how MS SQL Server analysis would work as a second engine inside DAR Platform, alongside the existing Oracle AWR engine, reusing as much of the existing architecture (rule engine, dashboard pattern, portal framework) as genuinely fits, and calling out where SQL Server's data model is different enough that a direct copy of the Oracle approach would be wrong. Every DMV/Query Store column referenced was verified against current Microsoft documentation before being included here — not carried over from general knowledge of SQL Server, given how much this schema has evolved release to release (wait_stats support alone only exists from SQL Server 2017 onward).</w:t>
      </w:r>
    </w:p>
    <w:p>
      <w:pPr>
        <w:shd w:fill="034EA1" w:val="clear"/>
        <w:spacing w:after="120" w:before="280"/>
        <w:ind w:left="180"/>
      </w:pPr>
      <w:r>
        <w:rPr>
          <w:rFonts w:ascii="Calibri" w:cs="Calibri" w:eastAsia="Calibri" w:hAnsi="Calibri"/>
          <w:b/>
          <w:bCs/>
          <w:color w:val="FFFFFF"/>
          <w:sz w:val="32"/>
          <w:szCs w:val="32"/>
        </w:rPr>
        <w:t xml:space="preserve">1. Executive Summary</w:t>
      </w:r>
    </w:p>
    <w:p>
      <w:pPr>
        <w:spacing w:after="120"/>
      </w:pPr>
      <w:r>
        <w:rPr>
          <w:rFonts w:ascii="Calibri" w:cs="Calibri" w:eastAsia="Calibri" w:hAnsi="Calibri"/>
          <w:color w:val="1A2035"/>
          <w:sz w:val="20"/>
          <w:szCs w:val="20"/>
        </w:rPr>
        <w:t xml:space="preserve">SQL Server has no single built-in repository that plays the same role AWR does for Oracle — there is no "DBA_HIST_*" equivalent capturing a full point-in-time snapshot of everything. Instead, the workload repository role is split across two genuinely different mechanisms that this model combines:</w:t>
      </w:r>
    </w:p>
    <w:p>
      <w:pPr>
        <w:pStyle w:val="ListParagraph"/>
        <w:numPr>
          <w:ilvl w:val="0"/>
          <w:numId w:val="1"/>
        </w:numPr>
        <w:spacing w:after="60"/>
      </w:pPr>
      <w:r>
        <w:rPr>
          <w:rFonts w:ascii="Calibri" w:cs="Calibri" w:eastAsia="Calibri" w:hAnsi="Calibri"/>
          <w:sz w:val="20"/>
          <w:szCs w:val="20"/>
        </w:rPr>
        <w:t xml:space="preserve">Query Store — SQL Server 2016+ (2017+ for wait stats). Already aggregates query/plan/wait performance into its own time intervals natively — this does most of what AWR's snapshot mechanism does, without DAR Platform needing to trigger anything itself.</w:t>
      </w:r>
    </w:p>
    <w:p>
      <w:pPr>
        <w:pStyle w:val="ListParagraph"/>
        <w:numPr>
          <w:ilvl w:val="0"/>
          <w:numId w:val="1"/>
        </w:numPr>
        <w:spacing w:after="60"/>
      </w:pPr>
      <w:r>
        <w:rPr>
          <w:rFonts w:ascii="Calibri" w:cs="Calibri" w:eastAsia="Calibri" w:hAnsi="Calibri"/>
          <w:sz w:val="20"/>
          <w:szCs w:val="20"/>
        </w:rPr>
        <w:t xml:space="preserve">DMVs (Dynamic Management Views) — point-in-time, mostly cumulative-since-restart counters (sys.dm_os_wait_stats, sys.dm_os_performance_counters, sys.dm_db_index_usage_stats, etc.) — this is the part that needs DAR Platform's own periodic polling and delta computation, the same pattern already used for Oracle's cumulative instance statistics.</w:t>
      </w:r>
    </w:p>
    <w:p>
      <w:pPr>
        <w:spacing w:after="120"/>
      </w:pPr>
      <w:r>
        <w:rPr>
          <w:rFonts w:ascii="Calibri" w:cs="Calibri" w:eastAsia="Calibri" w:hAnsi="Calibri"/>
          <w:color w:val="1A2035"/>
          <w:sz w:val="20"/>
          <w:szCs w:val="20"/>
        </w:rPr>
        <w:t xml:space="preserve">The proposal: a new collector module polling both sources on a schedule, writing into a new set of mssql_* PostgreSQL tables that mirror the awr_* naming convention, feeding the existing rule engine (new MSSQL_* rule category, same JSON schema as recommendation_rules_v2.json) and existing Grafana/dashboard pattern. The existing recommendation engine, anomaly detection (z-score approach is entirely database-agnostic), and portal framework are reused, not rebuilt.</w:t>
      </w:r>
    </w:p>
    <w:p>
      <w:pPr>
        <w:shd w:fill="034EA1" w:val="clear"/>
        <w:spacing w:after="120" w:before="280"/>
        <w:ind w:left="180"/>
      </w:pPr>
      <w:r>
        <w:rPr>
          <w:rFonts w:ascii="Calibri" w:cs="Calibri" w:eastAsia="Calibri" w:hAnsi="Calibri"/>
          <w:b/>
          <w:bCs/>
          <w:color w:val="FFFFFF"/>
          <w:sz w:val="32"/>
          <w:szCs w:val="32"/>
        </w:rPr>
        <w:t xml:space="preserve">2. Scope — What Phase 1 Covers and What It Doesn't</w:t>
      </w:r>
    </w:p>
    <w:p>
      <w:pPr>
        <w:pBdr>
          <w:left w:val="single" w:color="034EA1" w:sz="16"/>
        </w:pBdr>
        <w:shd w:fill="F5F7FA" w:val="clear"/>
        <w:spacing w:after="100" w:before="100"/>
        <w:ind w:left="200"/>
      </w:pPr>
      <w:r>
        <w:rPr>
          <w:rFonts w:ascii="Calibri" w:cs="Calibri" w:eastAsia="Calibri" w:hAnsi="Calibri"/>
          <w:i/>
          <w:iCs/>
          <w:color w:val="475569"/>
          <w:sz w:val="19"/>
          <w:szCs w:val="19"/>
        </w:rPr>
        <w:t xml:space="preserve">Updated per Ganesh's decisions: MS SQL Server support will not include an OS-utility component (removes Windows-perfmon correlation from scope entirely — not deferred, out of the licensed feature set). Availability Groups were briefly brought into Phase 1 in v1.2, then explicitly pulled back out — "park it till the tool is built" — so Phase 1 now covers Tier 1 + Tier 2 + Deadlocks only, not AG.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5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 Scope (Phase 1)</w:t>
            </w:r>
          </w:p>
        </w:tc>
        <w:tc>
          <w:tcPr>
            <w:tcW w:type="dxa" w:w="465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Deferred / Out of Scope</w:t>
            </w:r>
          </w:p>
        </w:tc>
      </w:tr>
      <w:tr>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performance analysis via Query Store (elapsed/CPU/I/O/wait, per-query, matching AWR's SQL Statistics dashboards)</w:t>
            </w:r>
          </w:p>
        </w:tc>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Backup &amp; recovery gap tracking — not required per Ganesh (Section 10.3)</w:t>
            </w:r>
          </w:p>
        </w:tc>
      </w:tr>
      <w:tr>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 statistics, both cumulative (sys.dm_os_wait_stats) and per-query (Query Store)</w:t>
            </w:r>
          </w:p>
        </w:tc>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Extended Events-based deep tracing beyond the built-in system_health session — heavier-weight, a possible later addition</w:t>
            </w:r>
          </w:p>
        </w:tc>
      </w:tr>
      <w:tr>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Index/table-level I/O statistics (segment-statistics equivalent)</w:t>
            </w:r>
          </w:p>
        </w:tc>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In-Memory OLTP (Hekaton) specific metrics</w:t>
            </w:r>
          </w:p>
        </w:tc>
      </w:tr>
      <w:tr>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Instance-level health counters (buffer cache hit ratio, page life expectancy, memory grants)</w:t>
            </w:r>
          </w:p>
        </w:tc>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OS-level (Windows perfmon) correlation — permanently out of scope, no OS utility in the MS SQL license tier</w:t>
            </w:r>
          </w:p>
        </w:tc>
      </w:tr>
      <w:tr>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File/tablespace I/O (sys.dm_io_virtual_file_stats)</w:t>
            </w:r>
          </w:p>
        </w:tc>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PolyBase, SSIS/SSRS/SSAS-specific analysis</w:t>
            </w:r>
          </w:p>
        </w:tc>
      </w:tr>
      <w:tr>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Blocking/locking (sys.dm_exec_requests, sys.dm_tran_locks)</w:t>
            </w:r>
          </w:p>
        </w:tc>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
            </w:r>
          </w:p>
        </w:tc>
      </w:tr>
      <w:tr>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TempDB pressure (sys.dm_db_session_space_usage, sys.dm_db_task_space_usage)</w:t>
            </w:r>
          </w:p>
        </w:tc>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
            </w:r>
          </w:p>
        </w:tc>
      </w:tr>
      <w:tr>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Deadlock capture (system_health Extended Events session) — Section 9.1.4</w:t>
            </w:r>
          </w:p>
        </w:tc>
        <w:tc>
          <w:tcPr>
            <w:tcW w:type="dxa" w:w="465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PARKED: Always On Availability Group health — designed (Section 9.1) but explicitly held until the core (non-AG) tool is built and stable, per Ganesh</w:t>
            </w:r>
          </w:p>
        </w:tc>
      </w:tr>
      <w:tr>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Rule-engine-driven recommendations, reusing the existing JSON rule format</w:t>
            </w:r>
          </w:p>
        </w:tc>
        <w:tc>
          <w:tcPr>
            <w:tcW w:type="dxa" w:w="465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
            </w:r>
          </w:p>
        </w:tc>
      </w:tr>
    </w:tbl>
    <w:p>
      <w:pPr>
        <w:shd w:fill="034EA1" w:val="clear"/>
        <w:spacing w:after="120" w:before="280"/>
        <w:ind w:left="180"/>
      </w:pPr>
      <w:r>
        <w:rPr>
          <w:rFonts w:ascii="Calibri" w:cs="Calibri" w:eastAsia="Calibri" w:hAnsi="Calibri"/>
          <w:b/>
          <w:bCs/>
          <w:color w:val="FFFFFF"/>
          <w:sz w:val="32"/>
          <w:szCs w:val="32"/>
        </w:rPr>
        <w:t xml:space="preserve">3. Conceptual Mapping — Oracle AWR/ASH → SQL Server</w:t>
      </w:r>
    </w:p>
    <w:p>
      <w:pPr>
        <w:spacing w:after="120"/>
      </w:pPr>
      <w:r>
        <w:rPr>
          <w:rFonts w:ascii="Calibri" w:cs="Calibri" w:eastAsia="Calibri" w:hAnsi="Calibri"/>
          <w:color w:val="1A2035"/>
          <w:sz w:val="20"/>
          <w:szCs w:val="20"/>
        </w:rPr>
        <w:t xml:space="preserve">This is the core translation table the rest of the design builds 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Oracle Concept</w:t>
            </w:r>
          </w:p>
        </w:tc>
        <w:tc>
          <w:tcPr>
            <w:tcW w:type="dxa" w:w="3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SQL Server Equivalent</w:t>
            </w:r>
          </w:p>
        </w:tc>
        <w:tc>
          <w:tcPr>
            <w:tcW w:type="dxa" w:w="41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Notes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AWR Snapshot (DBA_HIST_SNAPSHOT)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runtime_stats_interval</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already buckets into its own intervals (default 60 min, configurable) — no need for DAR Platform to trigger a "snapshot," just pull completed intervals on a schedule</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Active Session History (ASH)</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No direct equivalent</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sys.dm_exec_requests gives current point-in-time session state only, not history. A near-real-time approximation would need an Extended Events session sampling active requests — real work, deferred to Phase 3 (Section 2)</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 Events (V$SYSTEM_EVENT / DBA_HIST_SYSTEM_EVENT)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sys.dm_os_wait_stats (cumulative since restart) + sys.query_store_wait_stats (per-query, 2017+)</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wait_category in Query Store is closer to Oracle's wait CLASS (Lock, Buffer IO, CPU, Parallelism...) than to individual named events — see Section 3.1</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SQL ordered by Elapsed/CPU/Gets/Reads</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sys.query_store_runtime_stats joined to query_store_query/query_store_plan</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Falls back to sys.dm_exec_query_stats for instances where Query Store isn't enabled (older/misconfigured instances) — see Section 4.4</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Segment Statistics (table/index I/O)</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sys.dm_db_index_usage_stats, sys.dm_db_index_operational_stats</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operational_stats resets on index rebuild/restart — same cumulative-counter delta problem as Oracle instance stats, same solution (periodic snapshot + delta)</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Load Profile (DB Time, DB CPU, transactions/sec)</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sys.dm_os_performance_counters, sys.dm_exec_query_stats aggregates</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SQL Server has no single "DB Time" concept the way Oracle does — this needs to be a derived/composite metric, not a direct 1:1 pull</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Instance Efficiency (buffer cache hit ratio, etc.)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sys.dm_os_performance_counters ('Buffer cache hit ratio', 'Page life expectancy')</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Direct equivalent exists and is well-documented, low risk</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SGA/PGA Advisory</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No direct equivalent</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SQL Server manages memory differently (single Max Server Memory setting, no separate advisor-driven sizing curve) — flagged as a genuine gap, not a rule-writing problem (Section 9.2)</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Undo Statistics (retention, STO/OOS)</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TempDB version store (sys.dm_tran_version_store, sys.dm_db_file_space_usage)</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Different mechanism entirely (row versioning under RCSI/snapshot isolation vs Oracle's UNDO tablespace) — needs its own rule logic, not a renamed copy of the Oracle undo rules</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Execution Plans (DBMS_XPLAN)</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sys.query_store_plan.query_plan (XML), or live SET SHOWPLAN_XML</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plans are the direct analog to stored AWR plan history; live SHOWPLAN is the analog to the live-Oracle-connection PL/SQL Performance Analysis pattern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RAC (Real Application Clusters)</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Always On Availability Groups</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Genuinely different architecture (shared-nothing replicas, not shared-disk shared-cache) — do not reuse the RAC instance-scoping pattern as-is; needs its own design (Section 9.1)</w:t>
            </w:r>
          </w:p>
        </w:tc>
      </w:tr>
    </w:tbl>
    <w:p>
      <w:pPr>
        <w:pBdr>
          <w:bottom w:val="single" w:color="00B38C" w:sz="4"/>
        </w:pBdr>
        <w:spacing w:after="100" w:before="260"/>
      </w:pPr>
      <w:r>
        <w:rPr>
          <w:rFonts w:ascii="Calibri" w:cs="Calibri" w:eastAsia="Calibri" w:hAnsi="Calibri"/>
          <w:b/>
          <w:bCs/>
          <w:color w:val="034EA1"/>
          <w:sz w:val="26"/>
          <w:szCs w:val="26"/>
        </w:rPr>
        <w:t xml:space="preserve">3.1 Wait Category vs Wait Type — a real granularity difference to design around</w:t>
      </w:r>
    </w:p>
    <w:p>
      <w:pPr>
        <w:spacing w:after="120"/>
      </w:pPr>
      <w:r>
        <w:rPr>
          <w:rFonts w:ascii="Calibri" w:cs="Calibri" w:eastAsia="Calibri" w:hAnsi="Calibri"/>
          <w:color w:val="1A2035"/>
          <w:sz w:val="20"/>
          <w:szCs w:val="20"/>
        </w:rPr>
        <w:t xml:space="preserve">Query Store's wait_category is a curated bucket (Lock, Buffer IO, Compilation, Parallelism, Memory, CPU, Preemptive, Network IO, and roughly a dozen more) — genuinely closer to Oracle's wait CLASS than to individual named wait EVENTS. The finer-grained wait_type (e.g. PAGEIOLATCH_SH specifically, not just "Buffer IO" broadly) is only available from sys.dm_os_wait_stats (cumulative, not per-query) — there is no per-query breakdown to the wait_type level in Query Store itself. This means MSSQL_WAIT_* rules will naturally split into two tiers: category-level rules that can cite a specific offending query (from Query Store), and type-level rules that can only speak to instance-wide behaviour (from sys.dm_os_wait_stats) — mirroring the honest distinction already made this project between per-object and instance-wide findings elsewhere in the rule engine.</w:t>
      </w:r>
    </w:p>
    <w:p>
      <w:pPr>
        <w:shd w:fill="034EA1" w:val="clear"/>
        <w:spacing w:after="120" w:before="280"/>
        <w:ind w:left="180"/>
      </w:pPr>
      <w:r>
        <w:rPr>
          <w:rFonts w:ascii="Calibri" w:cs="Calibri" w:eastAsia="Calibri" w:hAnsi="Calibri"/>
          <w:b/>
          <w:bCs/>
          <w:color w:val="FFFFFF"/>
          <w:sz w:val="32"/>
          <w:szCs w:val="32"/>
        </w:rPr>
        <w:t xml:space="preserve">4. Data Collection Architecture</w:t>
      </w:r>
    </w:p>
    <w:p>
      <w:pPr>
        <w:pBdr>
          <w:bottom w:val="single" w:color="00B38C" w:sz="4"/>
        </w:pBdr>
        <w:spacing w:after="100" w:before="260"/>
      </w:pPr>
      <w:r>
        <w:rPr>
          <w:rFonts w:ascii="Calibri" w:cs="Calibri" w:eastAsia="Calibri" w:hAnsi="Calibri"/>
          <w:b/>
          <w:bCs/>
          <w:color w:val="034EA1"/>
          <w:sz w:val="26"/>
          <w:szCs w:val="26"/>
        </w:rPr>
        <w:t xml:space="preserve">4.0 Target Version and Edition (Ganesh's decision)</w:t>
      </w:r>
    </w:p>
    <w:p>
      <w:pPr>
        <w:spacing w:after="120"/>
      </w:pPr>
      <w:r>
        <w:rPr>
          <w:rFonts w:ascii="Calibri" w:cs="Calibri" w:eastAsia="Calibri" w:hAnsi="Calibri"/>
          <w:color w:val="1A2035"/>
          <w:sz w:val="20"/>
          <w:szCs w:val="20"/>
        </w:rPr>
        <w:t xml:space="preserve">Target: latest + n-1, confirmed against current Microsoft release data — SQL Server 2025 (RTM Nov 2025, mainstream support until Jan 2031) and SQL Server 2022 (mainstream support until Jan 2028). Both are 2017+, so full per-query wait stats (Section 3.1) are available on both — no need for the DMV-only fallback (Section 4.4) as a Phase 1 concern, only as a documented degradation path for a customer running something older.</w:t>
      </w:r>
    </w:p>
    <w:p>
      <w:pPr>
        <w:pStyle w:val="ListParagraph"/>
        <w:numPr>
          <w:ilvl w:val="0"/>
          <w:numId w:val="1"/>
        </w:numPr>
        <w:spacing w:after="60"/>
      </w:pPr>
      <w:r>
        <w:rPr>
          <w:rFonts w:ascii="Calibri" w:cs="Calibri" w:eastAsia="Calibri" w:hAnsi="Calibri"/>
          <w:sz w:val="20"/>
          <w:szCs w:val="20"/>
        </w:rPr>
        <w:t xml:space="preserve">Download (official Microsoft page): https://www.microsoft.com/en-us/sql-server/sql-server-downloads</w:t>
      </w:r>
    </w:p>
    <w:p>
      <w:pPr>
        <w:pStyle w:val="ListParagraph"/>
        <w:numPr>
          <w:ilvl w:val="0"/>
          <w:numId w:val="1"/>
        </w:numPr>
        <w:spacing w:after="60"/>
      </w:pPr>
      <w:r>
        <w:rPr>
          <w:rFonts w:ascii="Calibri" w:cs="Calibri" w:eastAsia="Calibri" w:hAnsi="Calibri"/>
          <w:sz w:val="20"/>
          <w:szCs w:val="20"/>
        </w:rPr>
        <w:t xml:space="preserve">For test/dev: use the free Standard Developer Edition specifically, not Enterprise Developer — Developer edition is free and full-featured either way, but testing against the Standard tier validates the feature set real Standard-edition customers will actually run, rather than accidentally relying on an Enterprise-only behaviour without noticing</w:t>
      </w:r>
    </w:p>
    <w:p>
      <w:pPr>
        <w:pBdr>
          <w:bottom w:val="single" w:color="00B38C" w:sz="4"/>
        </w:pBdr>
        <w:spacing w:after="100" w:before="260"/>
      </w:pPr>
      <w:r>
        <w:rPr>
          <w:rFonts w:ascii="Calibri" w:cs="Calibri" w:eastAsia="Calibri" w:hAnsi="Calibri"/>
          <w:b/>
          <w:bCs/>
          <w:color w:val="034EA1"/>
          <w:sz w:val="26"/>
          <w:szCs w:val="26"/>
        </w:rPr>
        <w:t xml:space="preserve">4.0.1 Standard Edition Is Sufficient for Query Store</w:t>
      </w:r>
    </w:p>
    <w:p>
      <w:pPr>
        <w:spacing w:after="120"/>
      </w:pPr>
      <w:r>
        <w:rPr>
          <w:rFonts w:ascii="Calibri" w:cs="Calibri" w:eastAsia="Calibri" w:hAnsi="Calibri"/>
          <w:color w:val="1A2035"/>
          <w:sz w:val="20"/>
          <w:szCs w:val="20"/>
        </w:rPr>
        <w:t xml:space="preserve">Confirmed directly against Microsoft's own edition/feature comparison: core Query Store — query text, plans, runtime_stats, and wait_stats, everything this design's Phase 1 needs — has been available in Standard Edition since SQL Server 2016 SP1. Enterprise Edition is not required to enable or use Query Store.</w:t>
      </w:r>
    </w:p>
    <w:p>
      <w:pPr>
        <w:spacing w:after="120"/>
      </w:pPr>
      <w:r>
        <w:rPr>
          <w:rFonts w:ascii="Calibri" w:cs="Calibri" w:eastAsia="Calibri" w:hAnsi="Calibri"/>
          <w:color w:val="1A2035"/>
          <w:sz w:val="20"/>
          <w:szCs w:val="20"/>
        </w:rPr>
        <w:t xml:space="preserve">The only two Query-Store-related capabilities actually gated to Enterprise:</w:t>
      </w:r>
    </w:p>
    <w:p>
      <w:pPr>
        <w:pStyle w:val="ListParagraph"/>
        <w:numPr>
          <w:ilvl w:val="0"/>
          <w:numId w:val="1"/>
        </w:numPr>
        <w:spacing w:after="60"/>
      </w:pPr>
      <w:r>
        <w:rPr>
          <w:rFonts w:ascii="Calibri" w:cs="Calibri" w:eastAsia="Calibri" w:hAnsi="Calibri"/>
          <w:sz w:val="20"/>
          <w:szCs w:val="20"/>
        </w:rPr>
        <w:t xml:space="preserve">Automatic tuning (Query Store automatically forcing a better plan) — a convenience feature for the DBA, not something this design's data collection depends on</w:t>
      </w:r>
    </w:p>
    <w:p>
      <w:pPr>
        <w:pStyle w:val="ListParagraph"/>
        <w:numPr>
          <w:ilvl w:val="0"/>
          <w:numId w:val="1"/>
        </w:numPr>
        <w:spacing w:after="60"/>
      </w:pPr>
      <w:r>
        <w:rPr>
          <w:rFonts w:ascii="Calibri" w:cs="Calibri" w:eastAsia="Calibri" w:hAnsi="Calibri"/>
          <w:sz w:val="20"/>
          <w:szCs w:val="20"/>
        </w:rPr>
        <w:t xml:space="preserve">Query Store on Availability Group readable secondaries — only relevant once Section 9.1 (AG design) happens; irrelevant to Phase 1</w:t>
      </w:r>
    </w:p>
    <w:p>
      <w:pPr>
        <w:pBdr>
          <w:left w:val="single" w:color="00B38C" w:sz="16"/>
        </w:pBdr>
        <w:shd w:fill="F5F7FA" w:val="clear"/>
        <w:spacing w:after="100" w:before="100"/>
        <w:ind w:left="200"/>
      </w:pPr>
      <w:r>
        <w:rPr>
          <w:rFonts w:ascii="Calibri" w:cs="Calibri" w:eastAsia="Calibri" w:hAnsi="Calibri"/>
          <w:i/>
          <w:iCs/>
          <w:color w:val="475569"/>
          <w:sz w:val="19"/>
          <w:szCs w:val="19"/>
        </w:rPr>
        <w:t xml:space="preserve">Bottom line: no Enterprise Edition purchase is needed to build or validate Phase 1 of this design.</w:t>
      </w:r>
    </w:p>
    <w:p>
      <w:pPr>
        <w:pBdr>
          <w:bottom w:val="single" w:color="00B38C" w:sz="4"/>
        </w:pBdr>
        <w:spacing w:after="100" w:before="260"/>
      </w:pPr>
      <w:r>
        <w:rPr>
          <w:rFonts w:ascii="Calibri" w:cs="Calibri" w:eastAsia="Calibri" w:hAnsi="Calibri"/>
          <w:b/>
          <w:bCs/>
          <w:color w:val="034EA1"/>
          <w:sz w:val="26"/>
          <w:szCs w:val="26"/>
        </w:rPr>
        <w:t xml:space="preserve">4.1 Connectivity</w:t>
      </w:r>
    </w:p>
    <w:p>
      <w:pPr>
        <w:spacing w:after="120"/>
      </w:pPr>
      <w:r>
        <w:rPr>
          <w:rFonts w:ascii="Calibri" w:cs="Calibri" w:eastAsia="Calibri" w:hAnsi="Calibri"/>
          <w:color w:val="1A2035"/>
          <w:sz w:val="20"/>
          <w:szCs w:val="20"/>
        </w:rPr>
        <w:t xml:space="preserve">pyodbc (ODBC Driver 17/18 for SQL Server) is the recommended choice over pymssql — actively maintained by Microsoft, supports Azure AD/Entra authentication for cloud-hosted instances, and is the same pattern already proven in this project's PL/SQL Performance Analysis module (a real live-database connection, parameterized queries, connection-level timeout). The oracle_live_query.py module's shape (a single shared connection helper with a configurable call timeout, per-query try/except so one failure doesn't take down a batch) transfers directly — pyodbc's own connection timeout and cursor.execute pattern support the same design without needing a different approach.</w:t>
      </w:r>
    </w:p>
    <w:p>
      <w:pPr>
        <w:pBdr>
          <w:bottom w:val="single" w:color="00B38C" w:sz="4"/>
        </w:pBdr>
        <w:spacing w:after="100" w:before="260"/>
      </w:pPr>
      <w:r>
        <w:rPr>
          <w:rFonts w:ascii="Calibri" w:cs="Calibri" w:eastAsia="Calibri" w:hAnsi="Calibri"/>
          <w:b/>
          <w:bCs/>
          <w:color w:val="034EA1"/>
          <w:sz w:val="26"/>
          <w:szCs w:val="26"/>
        </w:rPr>
        <w:t xml:space="preserve">4.2 Two Collection Models, Not One</w:t>
      </w:r>
    </w:p>
    <w:p>
      <w:pPr>
        <w:spacing w:after="120"/>
      </w:pPr>
      <w:r>
        <w:rPr>
          <w:rFonts w:ascii="Calibri" w:cs="Calibri" w:eastAsia="Calibri" w:hAnsi="Calibri"/>
          <w:color w:val="1A2035"/>
          <w:sz w:val="20"/>
          <w:szCs w:val="20"/>
        </w:rPr>
        <w:t xml:space="preserve">This is the single most important architectural decision in this design, and it's different from how the Oracle side works: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Model</w:t>
            </w:r>
          </w:p>
        </w:tc>
        <w:tc>
          <w:tcPr>
            <w:tcW w:type="dxa" w:w="3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c>
          <w:tcPr>
            <w:tcW w:type="dxa" w:w="41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How It Works</w:t>
            </w:r>
          </w:p>
        </w:tc>
      </w:tr>
      <w:tr>
        <w:tc>
          <w:tcPr>
            <w:tcW w:type="dxa" w:w="2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Native interval pull</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(query/plan/runtime_stats/wait_stats)</w:t>
            </w:r>
          </w:p>
        </w:tc>
        <w:tc>
          <w:tcPr>
            <w:tcW w:type="dxa" w:w="41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has ALREADY aggregated data into its own intervals by the time DAR Platform reads it. The collector's job is just to pull completed intervals on a schedule and store them — no delta math needed, Query Store already did that internally.</w:t>
            </w:r>
          </w:p>
        </w:tc>
      </w:tr>
      <w:tr>
        <w:tc>
          <w:tcPr>
            <w:tcW w:type="dxa" w:w="2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Cumulative-counter delta snapshot</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sys.dm_os_wait_stats, sys.dm_db_index_operational_stats, sys.dm_io_virtual_file_stats, sys.dm_os_performance_counters</w:t>
            </w:r>
          </w:p>
        </w:tc>
        <w:tc>
          <w:tcPr>
            <w:tcW w:type="dxa" w:w="41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These reset on restart and only ever grow — same shape as Oracle's cumulative instance statistics. The collector must poll on a fixed interval, store the raw cumulative value each time, and compute (current − previous) / elapsed_seconds for rate-based metrics, exactly the pattern already used in this codebase's own instance-statistics handling.</w:t>
            </w:r>
          </w:p>
        </w:tc>
      </w:tr>
    </w:tbl>
    <w:p>
      <w:pPr>
        <w:pBdr>
          <w:left w:val="single" w:color="00B38C" w:sz="16"/>
        </w:pBdr>
        <w:shd w:fill="F5F7FA" w:val="clear"/>
        <w:spacing w:after="100" w:before="100"/>
        <w:ind w:left="200"/>
      </w:pPr>
      <w:r>
        <w:rPr>
          <w:rFonts w:ascii="Calibri" w:cs="Calibri" w:eastAsia="Calibri" w:hAnsi="Calibri"/>
          <w:i/>
          <w:iCs/>
          <w:color w:val="475569"/>
          <w:sz w:val="19"/>
          <w:szCs w:val="19"/>
        </w:rPr>
        <w:t xml:space="preserve">Getting this distinction wrong is the most likely source of a subtle correctness bug in an implementation of this design — treating a cumulative DMV like it's already interval-scoped (or vice versa) would silently produce wrong rates, the same class of issue root-caused and fixed repeatedly on the Oracle side this project (RAC instance-scoping, the undo blocks-vs-MB unit mismatch). Whoever implements this should explicitly test each DMV's actual reset behaviour against a real instance before assuming it, not just trust the column name.</w:t>
      </w:r>
    </w:p>
    <w:p>
      <w:pPr>
        <w:pBdr>
          <w:bottom w:val="single" w:color="00B38C" w:sz="4"/>
        </w:pBdr>
        <w:spacing w:after="100" w:before="260"/>
      </w:pPr>
      <w:r>
        <w:rPr>
          <w:rFonts w:ascii="Calibri" w:cs="Calibri" w:eastAsia="Calibri" w:hAnsi="Calibri"/>
          <w:b/>
          <w:bCs/>
          <w:color w:val="034EA1"/>
          <w:sz w:val="26"/>
          <w:szCs w:val="26"/>
        </w:rPr>
        <w:t xml:space="preserve">4.3 Snapshot Cadence</w:t>
      </w:r>
    </w:p>
    <w:p>
      <w:pPr>
        <w:pStyle w:val="ListParagraph"/>
        <w:numPr>
          <w:ilvl w:val="0"/>
          <w:numId w:val="1"/>
        </w:numPr>
        <w:spacing w:after="60"/>
      </w:pPr>
      <w:r>
        <w:rPr>
          <w:rFonts w:ascii="Calibri" w:cs="Calibri" w:eastAsia="Calibri" w:hAnsi="Calibri"/>
          <w:sz w:val="20"/>
          <w:szCs w:val="20"/>
        </w:rPr>
        <w:t xml:space="preserve">Query Store intervals: pull on a schedule matched to the interval size configured in each target database (default 60 min) — no faster than that adds no value, since Query Store itself hasn't produced new aggregated data yet</w:t>
      </w:r>
    </w:p>
    <w:p>
      <w:pPr>
        <w:pStyle w:val="ListParagraph"/>
        <w:numPr>
          <w:ilvl w:val="0"/>
          <w:numId w:val="1"/>
        </w:numPr>
        <w:spacing w:after="60"/>
      </w:pPr>
      <w:r>
        <w:rPr>
          <w:rFonts w:ascii="Calibri" w:cs="Calibri" w:eastAsia="Calibri" w:hAnsi="Calibri"/>
          <w:sz w:val="20"/>
          <w:szCs w:val="20"/>
        </w:rPr>
        <w:t xml:space="preserve">Cumulative DMV snapshots: independent, configurable interval (suggest 15-30 min default, matching typical AWR snapshot cadence) — this is what actually drives "snapshot range" selection in the portal UI for the DMV-sourced dashboards</w:t>
      </w:r>
    </w:p>
    <w:p>
      <w:pPr>
        <w:pBdr>
          <w:bottom w:val="single" w:color="00B38C" w:sz="4"/>
        </w:pBdr>
        <w:spacing w:after="100" w:before="260"/>
      </w:pPr>
      <w:r>
        <w:rPr>
          <w:rFonts w:ascii="Calibri" w:cs="Calibri" w:eastAsia="Calibri" w:hAnsi="Calibri"/>
          <w:b/>
          <w:bCs/>
          <w:color w:val="034EA1"/>
          <w:sz w:val="26"/>
          <w:szCs w:val="26"/>
        </w:rPr>
        <w:t xml:space="preserve">4.4 Query Store Availability — a Real Prerequisite, Not an Edge Case</w:t>
      </w:r>
    </w:p>
    <w:p>
      <w:pPr>
        <w:spacing w:after="120"/>
      </w:pPr>
      <w:r>
        <w:rPr>
          <w:rFonts w:ascii="Calibri" w:cs="Calibri" w:eastAsia="Calibri" w:hAnsi="Calibri"/>
          <w:color w:val="1A2035"/>
          <w:sz w:val="20"/>
          <w:szCs w:val="20"/>
        </w:rPr>
        <w:t xml:space="preserve">Query Store must be explicitly enabled per-database (ALTER DATABASE ... SET QUERY_STORE = ON) — it is not on by default even on SQL Server 2016+. A meaningful fraction of real-world target databases, especially older or unmanaged ones, will have it off. The collector needs an explicit capability check per database (query sys.database_query_store_options.actual_state) at connection time, and the SQL-statistics dashboards need a documented fallback to sys.dm_exec_query_stats (current plan cache only, no history) rather than silently returning empty results — the same honesty standard already applied throughout this project's existing rule engine (SGA_001/SQL_005-style genuinely-blocked flagging, not a silent empty result presented as "everything's fine").</w:t>
      </w:r>
    </w:p>
    <w:p>
      <w:pPr>
        <w:shd w:fill="034EA1" w:val="clear"/>
        <w:spacing w:after="120" w:before="280"/>
        <w:ind w:left="180"/>
      </w:pPr>
      <w:r>
        <w:rPr>
          <w:rFonts w:ascii="Calibri" w:cs="Calibri" w:eastAsia="Calibri" w:hAnsi="Calibri"/>
          <w:b/>
          <w:bCs/>
          <w:color w:val="FFFFFF"/>
          <w:sz w:val="32"/>
          <w:szCs w:val="32"/>
        </w:rPr>
        <w:t xml:space="preserve">5. Proposed PostgreSQL Schema</w:t>
      </w:r>
    </w:p>
    <w:p>
      <w:pPr>
        <w:spacing w:after="120"/>
      </w:pPr>
      <w:r>
        <w:rPr>
          <w:rFonts w:ascii="Calibri" w:cs="Calibri" w:eastAsia="Calibri" w:hAnsi="Calibri"/>
          <w:color w:val="1A2035"/>
          <w:sz w:val="20"/>
          <w:szCs w:val="20"/>
        </w:rPr>
        <w:t xml:space="preserve">Naming convention: mssql_* prefix, mirroring the existing awr_* convention exactly, so the two engines are visually distinguishable in the same database without a naming collision risk.</w:t>
      </w:r>
    </w:p>
    <w:p>
      <w:pPr>
        <w:pBdr>
          <w:left w:val="single" w:color="034EA1" w:sz="16"/>
        </w:pBdr>
        <w:shd w:fill="F5F7FA" w:val="clear"/>
        <w:spacing w:after="100" w:before="100"/>
        <w:ind w:left="200"/>
      </w:pPr>
      <w:r>
        <w:rPr>
          <w:rFonts w:ascii="Calibri" w:cs="Calibri" w:eastAsia="Calibri" w:hAnsi="Calibri"/>
          <w:i/>
          <w:iCs/>
          <w:color w:val="475569"/>
          <w:sz w:val="19"/>
          <w:szCs w:val="19"/>
        </w:rPr>
        <w:t xml:space="preserve">Confirmed by Ganesh: same PostgreSQL database as the existing awr_* schema (not a separate database), separate tablespace — mssqlparser (data) and mssqlparser_idx (index), mirroring the existing awrparser/awrparser_idx naming exactly.</w:t>
      </w:r>
    </w:p>
    <w:p>
      <w:pPr>
        <w:pBdr>
          <w:left w:val="single" w:color="DC2626" w:sz="16"/>
        </w:pBdr>
        <w:shd w:fill="F5F7FA" w:val="clear"/>
        <w:spacing w:after="100" w:before="100"/>
        <w:ind w:left="200"/>
      </w:pPr>
      <w:r>
        <w:rPr>
          <w:rFonts w:ascii="Calibri" w:cs="Calibri" w:eastAsia="Calibri" w:hAnsi="Calibri"/>
          <w:i/>
          <w:iCs/>
          <w:color w:val="475569"/>
          <w:sz w:val="19"/>
          <w:szCs w:val="19"/>
        </w:rPr>
        <w:t xml:space="preserve">Design point surfaced by the licensing question (Section 12.3): Query Store is enabled and scoped PER DATABASE (ALTER DATABASE ... SET QUERY_STORE = ON), and one SQL Server instance routinely hosts many databases — unlike the simpler one-instance-one-database assumption that's mostly held on the Oracle side so far. Every mssql_qs_* table (Section 5.2) needs a database_id/database_name column as part of its key, not just instance_id — a query_id is only unique within one database's Query Store, not across the whole instance. The Tier 1 cumulative-DMV tables (Section 5.3) remain instance-wide as designed, no change needed there — this distinction is specific to Query Store-sourced data.</w:t>
      </w:r>
    </w:p>
    <w:p>
      <w:pPr>
        <w:pBdr>
          <w:bottom w:val="single" w:color="00B38C" w:sz="4"/>
        </w:pBdr>
        <w:spacing w:after="100" w:before="260"/>
      </w:pPr>
      <w:r>
        <w:rPr>
          <w:rFonts w:ascii="Calibri" w:cs="Calibri" w:eastAsia="Calibri" w:hAnsi="Calibri"/>
          <w:b/>
          <w:bCs/>
          <w:color w:val="034EA1"/>
          <w:sz w:val="26"/>
          <w:szCs w:val="26"/>
        </w:rPr>
        <w:t xml:space="preserve">5.1 Core / Metadata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2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Mirrors</w:t>
            </w:r>
          </w:p>
        </w:tc>
        <w:tc>
          <w:tcPr>
            <w:tcW w:type="dxa" w:w="45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mssql_instance_master</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awr_db_master</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Server name, instance name, edition, version, host info, Availability Group role if applicable</w:t>
            </w:r>
          </w:p>
        </w:tc>
      </w:tr>
      <w:tr>
        <w:tc>
          <w:tcPr>
            <w:tcW w:type="dxa" w:w="2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mssql_qs_interval</w:t>
            </w:r>
          </w:p>
        </w:tc>
        <w:tc>
          <w:tcPr>
            <w:tcW w:type="dxa" w:w="2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awr snap metadata</w:t>
            </w:r>
          </w:p>
        </w:tc>
        <w:tc>
          <w:tcPr>
            <w:tcW w:type="dxa" w:w="45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Pulled directly from sys.query_store_runtime_stats_interval — start_time/end_time per interval, the closest thing to an AWR snap_id</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mssql_dmv_snapshot</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(new concept)</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Records each cumulative-DMV poll event (timestamp, instance) — the anchor row that mssql_wait_stats_delta etc. join against for their own snap_id-equivalent</w:t>
            </w:r>
          </w:p>
        </w:tc>
      </w:tr>
    </w:tbl>
    <w:p>
      <w:pPr>
        <w:pBdr>
          <w:bottom w:val="single" w:color="00B38C" w:sz="4"/>
        </w:pBdr>
        <w:spacing w:after="100" w:before="260"/>
      </w:pPr>
      <w:r>
        <w:rPr>
          <w:rFonts w:ascii="Calibri" w:cs="Calibri" w:eastAsia="Calibri" w:hAnsi="Calibri"/>
          <w:b/>
          <w:bCs/>
          <w:color w:val="034EA1"/>
          <w:sz w:val="26"/>
          <w:szCs w:val="26"/>
        </w:rPr>
        <w:t xml:space="preserve">5.2 Query Store — Sourced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26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Sourced From</w:t>
            </w:r>
          </w:p>
        </w:tc>
        <w:tc>
          <w:tcPr>
            <w:tcW w:type="dxa" w:w="45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Columns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mssql_qs_query_text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sys.query_store_query_text</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query_text_id, query_sql_text</w:t>
            </w:r>
          </w:p>
        </w:tc>
      </w:tr>
      <w:tr>
        <w:tc>
          <w:tcPr>
            <w:tcW w:type="dxa" w:w="2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mssql_qs_query</w:t>
            </w:r>
          </w:p>
        </w:tc>
        <w:tc>
          <w:tcPr>
            <w:tcW w:type="dxa" w:w="26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sys.query_store_query</w:t>
            </w:r>
          </w:p>
        </w:tc>
        <w:tc>
          <w:tcPr>
            <w:tcW w:type="dxa" w:w="45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query_id, query_text_id, object_id, query_parameterization_type, is_internal_query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mssql_qs_plan</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sys.query_store_plan</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plan_id, query_id, query_plan (XML), is_parallel_plan</w:t>
            </w:r>
          </w:p>
        </w:tc>
      </w:tr>
      <w:tr>
        <w:tc>
          <w:tcPr>
            <w:tcW w:type="dxa" w:w="2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mssql_qs_runtime_stats</w:t>
            </w:r>
          </w:p>
        </w:tc>
        <w:tc>
          <w:tcPr>
            <w:tcW w:type="dxa" w:w="26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sys.query_store_runtime_stats</w:t>
            </w:r>
          </w:p>
        </w:tc>
        <w:tc>
          <w:tcPr>
            <w:tcW w:type="dxa" w:w="45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plan_id, runtime_stats_interval_id, execution_type, count_executions, avg_duration, avg_cpu_time, avg_logical_io_reads, avg_physical_io_reads, avg_dop</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mssql_qs_wait_stats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sys.query_store_wait_stats</w:t>
            </w:r>
          </w:p>
        </w:tc>
        <w:tc>
          <w:tcPr>
            <w:tcW w:type="dxa" w:w="4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plan_id, runtime_stats_interval_id, wait_category, wait_category_desc, total_query_wait_time_ms, avg_query_wait_time_ms, max_query_wait_time_ms</w:t>
            </w:r>
          </w:p>
        </w:tc>
      </w:tr>
    </w:tbl>
    <w:p>
      <w:pPr>
        <w:pBdr>
          <w:bottom w:val="single" w:color="00B38C" w:sz="4"/>
        </w:pBdr>
        <w:spacing w:after="100" w:before="260"/>
      </w:pPr>
      <w:r>
        <w:rPr>
          <w:rFonts w:ascii="Calibri" w:cs="Calibri" w:eastAsia="Calibri" w:hAnsi="Calibri"/>
          <w:b/>
          <w:bCs/>
          <w:color w:val="034EA1"/>
          <w:sz w:val="26"/>
          <w:szCs w:val="26"/>
        </w:rPr>
        <w:t xml:space="preserve">5.3 Cumulative-DMV — Sourced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33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Sourced From</w:t>
            </w:r>
          </w:p>
        </w:tc>
        <w:tc>
          <w:tcPr>
            <w:tcW w:type="dxa" w:w="3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Columns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mssql_wait_stats_delta</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sys.dm_os_wait_stats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snapshot_id (FK to mssql_dmv_snapshot), wait_type, waiting_tasks_count_delta, wait_time_ms_delta, signal_wait_time_ms_delta</w:t>
            </w:r>
          </w:p>
        </w:tc>
      </w:tr>
      <w:tr>
        <w:tc>
          <w:tcPr>
            <w:tcW w:type="dxa" w:w="26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mssql_index_usage_delta</w:t>
            </w:r>
          </w:p>
        </w:tc>
        <w:tc>
          <w:tcPr>
            <w:tcW w:type="dxa" w:w="33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sys.dm_db_index_usage_stats + sys.dm_db_index_operational_stats</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snapshot_id, database_id, object_id, index_id, object_name, index_name, user_seeks_delta, user_scans_delta, user_lookups_delta, leaf_insert/update/delete_delta</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mssql_file_io_delta</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sys.dm_io_virtual_file_stats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snapshot_id, database_id, file_id, num_of_reads_delta, num_of_writes_delta, io_stall_read_ms_delta, io_stall_write_ms_delta</w:t>
            </w:r>
          </w:p>
        </w:tc>
      </w:tr>
      <w:tr>
        <w:tc>
          <w:tcPr>
            <w:tcW w:type="dxa" w:w="26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mssql_perf_counters</w:t>
            </w:r>
          </w:p>
        </w:tc>
        <w:tc>
          <w:tcPr>
            <w:tcW w:type="dxa" w:w="33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sys.dm_os_performance_counters</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snapshot_id, counter_name, cntr_value — point-in-time for gauge-type counters (Page Life Expectancy), delta for cumulative-type ones (Batch Requests/sec)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mssql_memory_clerks</w:t>
            </w:r>
          </w:p>
        </w:tc>
        <w:tc>
          <w:tcPr>
            <w:tcW w:type="dxa" w:w="3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sys.dm_os_memory_clerks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snapshot_id, type, pages_kb — memory-pressure equivalent to the Oracle PGA/SGA advisory tables, though not a true sizing advisor (Section 9.2)</w:t>
            </w:r>
          </w:p>
        </w:tc>
      </w:tr>
    </w:tbl>
    <w:p>
      <w:pPr>
        <w:pBdr>
          <w:left w:val="single" w:color="00B38C" w:sz="16"/>
        </w:pBdr>
        <w:shd w:fill="F5F7FA" w:val="clear"/>
        <w:spacing w:after="100" w:before="100"/>
        <w:ind w:left="200"/>
      </w:pPr>
      <w:r>
        <w:rPr>
          <w:rFonts w:ascii="Calibri" w:cs="Calibri" w:eastAsia="Calibri" w:hAnsi="Calibri"/>
          <w:i/>
          <w:iCs/>
          <w:color w:val="475569"/>
          <w:sz w:val="19"/>
          <w:szCs w:val="19"/>
        </w:rPr>
        <w:t xml:space="preserve">This is a proposed starting schema, not a final one — column lists above are representative of the highest-value fields per source, not exhaustive. A real implementation pass would want to review each DMV's full column list against what the rule engine actually needs before finalizing DDL, the same way the existing AWR schema grew iteratively rather than being fully speced upfront.</w:t>
      </w:r>
    </w:p>
    <w:p>
      <w:pPr>
        <w:shd w:fill="034EA1" w:val="clear"/>
        <w:spacing w:after="120" w:before="280"/>
        <w:ind w:left="180"/>
      </w:pPr>
      <w:r>
        <w:rPr>
          <w:rFonts w:ascii="Calibri" w:cs="Calibri" w:eastAsia="Calibri" w:hAnsi="Calibri"/>
          <w:b/>
          <w:bCs/>
          <w:color w:val="FFFFFF"/>
          <w:sz w:val="32"/>
          <w:szCs w:val="32"/>
        </w:rPr>
        <w:t xml:space="preserve">6. Rule Engine Extension</w:t>
      </w:r>
    </w:p>
    <w:p>
      <w:pPr>
        <w:spacing w:after="120"/>
      </w:pPr>
      <w:r>
        <w:rPr>
          <w:rFonts w:ascii="Calibri" w:cs="Calibri" w:eastAsia="Calibri" w:hAnsi="Calibri"/>
          <w:color w:val="1A2035"/>
          <w:sz w:val="20"/>
          <w:szCs w:val="20"/>
        </w:rPr>
        <w:t xml:space="preserve">No new rule engine needed — recommendation_engine.py's evaluate_condition()/rule-dict pattern is entirely database-agnostic already (it operates on a context dict of variable→value, not on Oracle-specific structure). The extension is additive: a new rules/recommendation_rules_mssql_v1.json file (or a merged file with a mssql_* category prefix — recommend a separate file initially, to avoid the two engines' rule sets becoming entangled during early development), and new fetcher functions in recommendation_engine.py mirroring the existing _fetch_wait_metrics/_fetch_sql_metrics pattern, querying the new mssql_* tables instead of awr_* ones.</w:t>
      </w:r>
    </w:p>
    <w:p>
      <w:pPr>
        <w:pBdr>
          <w:bottom w:val="single" w:color="00B38C" w:sz="4"/>
        </w:pBdr>
        <w:spacing w:after="100" w:before="260"/>
      </w:pPr>
      <w:r>
        <w:rPr>
          <w:rFonts w:ascii="Calibri" w:cs="Calibri" w:eastAsia="Calibri" w:hAnsi="Calibri"/>
          <w:b/>
          <w:bCs/>
          <w:color w:val="034EA1"/>
          <w:sz w:val="26"/>
          <w:szCs w:val="26"/>
        </w:rPr>
        <w:t xml:space="preserve">6.1 Example Rule (Same JSON Schema)</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"rule_id": "MSSQL_WAIT_001",</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"category": "mssql_wait",</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"event_pattern": "Buffer IO",</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"condition": "pct_query_wait_time &gt; 15 OR avg_wait_ms &gt; 10",</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"severity": "high",</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"title": "High Buffer I/O Wait — Query Store",</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"root_cause": "High PAGEIOLATCH waits per Buffer IO category — check for</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missing/stale statistics, undersized buffer pool (Max Server Memory),</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or genuine physical I/O bottleneck.",</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"resolution_steps": ["1. Check Page Life Expectancy...", "..."],</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  "related_rules": ["MSSQL_SEG_001"]</w:t>
      </w:r>
    </w:p>
    <w:p>
      <w:pPr>
        <w:pBdr>
          <w:left w:val="single" w:color="034EA1" w:sz="12"/>
        </w:pBdr>
        <w:shd w:fill="EEF2FF" w:val="clear"/>
        <w:spacing w:after="20" w:before="20"/>
        <w:ind w:left="200"/>
      </w:pPr>
      <w:r>
        <w:rPr>
          <w:rFonts w:ascii="Courier New" w:cs="Courier New" w:eastAsia="Courier New" w:hAnsi="Courier New"/>
          <w:color w:val="1D4ED8"/>
          <w:sz w:val="17"/>
          <w:szCs w:val="17"/>
        </w:rPr>
        <w:t xml:space="preserve">}</w:t>
      </w:r>
    </w:p>
    <w:p>
      <w:pPr>
        <w:spacing w:after="120"/>
      </w:pPr>
      <w:r>
        <w:rPr>
          <w:rFonts w:ascii="Calibri" w:cs="Calibri" w:eastAsia="Calibri" w:hAnsi="Calibri"/>
          <w:color w:val="1A2035"/>
          <w:sz w:val="20"/>
          <w:szCs w:val="20"/>
        </w:rPr>
        <w:t xml:space="preserve">The condition-evaluation syntax, severity bands, root_cause/resolution_steps authoring style, and related_rules cross-referencing all carry over unchanged. This also means the AI-narrative grounding pattern built for the Oracle side (root_cause/resolution_steps flowing into the prompt automatically, plus a wait-event reference-table lookup) applies to MS SQL Server findings with no new AI-integration work — only a new reference table (mssql_wait_category_master, mirroring awr_wait_event_master) would need populating.</w:t>
      </w:r>
    </w:p>
    <w:p>
      <w:pPr>
        <w:shd w:fill="034EA1" w:val="clear"/>
        <w:spacing w:after="120" w:before="280"/>
        <w:ind w:left="180"/>
      </w:pPr>
      <w:r>
        <w:rPr>
          <w:rFonts w:ascii="Calibri" w:cs="Calibri" w:eastAsia="Calibri" w:hAnsi="Calibri"/>
          <w:b/>
          <w:bCs/>
          <w:color w:val="FFFFFF"/>
          <w:sz w:val="32"/>
          <w:szCs w:val="32"/>
        </w:rPr>
        <w:t xml:space="preserve">7. Dashboard Plan</w:t>
      </w:r>
    </w:p>
    <w:p>
      <w:pPr>
        <w:spacing w:after="120"/>
      </w:pPr>
      <w:r>
        <w:rPr>
          <w:rFonts w:ascii="Calibri" w:cs="Calibri" w:eastAsia="Calibri" w:hAnsi="Calibri"/>
          <w:color w:val="1A2035"/>
          <w:sz w:val="20"/>
          <w:szCs w:val="20"/>
        </w:rPr>
        <w:t xml:space="preserve">Same Grafana + PostgreSQL datasource pattern as the Oracle side — new dashboard JSON files querying mssql_* tables, using the same AWR_Parser_PG datasource (or a second datasource if kept in a separate PostgreSQL database).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c>
          <w:tcPr>
            <w:tcW w:type="dxa" w:w="3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Mirrors (Oracle side)</w:t>
            </w:r>
          </w:p>
        </w:tc>
        <w:tc>
          <w:tcPr>
            <w:tcW w:type="dxa" w:w="23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Phase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Performance (Top CPU/Elapsed/I/O/Executions)</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SQL Statistics (10 dashboards)</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1</w:t>
            </w:r>
          </w:p>
        </w:tc>
      </w:tr>
      <w:tr>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 Statistics (category + type level)</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 Events</w:t>
            </w:r>
          </w:p>
        </w:tc>
        <w:tc>
          <w:tcPr>
            <w:tcW w:type="dxa" w:w="23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1</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Index/Table I/O</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Segment Statistics</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1</w:t>
            </w:r>
          </w:p>
        </w:tc>
      </w:tr>
      <w:tr>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Instance Health (buffer cache, PLE, memory grants)</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Instance Efficiency</w:t>
            </w:r>
          </w:p>
        </w:tc>
        <w:tc>
          <w:tcPr>
            <w:tcW w:type="dxa" w:w="23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1</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File I/O by database/file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Tablespace/File I/O</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2</w:t>
            </w:r>
          </w:p>
        </w:tc>
      </w:tr>
      <w:tr>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 Regression Detection</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(new — matches PL/SQL Performance's multi_plan analysis)</w:t>
            </w:r>
          </w:p>
        </w:tc>
        <w:tc>
          <w:tcPr>
            <w:tcW w:type="dxa" w:w="23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2</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Availability Group Correlation</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AWR+SAR/NMON Correlation</w:t>
            </w:r>
          </w:p>
        </w:tc>
        <w:tc>
          <w:tcPr>
            <w:tcW w:type="dxa" w:w="23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Parked — see Section 9.1</w:t>
            </w:r>
          </w:p>
        </w:tc>
      </w:tr>
    </w:tbl>
    <w:p>
      <w:pPr>
        <w:shd w:fill="034EA1" w:val="clear"/>
        <w:spacing w:after="120" w:before="280"/>
        <w:ind w:left="180"/>
      </w:pPr>
      <w:r>
        <w:rPr>
          <w:rFonts w:ascii="Calibri" w:cs="Calibri" w:eastAsia="Calibri" w:hAnsi="Calibri"/>
          <w:b/>
          <w:bCs/>
          <w:color w:val="FFFFFF"/>
          <w:sz w:val="32"/>
          <w:szCs w:val="32"/>
        </w:rPr>
        <w:t xml:space="preserve">8. Portal Integration Points</w:t>
      </w:r>
    </w:p>
    <w:p>
      <w:pPr>
        <w:pStyle w:val="ListParagraph"/>
        <w:numPr>
          <w:ilvl w:val="0"/>
          <w:numId w:val="1"/>
        </w:numPr>
        <w:spacing w:after="60"/>
      </w:pPr>
      <w:r>
        <w:rPr>
          <w:rFonts w:ascii="Calibri" w:cs="Calibri" w:eastAsia="Calibri" w:hAnsi="Calibri"/>
          <w:sz w:val="20"/>
          <w:szCs w:val="20"/>
        </w:rPr>
        <w:t xml:space="preserve">Settings → Connections → new "SQL Server" connection type, alongside existing Oracle/SAR SSH/NMON SSH — same Test Connection pattern</w:t>
      </w:r>
    </w:p>
    <w:p>
      <w:pPr>
        <w:pStyle w:val="ListParagraph"/>
        <w:numPr>
          <w:ilvl w:val="0"/>
          <w:numId w:val="1"/>
        </w:numPr>
        <w:spacing w:after="60"/>
      </w:pPr>
      <w:r>
        <w:rPr>
          <w:rFonts w:ascii="Calibri" w:cs="Calibri" w:eastAsia="Calibri" w:hAnsi="Calibri"/>
          <w:sz w:val="20"/>
          <w:szCs w:val="20"/>
        </w:rPr>
        <w:t xml:space="preserve">New top-level nav item or a mode toggle on existing pages (Analysis Report, AI Recommendations) — recommend a new top-level "SQL Server" section initially rather than overloading the existing Oracle-oriented pages, to avoid conditional-logic sprawl in templates built assuming Oracle concepts (snap_id, instance for RAC, etc.)</w:t>
      </w:r>
    </w:p>
    <w:p>
      <w:pPr>
        <w:pStyle w:val="ListParagraph"/>
        <w:numPr>
          <w:ilvl w:val="0"/>
          <w:numId w:val="1"/>
        </w:numPr>
        <w:spacing w:after="60"/>
      </w:pPr>
      <w:r>
        <w:rPr>
          <w:rFonts w:ascii="Calibri" w:cs="Calibri" w:eastAsia="Calibri" w:hAnsi="Calibri"/>
          <w:sz w:val="20"/>
          <w:szCs w:val="20"/>
        </w:rPr>
        <w:t xml:space="preserve">New collector module (e.g. modules/mssql_collector.py) — separate from oracle_awr_fetcher.py, not a shared abstraction forced over both, given how different the two collection models are (Section 4.2)</w:t>
      </w:r>
    </w:p>
    <w:p>
      <w:pPr>
        <w:pStyle w:val="ListParagraph"/>
        <w:numPr>
          <w:ilvl w:val="0"/>
          <w:numId w:val="1"/>
        </w:numPr>
        <w:spacing w:after="60"/>
      </w:pPr>
      <w:r>
        <w:rPr>
          <w:rFonts w:ascii="Calibri" w:cs="Calibri" w:eastAsia="Calibri" w:hAnsi="Calibri"/>
          <w:sz w:val="20"/>
          <w:szCs w:val="20"/>
        </w:rPr>
        <w:t xml:space="preserve">Reuses: portal framework (FastAPI/Jinja2), recommendation_engine.py's core evaluate_condition(), anomaly_detector.py's z-score logic (already generic — takes a metric table/column, not Oracle-specific), Grafana/dashboard import tooling, PDF export</w:t>
      </w:r>
    </w:p>
    <w:p>
      <w:pPr>
        <w:shd w:fill="034EA1" w:val="clear"/>
        <w:spacing w:after="120" w:before="280"/>
        <w:ind w:left="180"/>
      </w:pPr>
      <w:r>
        <w:rPr>
          <w:rFonts w:ascii="Calibri" w:cs="Calibri" w:eastAsia="Calibri" w:hAnsi="Calibri"/>
          <w:b/>
          <w:bCs/>
          <w:color w:val="FFFFFF"/>
          <w:sz w:val="32"/>
          <w:szCs w:val="32"/>
        </w:rPr>
        <w:t xml:space="preserve">9. Architectural Differences — Design Approach</w:t>
      </w:r>
    </w:p>
    <w:p>
      <w:pPr>
        <w:pBdr>
          <w:bottom w:val="single" w:color="00B38C" w:sz="4"/>
        </w:pBdr>
        <w:spacing w:after="100" w:before="260"/>
      </w:pPr>
      <w:r>
        <w:rPr>
          <w:rFonts w:ascii="Calibri" w:cs="Calibri" w:eastAsia="Calibri" w:hAnsi="Calibri"/>
          <w:b/>
          <w:bCs/>
          <w:color w:val="034EA1"/>
          <w:sz w:val="26"/>
          <w:szCs w:val="26"/>
        </w:rPr>
        <w:t xml:space="preserve">9.1 Always On Availability Groups vs RAC — First-Pass Design</w:t>
      </w:r>
    </w:p>
    <w:p>
      <w:pPr>
        <w:pBdr>
          <w:left w:val="single" w:color="DC2626" w:sz="16"/>
        </w:pBdr>
        <w:shd w:fill="F5F7FA" w:val="clear"/>
        <w:spacing w:after="100" w:before="100"/>
        <w:ind w:left="200"/>
      </w:pPr>
      <w:r>
        <w:rPr>
          <w:rFonts w:ascii="Calibri" w:cs="Calibri" w:eastAsia="Calibri" w:hAnsi="Calibri"/>
          <w:i/>
          <w:iCs/>
          <w:color w:val="475569"/>
          <w:sz w:val="19"/>
          <w:szCs w:val="19"/>
        </w:rPr>
        <w:t xml:space="preserve">STATUS: Parked, not Phase 1. Ganesh reconsidered including this in Phase 1 and pulled it back out — "park it till the tool is built." The design below is kept as-is rather than deleted: it's genuine, verified-DMV design work, and staying ready to pick up later is more useful than needing to redo it from scratch when this is prioritized again. Nothing below should be read as scheduled or committed for any current phase.</w:t>
      </w:r>
    </w:p>
    <w:p>
      <w:pPr>
        <w:spacing w:after="120"/>
      </w:pPr>
      <w:r>
        <w:rPr>
          <w:rFonts w:ascii="Calibri" w:cs="Calibri" w:eastAsia="Calibri" w:hAnsi="Calibri"/>
          <w:color w:val="1A2035"/>
          <w:sz w:val="20"/>
          <w:szCs w:val="20"/>
        </w:rPr>
        <w:t xml:space="preserve">RAC is shared-disk/shared-cache — every instance sees the same data, and the RAC instance-scoping bugs fixed throughout this project were about correctly attributing a metric to the RIGHT instance among peers reading the same underlying data. Availability Groups are shared-nothing replicas — each replica has its own full copy of the data, and a replica can be Primary (read-write) or Secondary (read-only, if readable secondaries are configured). This is a genuinely different correlation problem: not "which instance is this metric really from" but "which replica, and is it currently primary or secondary, and how far behind is it." The RAC instance-scoping pattern does not port directly — below is an actual first-pass design, not a placeholder.</w:t>
      </w:r>
    </w:p>
    <w:p>
      <w:pPr>
        <w:spacing w:after="80" w:before="200"/>
      </w:pPr>
      <w:r>
        <w:rPr>
          <w:rFonts w:ascii="Calibri" w:cs="Calibri" w:eastAsia="Calibri" w:hAnsi="Calibri"/>
          <w:b/>
          <w:bCs/>
          <w:color w:val="1A2035"/>
          <w:sz w:val="22"/>
          <w:szCs w:val="22"/>
        </w:rPr>
        <w:t xml:space="preserve">9.1.1 Collection Model: Per-Replica, Not Per-AG</w:t>
      </w:r>
    </w:p>
    <w:p>
      <w:pPr>
        <w:spacing w:after="120"/>
      </w:pPr>
      <w:r>
        <w:rPr>
          <w:rFonts w:ascii="Calibri" w:cs="Calibri" w:eastAsia="Calibri" w:hAnsi="Calibri"/>
          <w:color w:val="1A2035"/>
          <w:sz w:val="20"/>
          <w:szCs w:val="20"/>
        </w:rPr>
        <w:t xml:space="preserve">Each replica is, from a DMV standpoint, essentially its own separate SQL Server instance — the Tier 1/2 collection design (Section 4) already applies unchanged to each replica individually. DAR Platform needs a connection to every replica (primary and any readable secondaries), not just the primary — a readable secondary genuinely runs its own queries with its own wait stats and Query Store activity distinct from the primary's, so skipping secondaries would silently miss real workload happening there.</w:t>
      </w:r>
    </w:p>
    <w:p>
      <w:pPr>
        <w:spacing w:after="80" w:before="200"/>
      </w:pPr>
      <w:r>
        <w:rPr>
          <w:rFonts w:ascii="Calibri" w:cs="Calibri" w:eastAsia="Calibri" w:hAnsi="Calibri"/>
          <w:b/>
          <w:bCs/>
          <w:color w:val="1A2035"/>
          <w:sz w:val="22"/>
          <w:szCs w:val="22"/>
        </w:rPr>
        <w:t xml:space="preserve">9.1.2 New Concept: AG Topology Binding Multiple Instances Together</w:t>
      </w:r>
    </w:p>
    <w:p>
      <w:pPr>
        <w:spacing w:after="120"/>
      </w:pPr>
      <w:r>
        <w:rPr>
          <w:rFonts w:ascii="Calibri" w:cs="Calibri" w:eastAsia="Calibri" w:hAnsi="Calibri"/>
          <w:color w:val="1A2035"/>
          <w:sz w:val="20"/>
          <w:szCs w:val="20"/>
        </w:rPr>
        <w:t xml:space="preserve">mssql_instance_master (Section 5.1) needs three new columns: ag_group_id, replica_role (Primary/Secondary), and ag_name — so the portal UI can present "these N instances are replicas of the same AG" as one logical grouping, the same way the Oracle side presents RAC instances under one dbname, even though the underlying mechanism generating that grouping is completely different.</w:t>
      </w:r>
    </w:p>
    <w:p>
      <w:pPr>
        <w:spacing w:after="80" w:before="200"/>
      </w:pPr>
      <w:r>
        <w:rPr>
          <w:rFonts w:ascii="Calibri" w:cs="Calibri" w:eastAsia="Calibri" w:hAnsi="Calibri"/>
          <w:b/>
          <w:bCs/>
          <w:color w:val="1A2035"/>
          <w:sz w:val="22"/>
          <w:szCs w:val="22"/>
        </w:rPr>
        <w:t xml:space="preserve">9.1.3 New AG Health Tables (verified DMV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3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Sourced From</w:t>
            </w:r>
          </w:p>
        </w:tc>
        <w:tc>
          <w:tcPr>
            <w:tcW w:type="dxa" w:w="35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Columns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mssql_ag_replica_state</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sys.dm_hadr_availability_replica_states</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replica_id, role (0=Resolving/1=Primary/2=Secondary), operational_state (Online/Offline/Failed/Failed-no-quorum), is_local</w:t>
            </w:r>
          </w:p>
        </w:tc>
      </w:tr>
      <w:tr>
        <w:tc>
          <w:tcPr>
            <w:tcW w:type="dxa" w:w="2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mssql_ag_database_state</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sys.dm_hadr_database_replica_states</w:t>
            </w:r>
          </w:p>
        </w:tc>
        <w:tc>
          <w:tcPr>
            <w:tcW w:type="dxa" w:w="35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database_id, replica_id, synchronization_health (0=not healthy), redo_queue_size (KB — how far behind in APPLYING log), log_send_queue_size (KB — how far behind in RECEIVING log)</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mssql_ag_failover_readiness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sys.dm_hadr_database_replica_cluster_states</w:t>
            </w:r>
          </w:p>
        </w:tc>
        <w:tc>
          <w:tcPr>
            <w:tcW w:type="dxa" w:w="35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database_name, is_failover_ready — answers "if the primary died right now, would failing over to this secondary lose data"</w:t>
            </w:r>
          </w:p>
        </w:tc>
      </w:tr>
    </w:tbl>
    <w:p>
      <w:pPr>
        <w:spacing w:after="120"/>
      </w:pPr>
      <w:r>
        <w:rPr>
          <w:rFonts w:ascii="Calibri" w:cs="Calibri" w:eastAsia="Calibri" w:hAnsi="Calibri"/>
          <w:color w:val="1A2035"/>
          <w:sz w:val="20"/>
          <w:szCs w:val="20"/>
        </w:rPr>
        <w:t xml:space="preserve">redo_queue_size and log_send_queue_size are the two numbers that matter most for a DBA's day-to-day AG health check — the first tracked source distinguishes "secondary hasn't received recent log yet" (log_send) from "secondary received it but hasn't replayed it yet" (redo) — genuinely different root causes (network/primary-side bottleneck vs secondary-side CPU/IO bottleneck) requiring different fixes, so both need to exist as separate rule conditions, not be collapsed into one "replication lag" number.</w:t>
      </w:r>
    </w:p>
    <w:p>
      <w:pPr>
        <w:spacing w:after="80" w:before="200"/>
      </w:pPr>
      <w:r>
        <w:rPr>
          <w:rFonts w:ascii="Calibri" w:cs="Calibri" w:eastAsia="Calibri" w:hAnsi="Calibri"/>
          <w:b/>
          <w:bCs/>
          <w:color w:val="1A2035"/>
          <w:sz w:val="22"/>
          <w:szCs w:val="22"/>
        </w:rPr>
        <w:t xml:space="preserve">9.1.4 Deadlock Capture — Genuinely Low-Effort Addition</w:t>
      </w:r>
    </w:p>
    <w:p>
      <w:pPr>
        <w:spacing w:after="120"/>
      </w:pPr>
      <w:r>
        <w:rPr>
          <w:rFonts w:ascii="Calibri" w:cs="Calibri" w:eastAsia="Calibri" w:hAnsi="Calibri"/>
          <w:color w:val="1A2035"/>
          <w:sz w:val="20"/>
          <w:szCs w:val="20"/>
        </w:rPr>
        <w:t xml:space="preserve">The system_health Extended Events session runs by default on every SQL Server instance (2008+) with no setup needed — it already captures deadlock graphs into a ring buffer target. The collector's job is periodic extraction (querying sys.dm_xe_session_targets for the ring_buffer/file target, parsing the XML deadlock graph), not standing up new capture infrastructure. This applies per-instance the same way on a standalone instance or an AG replica — no AG-specific design needed here beyond making sure it runs against every replica, same as Section 9.1.1.</w:t>
      </w:r>
    </w:p>
    <w:p>
      <w:pPr>
        <w:pBdr>
          <w:bottom w:val="single" w:color="00B38C" w:sz="4"/>
        </w:pBdr>
        <w:spacing w:after="100" w:before="260"/>
      </w:pPr>
      <w:r>
        <w:rPr>
          <w:rFonts w:ascii="Calibri" w:cs="Calibri" w:eastAsia="Calibri" w:hAnsi="Calibri"/>
          <w:b/>
          <w:bCs/>
          <w:color w:val="034EA1"/>
          <w:sz w:val="26"/>
          <w:szCs w:val="26"/>
        </w:rPr>
        <w:t xml:space="preserve">9.2 No Memory Advisor Equivalent</w:t>
      </w:r>
    </w:p>
    <w:p>
      <w:pPr>
        <w:spacing w:after="120"/>
      </w:pPr>
      <w:r>
        <w:rPr>
          <w:rFonts w:ascii="Calibri" w:cs="Calibri" w:eastAsia="Calibri" w:hAnsi="Calibri"/>
          <w:color w:val="1A2035"/>
          <w:sz w:val="20"/>
          <w:szCs w:val="20"/>
        </w:rPr>
        <w:t xml:space="preserve">Oracle's SGA/PGA Target Advisory gives a curve — "at this SGA size, expect this much less physical I/O." SQL Server has no equivalent built-in advisor; Max Server Memory is a single cap, not a sizing curve. sys.dm_os_memory_clerks shows current allocation, which supports a "you're near your cap and PLE is low" style rule, but not a "here's what size would help" recommendation the way the Oracle rules can. This is a genuine capability gap to set expectations on, not a rule-authoring problem to solve away.</w:t>
      </w:r>
    </w:p>
    <w:p>
      <w:pPr>
        <w:pBdr>
          <w:bottom w:val="single" w:color="00B38C" w:sz="4"/>
        </w:pBdr>
        <w:spacing w:after="100" w:before="260"/>
      </w:pPr>
      <w:r>
        <w:rPr>
          <w:rFonts w:ascii="Calibri" w:cs="Calibri" w:eastAsia="Calibri" w:hAnsi="Calibri"/>
          <w:b/>
          <w:bCs/>
          <w:color w:val="034EA1"/>
          <w:sz w:val="26"/>
          <w:szCs w:val="26"/>
        </w:rPr>
        <w:t xml:space="preserve">9.3 Undo/Version-Store Rules Need Original Logic, Not a Renamed Copy</w:t>
      </w:r>
    </w:p>
    <w:p>
      <w:pPr>
        <w:spacing w:after="120"/>
      </w:pPr>
      <w:r>
        <w:rPr>
          <w:rFonts w:ascii="Calibri" w:cs="Calibri" w:eastAsia="Calibri" w:hAnsi="Calibri"/>
          <w:color w:val="1A2035"/>
          <w:sz w:val="20"/>
          <w:szCs w:val="20"/>
        </w:rPr>
        <w:t xml:space="preserve">TempDB's version store (used under RCSI/snapshot isolation) is mechanically different from Oracle's UNDO tablespace — different retention model, different pressure signals (tempdb space usage vs undo retention tuning), different failure modes. The existing UNDO_* rules' logic (STO/OOS occurrences, tuned retention) doesn't translate by renaming variables — this needs genuinely new rule logic grounded in how RCSI actually behaves, not adapted Oracle logic.</w:t>
      </w:r>
    </w:p>
    <w:p>
      <w:pPr>
        <w:shd w:fill="034EA1" w:val="clear"/>
        <w:spacing w:after="120" w:before="280"/>
        <w:ind w:left="180"/>
      </w:pPr>
      <w:r>
        <w:rPr>
          <w:rFonts w:ascii="Calibri" w:cs="Calibri" w:eastAsia="Calibri" w:hAnsi="Calibri"/>
          <w:b/>
          <w:bCs/>
          <w:color w:val="FFFFFF"/>
          <w:sz w:val="32"/>
          <w:szCs w:val="32"/>
        </w:rPr>
        <w:t xml:space="preserve">10. Comprehensive Metrics Catalog</w:t>
      </w:r>
    </w:p>
    <w:p>
      <w:pPr>
        <w:spacing w:after="120"/>
      </w:pPr>
      <w:r>
        <w:rPr>
          <w:rFonts w:ascii="Calibri" w:cs="Calibri" w:eastAsia="Calibri" w:hAnsi="Calibri"/>
          <w:color w:val="1A2035"/>
          <w:sz w:val="20"/>
          <w:szCs w:val="20"/>
        </w:rPr>
        <w:t xml:space="preserve">Requested by Ganesh: before committing to a Phase 1 sequence, see the full breadth of what's actually capturable from SQL Server, not just the AWR-equivalent subset Section 3 focused on. Organized into 3 tiers by how directly each category drives a DBA's day-to-day triage — Tier 1 is what a DBA opens first when something's slow, Tier 3 is valuable but more specialized/situational. Every source below is a genuine, verified DMV or Query Store view, not a guess — this is the raw material for the sequencing decision, not a commitment to build all of it in Phase 1.</w:t>
      </w:r>
    </w:p>
    <w:p>
      <w:pPr>
        <w:pBdr>
          <w:bottom w:val="single" w:color="00B38C" w:sz="4"/>
        </w:pBdr>
        <w:spacing w:after="100" w:before="260"/>
      </w:pPr>
      <w:r>
        <w:rPr>
          <w:rFonts w:ascii="Calibri" w:cs="Calibri" w:eastAsia="Calibri" w:hAnsi="Calibri"/>
          <w:b/>
          <w:bCs/>
          <w:color w:val="034EA1"/>
          <w:sz w:val="26"/>
          <w:szCs w:val="26"/>
        </w:rPr>
        <w:t xml:space="preserve">10.1 Tier 1 — Core Triage (what a DBA checks first)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9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c>
          <w:tcPr>
            <w:tcW w:type="dxa" w:w="3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c>
          <w:tcPr>
            <w:tcW w:type="dxa" w:w="40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Metrics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Performance</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Query Store (query_text/query/plan/runtime_stats); fallback sys.dm_exec_query_stats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Duration, CPU time, logical/physical reads, writes, memory grant, row count, DOP — per query, per plan, per interval</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 Statistics</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sys.dm_os_wait_stats (cumulative, fine-grained wait_type); sys.query_store_wait_stats (per-query, wait_category)</w:t>
            </w:r>
          </w:p>
        </w:tc>
        <w:tc>
          <w:tcPr>
            <w:tcW w:type="dxa" w:w="4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waiting_tasks_count, wait_time_ms, signal_wait_time_ms (instance-wide); total/avg/max_query_wait_time_ms (per-query)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Blocking &amp; Locking</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sys.dm_exec_requests, sys.dm_tran_locks, sys.dm_os_waiting_tasks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blocking_session_id, wait_type, wait_resource, request_status/request_mode, resource_type — head-blocker identification</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Index &amp; Table I/O</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sys.dm_db_index_usage_stats, sys.dm_db_index_operational_stats</w:t>
            </w:r>
          </w:p>
        </w:tc>
        <w:tc>
          <w:tcPr>
            <w:tcW w:type="dxa" w:w="4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user_seeks/scans/lookups/updates, leaf insert/update/delete counts, page latch waits, row lock waits — segment-statistics equivalent</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Instance Memory Health</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sys.dm_os_performance_counters, sys.dm_os_memory_clerks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Buffer cache hit ratio, Page Life Expectancy, Memory Grants Pending, Target/Total Server Memory — instance-efficiency equivalent</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Configuration &amp; Server Info</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sys.configurations, sys.dm_os_sys_info, sys.databases</w:t>
            </w:r>
          </w:p>
        </w:tc>
        <w:tc>
          <w:tcPr>
            <w:tcW w:type="dxa" w:w="4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Max Server Memory, MAXDOP, cost threshold for parallelism, recovery model, compatibility level — mostly static, captured once per snapshot for context</w:t>
            </w:r>
          </w:p>
        </w:tc>
      </w:tr>
    </w:tbl>
    <w:p>
      <w:pPr>
        <w:pBdr>
          <w:bottom w:val="single" w:color="00B38C" w:sz="4"/>
        </w:pBdr>
        <w:spacing w:after="100" w:before="260"/>
      </w:pPr>
      <w:r>
        <w:rPr>
          <w:rFonts w:ascii="Calibri" w:cs="Calibri" w:eastAsia="Calibri" w:hAnsi="Calibri"/>
          <w:b/>
          <w:bCs/>
          <w:color w:val="034EA1"/>
          <w:sz w:val="26"/>
          <w:szCs w:val="26"/>
        </w:rPr>
        <w:t xml:space="preserve">10.2 Tier 2 — Depth (drives specific, common recommendation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9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c>
          <w:tcPr>
            <w:tcW w:type="dxa" w:w="3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c>
          <w:tcPr>
            <w:tcW w:type="dxa" w:w="40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Metrics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File &amp; Storage I/O</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sys.dm_io_virtual_file_stats, sys.dm_os_volume_stats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Per-file reads/writes/bytes/stalls, free space per volume — file/tablespace-I/O equivalent</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TempDB Pressure</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sys.dm_db_session_space_usage, sys.dm_db_task_space_usage, sys.dm_db_file_space_usage</w:t>
            </w:r>
          </w:p>
        </w:tc>
        <w:tc>
          <w:tcPr>
            <w:tcW w:type="dxa" w:w="4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internal_objects_alloc/dealloc_page_count per session, version store size — closest analog to Oracle Undo pressure, but a genuinely different mechanism (Section 9.3)</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 Cache Health</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sys.dm_exec_cached_plans, sys.dm_exec_query_stats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Plan reuse counts, single-use plan volume — surfaces parameter-sniffing and ad-hoc query bloat driving excessive compilation</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CPU &amp; Scheduler</w:t>
            </w:r>
          </w:p>
        </w:tc>
        <w:tc>
          <w:tcPr>
            <w:tcW w:type="dxa" w:w="3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sys.dm_os_schedulers, sys.dm_exec_query_stats (aggregated)</w:t>
            </w:r>
          </w:p>
        </w:tc>
        <w:tc>
          <w:tcPr>
            <w:tcW w:type="dxa" w:w="4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Runnable tasks queue length, signal wait ratio — CPU pressure/scheduling contention, distinct from raw CPU-time-per-query</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Sessions &amp; Connections</w:t>
            </w:r>
          </w:p>
        </w:tc>
        <w:tc>
          <w:tcPr>
            <w:tcW w:type="dxa" w:w="3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sys.dm_exec_sessions, sys.dm_exec_connections</w:t>
            </w:r>
          </w:p>
        </w:tc>
        <w:tc>
          <w:tcPr>
            <w:tcW w:type="dxa" w:w="4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Active session count, login/host/program breakdown, per-session reads/writes/CPU</w:t>
            </w:r>
          </w:p>
        </w:tc>
      </w:tr>
    </w:tbl>
    <w:p>
      <w:pPr>
        <w:pBdr>
          <w:bottom w:val="single" w:color="00B38C" w:sz="4"/>
        </w:pBdr>
        <w:spacing w:after="100" w:before="260"/>
      </w:pPr>
      <w:r>
        <w:rPr>
          <w:rFonts w:ascii="Calibri" w:cs="Calibri" w:eastAsia="Calibri" w:hAnsi="Calibri"/>
          <w:b/>
          <w:bCs/>
          <w:color w:val="034EA1"/>
          <w:sz w:val="26"/>
          <w:szCs w:val="26"/>
        </w:rPr>
        <w:t xml:space="preserve">10.3 Tier 3 — Specialized / Situational</w:t>
      </w:r>
    </w:p>
    <w:p>
      <w:pPr>
        <w:spacing w:after="120"/>
      </w:pPr>
      <w:r>
        <w:rPr>
          <w:rFonts w:ascii="Calibri" w:cs="Calibri" w:eastAsia="Calibri" w:hAnsi="Calibri"/>
          <w:color w:val="1A2035"/>
          <w:sz w:val="20"/>
          <w:szCs w:val="20"/>
        </w:rPr>
        <w:t xml:space="preserve">Ganesh's decisions: Backup &amp; Recovery is not required. Deadlocks are required and stay in Phase 1. Availability Groups were briefly brought into Phase 1, then explicitly parked — see Section 9.1's status note.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9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c>
          <w:tcPr>
            <w:tcW w:type="dxa" w:w="26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Source</w:t>
            </w:r>
          </w:p>
        </w:tc>
        <w:tc>
          <w:tcPr>
            <w:tcW w:type="dxa" w:w="32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 Metrics</w:t>
            </w:r>
          </w:p>
        </w:tc>
        <w:tc>
          <w:tcPr>
            <w:tcW w:type="dxa" w:w="10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Status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Backup &amp; Recovery</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msdb.dbo.backupset, sys.dm_db_log_space_usage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Last full/diff/log backup time per database, log space used %</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Not required</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Always On Availability Groups</w:t>
            </w:r>
          </w:p>
        </w:tc>
        <w:tc>
          <w:tcPr>
            <w:tcW w:type="dxa" w:w="26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sys.dm_hadr_database_replica_states, sys.dm_hadr_availability_replica_states, sys.dm_hadr_database_replica_cluster_states</w:t>
            </w:r>
          </w:p>
        </w:tc>
        <w:tc>
          <w:tcPr>
            <w:tcW w:type="dxa" w:w="32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Replica role, sync health, redo/log-send queue size, failover readiness — see the first-pass design in Section 9.1</w:t>
            </w:r>
          </w:p>
        </w:tc>
        <w:tc>
          <w:tcPr>
            <w:tcW w:type="dxa" w:w="10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Parked</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Deadlocks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system_health Extended Events session (built-in, always running)</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Deadlock graphs — periodic extraction from the existing XE session, no new capture infrastructure needed</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Phase 1</w:t>
            </w:r>
          </w:p>
        </w:tc>
      </w:tr>
    </w:tbl>
    <w:p>
      <w:pPr>
        <w:shd w:fill="034EA1" w:val="clear"/>
        <w:spacing w:after="120" w:before="280"/>
        <w:ind w:left="180"/>
      </w:pPr>
      <w:r>
        <w:rPr>
          <w:rFonts w:ascii="Calibri" w:cs="Calibri" w:eastAsia="Calibri" w:hAnsi="Calibri"/>
          <w:b/>
          <w:bCs/>
          <w:color w:val="FFFFFF"/>
          <w:sz w:val="32"/>
          <w:szCs w:val="32"/>
        </w:rPr>
        <w:t xml:space="preserve">11. Phased Rollout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9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Phase</w:t>
            </w:r>
          </w:p>
        </w:tc>
        <w:tc>
          <w:tcPr>
            <w:tcW w:type="dxa" w:w="7400"/>
            <w:shd w:fill="034EA1"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Delivers</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1 — Full Core Engine</w:t>
            </w:r>
          </w:p>
        </w:tc>
        <w:tc>
          <w:tcPr>
            <w:tcW w:type="dxa" w:w="7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Collector covering Tier 1 + Tier 2 (Section 10.1-10.2) + deadlock capture (Section 9.1.4); core schema (Section 5) including per-database Query Store scoping; dashboards across all of Tier 1/2 plus deadlock graphs; ~20-25 MSSQL_* rules covering the highest-value findings across the Phase 1 breadth</w:t>
            </w:r>
          </w:p>
        </w:tc>
      </w:tr>
      <w:tr>
        <w:tc>
          <w:tcPr>
            <w:tcW w:type="dxa" w:w="19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2 — Correlation &amp; Scale</w:t>
            </w:r>
          </w:p>
        </w:tc>
        <w:tc>
          <w:tcPr>
            <w:tcW w:type="dxa" w:w="7400"/>
            <w:shd w:fill="F5F7FA" w:val="clear"/>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Any remaining depth items that didn't make Phase 1's first cut; expanded rule set; PDF/Analysis-Report-equivalent report</w:t>
            </w:r>
          </w:p>
        </w:tc>
      </w:tr>
      <w:tr>
        <w:tc>
          <w:tcPr>
            <w:tcW w:type="dxa" w:w="19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3 — Situational</w:t>
            </w:r>
          </w:p>
        </w:tc>
        <w:tc>
          <w:tcPr>
            <w:tcW w:type="dxa" w:w="7400"/>
            <w:tcMar>
              <w:top w:type="dxa" w:w="60"/>
              <w:left w:type="dxa" w:w="100"/>
              <w:bottom w:type="dxa" w:w="60"/>
              <w:right w:type="dxa" w:w="100"/>
            </w:tcMar>
            <w:vAlign w:val="center"/>
          </w:tcPr>
          <w:p>
            <w:r>
              <w:rPr>
                <w:rFonts w:ascii="Calibri" w:cs="Calibri" w:eastAsia="Calibri" w:hAnsi="Calibri"/>
                <w:b w:val="false"/>
                <w:bCs w:val="false"/>
                <w:color w:val="1A2035"/>
                <w:sz w:val="19"/>
                <w:szCs w:val="19"/>
              </w:rPr>
              <w:t xml:space="preserve">Backup/recovery gap tracking, if priorities change later; anything else that comes up once Phase 1/2 are in real customer use</w:t>
            </w:r>
          </w:p>
        </w:tc>
      </w:tr>
    </w:tbl>
    <w:p>
      <w:pPr>
        <w:pBdr>
          <w:bottom w:val="single" w:color="00B38C" w:sz="4"/>
        </w:pBdr>
        <w:spacing w:after="100" w:before="260"/>
      </w:pPr>
      <w:r>
        <w:rPr>
          <w:rFonts w:ascii="Calibri" w:cs="Calibri" w:eastAsia="Calibri" w:hAnsi="Calibri"/>
          <w:b/>
          <w:bCs/>
          <w:color w:val="034EA1"/>
          <w:sz w:val="26"/>
          <w:szCs w:val="26"/>
        </w:rPr>
        <w:t xml:space="preserve">11.1 Parked — Not Scheduled</w:t>
      </w:r>
    </w:p>
    <w:p>
      <w:pPr>
        <w:spacing w:after="120"/>
      </w:pPr>
      <w:r>
        <w:rPr>
          <w:rFonts w:ascii="Calibri" w:cs="Calibri" w:eastAsia="Calibri" w:hAnsi="Calibri"/>
          <w:color w:val="1A2035"/>
          <w:sz w:val="20"/>
          <w:szCs w:val="20"/>
        </w:rPr>
        <w:t xml:space="preserve">Always On Availability Group health monitoring (Section 9.1) is explicitly parked, not queued into Phase 2 or 3 — Ganesh's direction was to hold it until the core (non-AG) tool is built and stable, not to schedule it into a future phase right now. Revisit this document's Section 9.1 when that becomes the priority; the design there doesn't need to be redone, only re-validated against whatever's changed by the time it's picked up.</w:t>
      </w:r>
    </w:p>
    <w:p>
      <w:pPr>
        <w:shd w:fill="034EA1" w:val="clear"/>
        <w:spacing w:after="120" w:before="280"/>
        <w:ind w:left="180"/>
      </w:pPr>
      <w:r>
        <w:rPr>
          <w:rFonts w:ascii="Calibri" w:cs="Calibri" w:eastAsia="Calibri" w:hAnsi="Calibri"/>
          <w:b/>
          <w:bCs/>
          <w:color w:val="FFFFFF"/>
          <w:sz w:val="32"/>
          <w:szCs w:val="32"/>
        </w:rPr>
        <w:t xml:space="preserve">12. Decisions Made / Remaining Open Items</w:t>
      </w:r>
    </w:p>
    <w:p>
      <w:pPr>
        <w:pBdr>
          <w:bottom w:val="single" w:color="00B38C" w:sz="4"/>
        </w:pBdr>
        <w:spacing w:after="100" w:before="260"/>
      </w:pPr>
      <w:r>
        <w:rPr>
          <w:rFonts w:ascii="Calibri" w:cs="Calibri" w:eastAsia="Calibri" w:hAnsi="Calibri"/>
          <w:b/>
          <w:bCs/>
          <w:color w:val="034EA1"/>
          <w:sz w:val="26"/>
          <w:szCs w:val="26"/>
        </w:rPr>
        <w:t xml:space="preserve">12.1 Decided</w:t>
      </w:r>
    </w:p>
    <w:p>
      <w:pPr>
        <w:pStyle w:val="ListParagraph"/>
        <w:numPr>
          <w:ilvl w:val="0"/>
          <w:numId w:val="1"/>
        </w:numPr>
        <w:spacing w:after="60"/>
      </w:pPr>
      <w:r>
        <w:rPr>
          <w:rFonts w:ascii="Calibri" w:cs="Calibri" w:eastAsia="Calibri" w:hAnsi="Calibri"/>
          <w:sz w:val="20"/>
          <w:szCs w:val="20"/>
        </w:rPr>
        <w:t xml:space="preserve">Version floor: SQL Server 2022 (n-1) and SQL Server 2025 (latest) — both 2017+, full per-query wait stats available on both, no DMV-only fallback needed for Phase 1</w:t>
      </w:r>
    </w:p>
    <w:p>
      <w:pPr>
        <w:pStyle w:val="ListParagraph"/>
        <w:numPr>
          <w:ilvl w:val="0"/>
          <w:numId w:val="1"/>
        </w:numPr>
        <w:spacing w:after="60"/>
      </w:pPr>
      <w:r>
        <w:rPr>
          <w:rFonts w:ascii="Calibri" w:cs="Calibri" w:eastAsia="Calibri" w:hAnsi="Calibri"/>
          <w:sz w:val="20"/>
          <w:szCs w:val="20"/>
        </w:rPr>
        <w:t xml:space="preserve">Edition: Standard Edition is sufficient — confirmed against Microsoft's own edition comparison, core Query Store isn't Enterprise-gated (Section 4.0.1)</w:t>
      </w:r>
    </w:p>
    <w:p>
      <w:pPr>
        <w:pStyle w:val="ListParagraph"/>
        <w:numPr>
          <w:ilvl w:val="0"/>
          <w:numId w:val="1"/>
        </w:numPr>
        <w:spacing w:after="60"/>
      </w:pPr>
      <w:r>
        <w:rPr>
          <w:rFonts w:ascii="Calibri" w:cs="Calibri" w:eastAsia="Calibri" w:hAnsi="Calibri"/>
          <w:sz w:val="20"/>
          <w:szCs w:val="20"/>
        </w:rPr>
        <w:t xml:space="preserve">Storage: same PostgreSQL database as the existing awr_* schema, confirmed tablespace names mssqlparser/mssqlparser_idx (Section 5)</w:t>
      </w:r>
    </w:p>
    <w:p>
      <w:pPr>
        <w:pStyle w:val="ListParagraph"/>
        <w:numPr>
          <w:ilvl w:val="0"/>
          <w:numId w:val="1"/>
        </w:numPr>
        <w:spacing w:after="60"/>
      </w:pPr>
      <w:r>
        <w:rPr>
          <w:rFonts w:ascii="Calibri" w:cs="Calibri" w:eastAsia="Calibri" w:hAnsi="Calibri"/>
          <w:sz w:val="20"/>
          <w:szCs w:val="20"/>
        </w:rPr>
        <w:t xml:space="preserve">Licensing scope: extends the existing DAR Platform license model with a DB-type dimension (Oracle, MS SQL, etc.); MS SQL Server support explicitly excludes an OS-utility component — Windows-perfmon correlation is out of scope permanently, not deferred (Section 2)</w:t>
      </w:r>
    </w:p>
    <w:p>
      <w:pPr>
        <w:pStyle w:val="ListParagraph"/>
        <w:numPr>
          <w:ilvl w:val="0"/>
          <w:numId w:val="1"/>
        </w:numPr>
        <w:spacing w:after="60"/>
      </w:pPr>
      <w:r>
        <w:rPr>
          <w:rFonts w:ascii="Calibri" w:cs="Calibri" w:eastAsia="Calibri" w:hAnsi="Calibri"/>
          <w:sz w:val="20"/>
          <w:szCs w:val="20"/>
        </w:rPr>
        <w:t xml:space="preserve">Licensing unit: CONFIRMED instance-level, not per-database (Section 12.2) — Ganesh confirmed this directly, matching the recommendation in v1.2</w:t>
      </w:r>
    </w:p>
    <w:p>
      <w:pPr>
        <w:pStyle w:val="ListParagraph"/>
        <w:numPr>
          <w:ilvl w:val="0"/>
          <w:numId w:val="1"/>
        </w:numPr>
        <w:spacing w:after="60"/>
      </w:pPr>
      <w:r>
        <w:rPr>
          <w:rFonts w:ascii="Calibri" w:cs="Calibri" w:eastAsia="Calibri" w:hAnsi="Calibri"/>
          <w:sz w:val="20"/>
          <w:szCs w:val="20"/>
        </w:rPr>
        <w:t xml:space="preserve">Phase 1 scope: Tier 1 + Tier 2 + Deadlocks (Section 10.3, Section 11)</w:t>
      </w:r>
    </w:p>
    <w:p>
      <w:pPr>
        <w:pStyle w:val="ListParagraph"/>
        <w:numPr>
          <w:ilvl w:val="0"/>
          <w:numId w:val="1"/>
        </w:numPr>
        <w:spacing w:after="60"/>
      </w:pPr>
      <w:r>
        <w:rPr>
          <w:rFonts w:ascii="Calibri" w:cs="Calibri" w:eastAsia="Calibri" w:hAnsi="Calibri"/>
          <w:sz w:val="20"/>
          <w:szCs w:val="20"/>
        </w:rPr>
        <w:t xml:space="preserve">Availability Groups: PARKED, not Phase 1 — brought in during v1.2, then explicitly pulled back out ("park it till the tool is built"); first-pass design kept in Section 9.1 for when it's picked up later, not deleted</w:t>
      </w:r>
    </w:p>
    <w:p>
      <w:pPr>
        <w:pBdr>
          <w:bottom w:val="single" w:color="00B38C" w:sz="4"/>
        </w:pBdr>
        <w:spacing w:after="100" w:before="260"/>
      </w:pPr>
      <w:r>
        <w:rPr>
          <w:rFonts w:ascii="Calibri" w:cs="Calibri" w:eastAsia="Calibri" w:hAnsi="Calibri"/>
          <w:b/>
          <w:bCs/>
          <w:color w:val="034EA1"/>
          <w:sz w:val="26"/>
          <w:szCs w:val="26"/>
        </w:rPr>
        <w:t xml:space="preserve">12.2 Licensing Model — Confirmed</w:t>
      </w:r>
    </w:p>
    <w:p>
      <w:pPr>
        <w:spacing w:after="120"/>
      </w:pPr>
      <w:r>
        <w:rPr>
          <w:rFonts w:ascii="Calibri" w:cs="Calibri" w:eastAsia="Calibri" w:hAnsi="Calibri"/>
          <w:color w:val="1A2035"/>
          <w:sz w:val="20"/>
          <w:szCs w:val="20"/>
        </w:rPr>
        <w:t xml:space="preserve">Instance-level licensing, not per-database, confirmed by Ganesh directly. Original reasoning (kept for reference): matches Microsoft's own per-core/per-server SQL Server licensing philosophy, matches the spirit of the existing Oracle per-connection model, and avoids penalizing common SQL Server deployment patterns (many small databases on one instance) with unpredictable per-database costs.</w:t>
      </w:r>
    </w:p>
    <w:p>
      <w:pPr>
        <w:pBdr>
          <w:left w:val="single" w:color="00B38C" w:sz="16"/>
        </w:pBdr>
        <w:shd w:fill="F5F7FA" w:val="clear"/>
        <w:spacing w:after="100" w:before="100"/>
        <w:ind w:left="200"/>
      </w:pPr>
      <w:r>
        <w:rPr>
          <w:rFonts w:ascii="Calibri" w:cs="Calibri" w:eastAsia="Calibri" w:hAnsi="Calibri"/>
          <w:i/>
          <w:iCs/>
          <w:color w:val="475569"/>
          <w:sz w:val="19"/>
          <w:szCs w:val="19"/>
        </w:rPr>
        <w:t xml:space="preserve">Still worth having an answer for before this goes to customers: a genuinely massive instance (a few hundred databases) would be "unlimited databases" under one license price. A large-instance tier or add-on (triggered by a database-count threshold, not a hard per-database charge) remains a reasonable escape valve if that comes up in practice — not raised as a live open question, just worth remembering it exists.</w:t>
      </w:r>
    </w:p>
    <w:p>
      <w:pPr>
        <w:pBdr>
          <w:bottom w:val="single" w:color="00B38C" w:sz="4"/>
        </w:pBdr>
        <w:spacing w:after="100" w:before="260"/>
      </w:pPr>
      <w:r>
        <w:rPr>
          <w:rFonts w:ascii="Calibri" w:cs="Calibri" w:eastAsia="Calibri" w:hAnsi="Calibri"/>
          <w:b/>
          <w:bCs/>
          <w:color w:val="034EA1"/>
          <w:sz w:val="26"/>
          <w:szCs w:val="26"/>
        </w:rPr>
        <w:t xml:space="preserve">12.3 Still Open</w:t>
      </w:r>
    </w:p>
    <w:p>
      <w:pPr>
        <w:pStyle w:val="ListParagraph"/>
        <w:numPr>
          <w:ilvl w:val="0"/>
          <w:numId w:val="1"/>
        </w:numPr>
        <w:spacing w:after="60"/>
      </w:pPr>
      <w:r>
        <w:rPr>
          <w:rFonts w:ascii="Calibri" w:cs="Calibri" w:eastAsia="Calibri" w:hAnsi="Calibri"/>
          <w:sz w:val="20"/>
          <w:szCs w:val="20"/>
        </w:rPr>
        <w:t xml:space="preserve">None remaining from this design document's own open questions — both were resolved this round. Next open items will naturally surface once Phase 1 implementation actually begins.</w:t>
      </w:r>
    </w:p>
    <w:p>
      <w:pPr>
        <w:spacing w:before="300"/>
        <w:jc w:val="center"/>
      </w:pPr>
      <w:r>
        <w:rPr>
          <w:rFonts w:ascii="Calibri" w:cs="Calibri" w:eastAsia="Calibri" w:hAnsi="Calibri"/>
          <w:color w:val="374151"/>
          <w:sz w:val="20"/>
          <w:szCs w:val="20"/>
        </w:rPr>
        <w:t xml:space="preserve">— End of Document —</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2026-09-04T05:50:51.585Z</dcterms:created>
  <dcterms:modified xsi:type="dcterms:W3CDTF">2026-09-04T05:50:51.585Z</dcterms:modified>
</cp:coreProperties>
</file>

<file path=docProps/custom.xml><?xml version="1.0" encoding="utf-8"?>
<Properties xmlns="http://schemas.openxmlformats.org/officeDocument/2006/custom-properties" xmlns:vt="http://schemas.openxmlformats.org/officeDocument/2006/docPropsVTypes"/>
</file>