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34EA1" w:val="clear"/>
        <w:spacing w:after="100" w:before="400"/>
        <w:jc w:val="center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AVEKSHAA TECHNOLOGIES</w:t>
      </w:r>
    </w:p>
    <w:p>
      <w:pPr>
        <w:shd w:fill="034EA1" w:val="clear"/>
        <w:spacing w:after="60"/>
        <w:jc w:val="center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DAR Portal v3</w:t>
      </w:r>
    </w:p>
    <w:p>
      <w:pPr>
        <w:shd w:fill="034EA1" w:val="clear"/>
        <w:spacing w:after="40"/>
        <w:jc w:val="center"/>
      </w:pPr>
      <w:r>
        <w:rPr>
          <w:rFonts w:ascii="Calibri" w:cs="Calibri" w:eastAsia="Calibri" w:hAnsi="Calibri"/>
          <w:b/>
          <w:bCs/>
          <w:color w:val="00B38C"/>
          <w:sz w:val="30"/>
          <w:szCs w:val="30"/>
        </w:rPr>
        <w:t xml:space="preserve">User Manual</w:t>
      </w:r>
    </w:p>
    <w:p>
      <w:pPr>
        <w:shd w:fill="034EA1" w:val="clear"/>
        <w:spacing w:after="400"/>
        <w:jc w:val="center"/>
      </w:pPr>
      <w:r>
        <w:rPr>
          <w:rFonts w:ascii="Calibri" w:cs="Calibri" w:eastAsia="Calibri" w:hAnsi="Calibri"/>
          <w:color w:val="CBD5E1"/>
          <w:sz w:val="20"/>
          <w:szCs w:val="20"/>
        </w:rPr>
        <w:t xml:space="preserve">Oracle AWR &amp; SAR Performance Intelligence Platform</w:t>
      </w:r>
    </w:p>
    <w:p>
      <w:pPr>
        <w:spacing w:after="300" w:before="300"/>
        <w:jc w:val="center"/>
      </w:pPr>
      <w:r>
        <w:rPr>
          <w:rFonts w:ascii="Calibri" w:cs="Calibri" w:eastAsia="Calibri" w:hAnsi="Calibri"/>
          <w:color w:val="475569"/>
          <w:sz w:val="18"/>
          <w:szCs w:val="18"/>
        </w:rPr>
        <w:t xml:space="preserve">Version 3.4  |  Confidential  |  For DBA Team Use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Revision History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2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4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67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3.1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Jun 2026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Initial DAR Portal v3 release</w:t>
            </w:r>
          </w:p>
        </w:tc>
      </w:tr>
      <w:tr>
        <w:tc>
          <w:tcPr>
            <w:tcW w:type="dxa" w:w="12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3.2</w:t>
            </w:r>
          </w:p>
        </w:tc>
        <w:tc>
          <w:tcPr>
            <w:tcW w:type="dxa" w:w="14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Jul 2026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Docker deployment, DAR_PORTAL_USER, batch installer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3.3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Aug 2026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First-time passwordless login flow, setup-password page, Python 3.13 requirement, AWR parsing fix</w:t>
            </w:r>
          </w:p>
        </w:tc>
      </w:tr>
      <w:tr>
        <w:tc>
          <w:tcPr>
            <w:tcW w:type="dxa" w:w="12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3.4</w:t>
            </w:r>
          </w:p>
        </w:tc>
        <w:tc>
          <w:tcPr>
            <w:tcW w:type="dxa" w:w="14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Sep 2026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Full rebuild: documents Object Metadata, SQL Search, and Service Control pages for the first time; corrects the dashboard catalog to the actual live set (~74, not "50+") across 12 categories including Anomaly Detection, Exadata, and AWR+SAR/NMON Correlation, none of which were previously documented; adds Analysis Report, Execution Plan Analysis &amp; Comparison, and AWR Before/After Comparison sections; documents the full current Settings Reference; RAC instance-scoping fixes; AI narrative wait-event/object-metadata grounding; PL/SQL Performance session-timeout safety net</w:t>
            </w:r>
          </w:p>
        </w:tc>
      </w:tr>
    </w:tbl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1. Introduction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DAR Portal v3 (Database Analysis and Recommendations) automates Oracle AWR and Linux SAR/IBM AIX NMON analysis, providing ~74 Grafana dashboards, PL/SQL performance analysis, database system study, AI-powered recommendations, and multi-server data collection — all from a single browser-based portal.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6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67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AWR HTML Parsing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Parse Oracle AWR HTML reports — all sections into PostgreSQL</w:t>
            </w:r>
          </w:p>
        </w:tc>
      </w:tr>
      <w:tr>
        <w:tc>
          <w:tcPr>
            <w:tcW w:type="dxa" w:w="2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Direct Oracle AWR Gen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Generate AWR reports from Oracle on schedule (oracledb thin mode)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SAR SSH Pull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Multi-server SAR delta extraction via SSH — no binary transfer, no WSL</w:t>
            </w:r>
          </w:p>
        </w:tc>
      </w:tr>
      <w:tr>
        <w:tc>
          <w:tcPr>
            <w:tcW w:type="dxa" w:w="2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NMON SSH Pull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Multi-server IBM AIX NMON extraction via SSH, incremental pull supported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~74 Grafana Dashboards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Wait events, SQL, segments, I/O, Anomaly Detection, Exadata, AWR+SAR/NMON Correlation — see Section 6</w:t>
            </w:r>
          </w:p>
        </w:tc>
      </w:tr>
      <w:tr>
        <w:tc>
          <w:tcPr>
            <w:tcW w:type="dxa" w:w="2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PL/SQL Performance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8 live analyses against a real Oracle connection: CPU, elapsed, cluster, I/O, loop detection, plan regression, missing FK indexes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Database System Study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31 live sections with actionable recommendations</w:t>
            </w:r>
          </w:p>
        </w:tc>
      </w:tr>
      <w:tr>
        <w:tc>
          <w:tcPr>
            <w:tcW w:type="dxa" w:w="2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AI Recommendations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Rules engine (61 rules across 11 categories), Local AI (Ollama), or Cloud AI (Anthropic Claude)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Analysis Report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Single-page RCA + rule-driven Hotspots/Recommendations + optional AI narrative — see Section 10</w:t>
            </w:r>
          </w:p>
        </w:tc>
      </w:tr>
      <w:tr>
        <w:tc>
          <w:tcPr>
            <w:tcW w:type="dxa" w:w="2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Execution Plan Analysis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Pattern-based problem detection and before/after plan comparison — see Section 11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AWR Before/After Comparison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Validate tuning changes with tagged snap-range comparison — see Section 12</w:t>
            </w:r>
          </w:p>
        </w:tc>
      </w:tr>
      <w:tr>
        <w:tc>
          <w:tcPr>
            <w:tcW w:type="dxa" w:w="2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Object Metadata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Upload DBA dictionary data to ground AI recommendations in real row counts/statistics — see Section 13</w:t>
            </w:r>
          </w:p>
        </w:tc>
      </w:tr>
    </w:tbl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2. First Login — Setting Your Password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On a freshly installed DAR Portal, the admin account uses a first-time setup flow instead of a pre-set password. This ensures you choose a strong password specific to your environment before accessing the portal.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2.1 First Login Steps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77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 / What You See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1. Open the portal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Navigate to http://&lt;server&gt;:8000 in your browser</w:t>
            </w:r>
          </w:p>
        </w:tc>
      </w:tr>
      <w:tr>
        <w:tc>
          <w:tcPr>
            <w:tcW w:type="dxa" w:w="1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2. Username</w:t>
            </w:r>
          </w:p>
        </w:tc>
        <w:tc>
          <w:tcPr>
            <w:tcW w:type="dxa" w:w="7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Enter: admin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3. Password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Enter anything — or leave it blank. The password is ignored on first login.</w:t>
            </w:r>
          </w:p>
        </w:tc>
      </w:tr>
      <w:tr>
        <w:tc>
          <w:tcPr>
            <w:tcW w:type="dxa" w:w="1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4. Click Sign In</w:t>
            </w:r>
          </w:p>
        </w:tc>
        <w:tc>
          <w:tcPr>
            <w:tcW w:type="dxa" w:w="7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The portal detects the SETUP sentinel and redirects you automatically.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5. Set Password page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You land on /setup-password. You cannot reach any other page until the password is set.</w:t>
            </w:r>
          </w:p>
        </w:tc>
      </w:tr>
      <w:tr>
        <w:tc>
          <w:tcPr>
            <w:tcW w:type="dxa" w:w="1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6. Choose password</w:t>
            </w:r>
          </w:p>
        </w:tc>
        <w:tc>
          <w:tcPr>
            <w:tcW w:type="dxa" w:w="7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Enter a new password (minimum 8 characters) and confirm it. A strength meter shows quality in real time.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7. Click Set Password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The portal saves a bcrypt hash of your password and logs you in immediately.</w:t>
            </w:r>
          </w:p>
        </w:tc>
      </w:tr>
      <w:tr>
        <w:tc>
          <w:tcPr>
            <w:tcW w:type="dxa" w:w="1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8. Portal home</w:t>
            </w:r>
          </w:p>
        </w:tc>
        <w:tc>
          <w:tcPr>
            <w:tcW w:type="dxa" w:w="7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You are now fully logged in. From this point, normal login applies.</w:t>
            </w:r>
          </w:p>
        </w:tc>
      </w:tr>
    </w:tbl>
    <w:p>
      <w:pPr>
        <w:pBdr>
          <w:left w:val="single" w:color="00B38C" w:sz="16"/>
        </w:pBdr>
        <w:shd w:fill="F5F7FA" w:val="clear"/>
        <w:spacing w:after="100" w:before="100"/>
        <w:ind w:left="200"/>
      </w:pP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The password field on the login page is completely ignored during first login. It does not matter what you type — you will be redirected to the set-password page regardless.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2.2 Subsequent Logins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Navigate to http://&lt;server&gt;:8000/login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Enter username: admin and the password you chose during setup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Click Sign In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2.3 Changing Your Password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Settings → Users → Change Password section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Enter current password, new password, confirm — click Save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2.4 Forgot Password / Admin Reset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Login page → Forgot Password → enter username + Admin Reset PIN → set new password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Admin can reset any user: Settings → Users → Edit user → enter new password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To reset admin to first-login state: a postgres superuser runs UPDATE portal_users SET password_hash='SETUP' WHERE username='admin'; — see Installation Guide Section 4.3</w:t>
      </w:r>
    </w:p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3. Navigation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The top navigation bar groups every page by function: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6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67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Pages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Home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Dashboard launcher — links to every Grafana dashboard by category</w:t>
            </w:r>
          </w:p>
        </w:tc>
      </w:tr>
      <w:tr>
        <w:tc>
          <w:tcPr>
            <w:tcW w:type="dxa" w:w="2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Upload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AWR Report, SAR Report, Execution Plan, Object Metadata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Analysis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AWR Before/After Comparison, Plan Comparison, Analysis Report, SQL Search</w:t>
            </w:r>
          </w:p>
        </w:tc>
      </w:tr>
      <w:tr>
        <w:tc>
          <w:tcPr>
            <w:tcW w:type="dxa" w:w="2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AWR Trends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AWR Trends Navigator — browse all AWR metric dashboards by snap range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PL/SQL Performance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8 live analyses against a real Oracle connection</w:t>
            </w:r>
          </w:p>
        </w:tc>
      </w:tr>
      <w:tr>
        <w:tc>
          <w:tcPr>
            <w:tcW w:type="dxa" w:w="2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System Study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31-section live database study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AI Recommendations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Standalone rule/AI-driven recommendations by focus area</w:t>
            </w:r>
          </w:p>
        </w:tc>
      </w:tr>
      <w:tr>
        <w:tc>
          <w:tcPr>
            <w:tcW w:type="dxa" w:w="2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Queues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Parse queue monitor for AWR/SAR/NMON ingestion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Settings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AI mode, users, connections, service control</w:t>
            </w:r>
          </w:p>
        </w:tc>
      </w:tr>
    </w:tbl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4. AWR Reports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4.1 Manual Upload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Upload → AWR Report → select .html/.htm file(s) → Upload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Parsing runs in the background queue — check Queues for status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4.2 Direct Oracle Generation — Automated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Configure a live Oracle connection (Settings → Connections → Oracle) so the portal can generate AWR reports directly via oracledb (thin mode, no Oracle Client install needed) on a schedule, without a DBA manually exporting HTML.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Settings → Connections → Oracle → Add Connection (host, port, service name, username, password)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Test Connection to confirm connectivity before saving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Upload → AWR Report → Direct Oracle Generation tab → select connection → select snap range → Generate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4.3 Drop Folder (Batch)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Place .html files directly into the configured watch directory (awr_reports\ by default) — the file watcher picks them up automatically without using the upload form. Useful for scripted/scheduled bulk transfers.</w:t>
      </w:r>
    </w:p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5. SAR Reports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5.1 SSH Pull — Automated (Recommended)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Settings → Connections → SAR SSH → Add Connection (hostname, SSH credentials)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Test Connection, then Pull — extracts SAR deltas over SSH via paramiko, no binary transfer or WSL needed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The same SSH-pull pattern applies to NMON (IBM AIX) data collection under Settings → Connections → NMON SSH, including incremental pull for large multi-day files.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5.2 Manual Upload (Text SAR)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Upload → SAR Report → select text SAR file(s) → Upload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For binary SAR files, pre-convert first: sar -A -f /var/log/sa/saNN &gt; sar_text.txt</w:t>
      </w:r>
    </w:p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6. AWR Trends Navigator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Primary interface for browsing the full AWR metric dashboard catalog by snap range.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Select Database → Instance → click Load Snaps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Select a snap range, then click any dashboard link below to open it in Grafana, pre-filtered to that range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6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67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Dashboards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Instance Overview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Instance Efficiency, Instance Statistics</w:t>
            </w:r>
          </w:p>
        </w:tc>
      </w:tr>
      <w:tr>
        <w:tc>
          <w:tcPr>
            <w:tcW w:type="dxa" w:w="2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Wait Events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Time Model, Foreground/Background Wait Class and Events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Enqueue Statistics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Buffer Wait Statistics, Enqueue Statistics</w:t>
            </w:r>
          </w:p>
        </w:tc>
      </w:tr>
      <w:tr>
        <w:tc>
          <w:tcPr>
            <w:tcW w:type="dxa" w:w="2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Undo Statistics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Undo generation rate, STO/OOS occurrences, unexpired block activity, tuned retention, segment summary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SQL Statistics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10 dashboards: Elapsed, CPU, I/O, Gets, Reads, Executions, Parse, Cluster, Severity</w:t>
            </w:r>
          </w:p>
        </w:tc>
      </w:tr>
      <w:tr>
        <w:tc>
          <w:tcPr>
            <w:tcW w:type="dxa" w:w="2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Segment Statistics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18 dashboards covering all 16 AWR segment statistic types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Load Profile &amp; I/O</w:t>
            </w:r>
          </w:p>
        </w:tc>
        <w:tc>
          <w:tcPr>
            <w:tcW w:type="dxa" w:w="6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14 dashboards: DB Time, Blocks, I/O, Tablespace/File I/O, IOStat</w:t>
            </w:r>
          </w:p>
        </w:tc>
      </w:tr>
      <w:tr>
        <w:tc>
          <w:tcPr>
            <w:tcW w:type="dxa" w:w="26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Host/Instance CPU</w:t>
            </w:r>
          </w:p>
        </w:tc>
        <w:tc>
          <w:tcPr>
            <w:tcW w:type="dxa" w:w="67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Trend dashboard combining OS-level host CPU with Oracle instance CPU</w:t>
            </w:r>
          </w:p>
        </w:tc>
      </w:tr>
    </w:tbl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6.1 Featured Dashboards (Home Page)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Linked directly from the portal home page rather than the snap-range navigator above — these operate on a rolling window rather than a single manually-selected snap range: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71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Dashboards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AWR Intelligence</w:t>
            </w:r>
          </w:p>
        </w:tc>
        <w:tc>
          <w:tcPr>
            <w:tcW w:type="dxa" w:w="7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Wait · SQL · Segment · Correlation (Rules mode and AI mode variants)</w:t>
            </w:r>
          </w:p>
        </w:tc>
      </w:tr>
      <w:tr>
        <w:tc>
          <w:tcPr>
            <w:tcW w:type="dxa" w:w="22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Anomaly Detection</w:t>
            </w:r>
          </w:p>
        </w:tc>
        <w:tc>
          <w:tcPr>
            <w:tcW w:type="dxa" w:w="71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AWR, SAR, and NMON — each with Rules and AI mode variants (6 dashboards total), z-score based deviation from a 90-day rolling baseline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AWR+SAR Correlation</w:t>
            </w:r>
          </w:p>
        </w:tc>
        <w:tc>
          <w:tcPr>
            <w:tcW w:type="dxa" w:w="7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Oracle wait/CPU metrics vs Linux OS-level iowait/CPU/memory/disk, time-aligned to the AWR snapshot ±30 minutes</w:t>
            </w:r>
          </w:p>
        </w:tc>
      </w:tr>
      <w:tr>
        <w:tc>
          <w:tcPr>
            <w:tcW w:type="dxa" w:w="22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AWR+NMON Correlation</w:t>
            </w:r>
          </w:p>
        </w:tc>
        <w:tc>
          <w:tcPr>
            <w:tcW w:type="dxa" w:w="71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Same correlation approach for IBM AIX — includes an AIX-specific CPU run-queue saturation panel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Memory Advisory</w:t>
            </w:r>
          </w:p>
        </w:tc>
        <w:tc>
          <w:tcPr>
            <w:tcW w:type="dxa" w:w="7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SGA/PGA advisory curves and Instance Efficiency (Rules and AI mode variants)</w:t>
            </w:r>
          </w:p>
        </w:tc>
      </w:tr>
      <w:tr>
        <w:tc>
          <w:tcPr>
            <w:tcW w:type="dxa" w:w="22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Exadata</w:t>
            </w:r>
          </w:p>
        </w:tc>
        <w:tc>
          <w:tcPr>
            <w:tcW w:type="dxa" w:w="71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Cell I/O Distribution, Flash Cache Health, Smart Cache Performance, Smart Scan Analysis — requires Exadata licensing, see Section 16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SAR/NMON System Overview</w:t>
            </w:r>
          </w:p>
        </w:tc>
        <w:tc>
          <w:tcPr>
            <w:tcW w:type="dxa" w:w="7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Rolling OS resource overview per platform (Rules and AI mode variants)</w:t>
            </w:r>
          </w:p>
        </w:tc>
      </w:tr>
    </w:tbl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7. PL/SQL Performance Analysis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Runs live against a real Oracle connection (not parsed AWR HTML) — requires SELECT_CATALOG_ROLE or equivalent DBA_HIST_* access. Every query has a hard timeout (default 5 seconds, configurable — see Installation Guide Section 5) that actively terminates the server-side call if it doesn't return in time, so a slow query cannot keep consuming resources on the target database in the background.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7.1 How to Use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PL/SQL Performance → select connection → select begin/end snap → Run Analysis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Each of the 8 analyses below runs independently — a slow or failing one doesn't block the others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7.2 The 8 Analyses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Analysis</w:t>
            </w:r>
          </w:p>
        </w:tc>
        <w:tc>
          <w:tcPr>
            <w:tcW w:type="dxa" w:w="71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Finds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Top CPU</w:t>
            </w:r>
          </w:p>
        </w:tc>
        <w:tc>
          <w:tcPr>
            <w:tcW w:type="dxa" w:w="7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PL/SQL objects consuming the most CPU time, ranked by ASH-sample-weighted share</w:t>
            </w:r>
          </w:p>
        </w:tc>
      </w:tr>
      <w:tr>
        <w:tc>
          <w:tcPr>
            <w:tcW w:type="dxa" w:w="22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Top Elapsed</w:t>
            </w:r>
          </w:p>
        </w:tc>
        <w:tc>
          <w:tcPr>
            <w:tcW w:type="dxa" w:w="71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Objects with the highest total elapsed time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Top Cluster Wait</w:t>
            </w:r>
          </w:p>
        </w:tc>
        <w:tc>
          <w:tcPr>
            <w:tcW w:type="dxa" w:w="7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RAC interconnect wait time by calling object (RAC only)</w:t>
            </w:r>
          </w:p>
        </w:tc>
      </w:tr>
      <w:tr>
        <w:tc>
          <w:tcPr>
            <w:tcW w:type="dxa" w:w="22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Top I/O</w:t>
            </w:r>
          </w:p>
        </w:tc>
        <w:tc>
          <w:tcPr>
            <w:tcW w:type="dxa" w:w="71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Objects driving the most physical I/O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Loop Detector</w:t>
            </w:r>
          </w:p>
        </w:tc>
        <w:tc>
          <w:tcPr>
            <w:tcW w:type="dxa" w:w="7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Row-by-row processing anti-patterns — many small executions instead of bulk operations</w:t>
            </w:r>
          </w:p>
        </w:tc>
      </w:tr>
      <w:tr>
        <w:tc>
          <w:tcPr>
            <w:tcW w:type="dxa" w:w="22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Proc Dashboard</w:t>
            </w:r>
          </w:p>
        </w:tc>
        <w:tc>
          <w:tcPr>
            <w:tcW w:type="dxa" w:w="71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Consolidated view: CPU/elapsed/cluster/I/O per object in one table, with the object's single most expensive SQL statement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Multi-Plan Detector</w:t>
            </w:r>
          </w:p>
        </w:tc>
        <w:tc>
          <w:tcPr>
            <w:tcW w:type="dxa" w:w="7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The same SQL_ID executing under more than one distinct plan_hash_value — a sign of plan instability</w:t>
            </w:r>
          </w:p>
        </w:tc>
      </w:tr>
      <w:tr>
        <w:tc>
          <w:tcPr>
            <w:tcW w:type="dxa" w:w="22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Missing FK Index</w:t>
            </w:r>
          </w:p>
        </w:tc>
        <w:tc>
          <w:tcPr>
            <w:tcW w:type="dxa" w:w="71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Foreign keys with no supporting index on the child table — checks composite (multi-column) FKs correctly, not just single-column</w:t>
            </w:r>
          </w:p>
        </w:tc>
      </w:tr>
    </w:tbl>
    <w:p>
      <w:pPr>
        <w:pBdr>
          <w:left w:val="single" w:color="00B38C" w:sz="16"/>
        </w:pBdr>
        <w:shd w:fill="F5F7FA" w:val="clear"/>
        <w:spacing w:after="100" w:before="100"/>
        <w:ind w:left="200"/>
      </w:pP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When the same SQL statement is called by more than one PL/SQL object (a shared helper procedure, for example), its cost is split proportionally between the calling objects based on each object's share of ASH activity — not duplicated in full against each caller.</w:t>
      </w:r>
    </w:p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8. Database System Study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A 31-section live study of the connected Oracle database, covering configuration, storage, security, and performance posture in one pass.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8.1 How to Use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System Study → select connection → Run Study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Sections render progressively as each completes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8.2 Recommendations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Each section that finds an issue surfaces an actionable recommendation alongside the raw data, not just the data itself.</w:t>
      </w:r>
    </w:p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9. AI Recommendations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A standalone recommendations page, separate from the Analysis Report's embedded AI narrative panel (Section 10.4). Select a Focus Type (e.g. Wait Events, SQL, Segments) and Focus Value to get targeted recommendations for that specific area, sourced from the same 61-rule engine used throughout the portal, across 11 categories: wait events, SQL, segments, instance efficiency, SGA, PGA, undo, redo, Exadata, and correlated SAR/NMON findings.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AI Recommendations → select Focus Type → select Focus Value → view recommendations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Thumbs up/down feedback is stored per recommendation for future tuning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History tab shows all past recommendation requests for this database</w:t>
      </w:r>
    </w:p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10. Analysis Report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A single-page, printable performance analysis combining KPI health scoring, a Root Cause Analysis draft, rule-engine-driven Hotspots and Recommendations, and an optional AI-generated narrative summary.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10.1 How to Use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Analysis → Analysis Report → select Database → Instance → select snapshot range (or a comparison tag pair)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Click Generate Report — sections render top to bottom as data becomes available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Use Download PDF for a shareable, print-formatted copy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10.2 Root Cause Analysis (RCA)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A structured Symptoms → Root Cause → Evidence → Action Plan summary, pre-filled from the report's own findings. Each field is directly editable — click into any field and type to adjust the wording before printing or sharing; this is a starting draft for an incident writeup, not a final answer. The fields have no visible border or highlight, so the click-to-edit behaviour isn't obvious from the page alone.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10.3 Hotspots and Recommendations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Driven by the same 61-rule engine used throughout the portal (Section 9). When the same rule fires for multiple distinct objects or SQL statements in one report (for example, three different SQL_IDs all showing high physical I/O), each occurrence is listed separately with the specific object/SQL_ID shown in parentheses, rather than collapsing into one generic entry.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10.4 AI Analysis Summary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Shown only when AI Mode (Settings → AI / Recommendations) is set to Local AI or Cloud AI — see Section 16 for how those modes differ from the rule-engine-only default. The narrative summarises the same rule-engine findings shown in Hotspots/Recommendations in plain language — it supplements them, it does not replace them, and should be read alongside those sections rather than instead of them.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The narrative is grounded in two reference sources so the model isn't relying only on general Oracle knowledge: the wait-event reference catalog (root-cause guidance for the specific wait events in the findings) and object metadata (actual row counts and statistics freshness for the specific segments in the findings, from Section 13). If a report's narrative reads as generic rather than specific to your data, confirm both are populated — see Installation Guide Section 5.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Local AI (Ollama) response time depends heavily on server CPU and whether the model was already warm in memory — see Installation Guide Section 5 for the timeout/keep-alive settings that control this.</w:t>
      </w:r>
    </w:p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11. Execution Plan Analysis &amp; Comparison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Paste or upload an Oracle execution plan (DBMS_XPLAN output) for pattern-based problem detection, and compare two plans (e.g. before/after a tuning change) side by side.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11.1 Plan Analysis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Upload → Execution Plan → paste plan text or upload a .txt file, enter dbname, click Parse &amp; Store Plan(s)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Findings appear as Severity / Pattern / Detail / Action rows below the plan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Pattern</w:t>
            </w:r>
          </w:p>
        </w:tc>
        <w:tc>
          <w:tcPr>
            <w:tcW w:type="dxa" w:w="63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Means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Full Table / Index Fast Full Scan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Row count, statistics freshness, and predicate context for the specific object — grounded in real object metadata when available, naming actual row counts and staleness rather than generic advice</w:t>
            </w:r>
          </w:p>
        </w:tc>
      </w:tr>
      <w:tr>
        <w:tc>
          <w:tcPr>
            <w:tcW w:type="dxa" w:w="30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Unbounded Full Scan</w:t>
            </w:r>
          </w:p>
        </w:tc>
        <w:tc>
          <w:tcPr>
            <w:tcW w:type="dxa" w:w="63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No filter predicate reaches this table at all — confirms whether this is an intentional whole-table read or a missing WHERE clause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Nested Loop on Large Result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Large estimated row count feeding a nested loop join</w:t>
            </w:r>
          </w:p>
        </w:tc>
      </w:tr>
      <w:tr>
        <w:tc>
          <w:tcPr>
            <w:tcW w:type="dxa" w:w="30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High Cost Operation</w:t>
            </w:r>
          </w:p>
        </w:tc>
        <w:tc>
          <w:tcPr>
            <w:tcW w:type="dxa" w:w="63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 single step dominating the plan's total cost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Missing/Stale Statistics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Object has never been analyzed, or statistics are more than 30 days old</w:t>
            </w:r>
          </w:p>
        </w:tc>
      </w:tr>
      <w:tr>
        <w:tc>
          <w:tcPr>
            <w:tcW w:type="dxa" w:w="30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High Clustering Factor / Deep B-tree Index</w:t>
            </w:r>
          </w:p>
        </w:tc>
        <w:tc>
          <w:tcPr>
            <w:tcW w:type="dxa" w:w="63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Index-level structural issues worth investigating</w:t>
            </w:r>
          </w:p>
        </w:tc>
      </w:tr>
    </w:tbl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11.2 Plan Comparison (Before/After)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Analysis → Plan Comparison → select a baseline plan and an optimised plan (matched by plan hash or manually chosen)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The comparison shows a step-by-step diff (added/removed/changed operations, cost/rows deltas per step), plus Cost Summary, Access Path Changes, and Problems Fixed boxes summarising the same diff from different angles — Access Path Changes lists every genuine operation change (e.g. a full scan replaced by an index range scan), and Problems Fixed/New Problems highlights specifically when a full scan was eliminated or introduced.</w:t>
      </w:r>
    </w:p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12. AWR Before/After Comparison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Tag two snap ranges (e.g. "before_fix" and "after_fix") to validate a tuning change side by side — Wait Events, Top SQL, and Load Profile panels for both ranges on one dashboard.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Analysis → AWR Before/After Comparison → select Database/Instance → tag a Before range and an After range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Open the comparison dashboard (Rules mode or AI mode) to see both ranges side by side</w:t>
      </w:r>
    </w:p>
    <w:p>
      <w:pPr>
        <w:pBdr>
          <w:left w:val="single" w:color="00B38C" w:sz="16"/>
        </w:pBdr>
        <w:shd w:fill="F5F7FA" w:val="clear"/>
        <w:spacing w:after="100" w:before="100"/>
        <w:ind w:left="200"/>
      </w:pP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On a RAC database, tags are scoped per-instance — the same tag name (e.g. "before_fix") can exist independently on each instance without colliding.</w:t>
      </w:r>
    </w:p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13. Object Metadata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Upload DBA dictionary data (row counts, index structure, statistics freshness) to ground both AI recommendations and execution plan analysis in real object-level facts instead of generic advice.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13.1 How to Use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Upload → Object Metadata → select Database Name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Export from Oracle Database — run the provided extraction SQL against your target database to produce a CSV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Upload Metadata CSV — the summary panel shows Last Upload timestamp and row count once processed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This is the same reference data used by the Analysis Report's AI Analysis Summary (Section 10.4) and Execution Plan Analysis (Section 11.1) — uploading it once benefits both features.</w:t>
      </w:r>
    </w:p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14. SQL Search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Search across every SQL statement captured from parsed AWR reports for a database, by SQL ID or SQL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Analysis → SQL Search → select Database/Instance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Search by SQL ID (exact) — enter the full SQL_ID to jump directly to that statement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Search by SQL Text (partial match) — enter a fragment of the SQL text to find matching statements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Results show Snap Time, letting you trace when a specific statement was captured</w:t>
      </w:r>
    </w:p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15. Service Control</w:t>
      </w:r>
    </w:p>
    <w:p>
      <w:pPr>
        <w:spacing w:after="120"/>
      </w:pPr>
      <w:r>
        <w:rPr>
          <w:rFonts w:ascii="Calibri" w:cs="Calibri" w:eastAsia="Calibri" w:hAnsi="Calibri"/>
          <w:color w:val="1A2035"/>
          <w:sz w:val="20"/>
          <w:szCs w:val="20"/>
        </w:rPr>
        <w:t xml:space="preserve">Monitor and control the DAR Portal's Windows services (registered via NSSM — see Installation Guide Section 3) directly from the browser, without RDP access to the server.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Settings → Service Control — status refreshes automatically every 10 seconds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Log Viewer — view the last 50, 100, or 200 lines of any service's log without leaving the browser</w:t>
      </w:r>
    </w:p>
    <w:p>
      <w:pPr>
        <w:pBdr>
          <w:left w:val="single" w:color="00B38C" w:sz="16"/>
        </w:pBdr>
        <w:shd w:fill="F5F7FA" w:val="clear"/>
        <w:spacing w:after="100" w:before="100"/>
        <w:ind w:left="200"/>
      </w:pP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Requires admin privileges. Intended for quick status checks and log review, not a replacement for direct server access when deeper troubleshooting is needed.</w:t>
      </w:r>
    </w:p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16. Settings Reference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16.1 AI / Recommendations Mode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71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Behaviour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Rules</w:t>
            </w:r>
          </w:p>
        </w:tc>
        <w:tc>
          <w:tcPr>
            <w:tcW w:type="dxa" w:w="7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Default. Recommendations from the 61-rule engine only — no AI call, no external dependency</w:t>
            </w:r>
          </w:p>
        </w:tc>
      </w:tr>
      <w:tr>
        <w:tc>
          <w:tcPr>
            <w:tcW w:type="dxa" w:w="22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Local AI</w:t>
            </w:r>
          </w:p>
        </w:tc>
        <w:tc>
          <w:tcPr>
            <w:tcW w:type="dxa" w:w="71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Adds an AI-generated narrative via Ollama (self-hosted) — see Installation Guide Section 5 for timeout/keep-alive tuning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Cloud AI</w:t>
            </w:r>
          </w:p>
        </w:tc>
        <w:tc>
          <w:tcPr>
            <w:tcW w:type="dxa" w:w="7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Adds an AI-generated narrative via Anthropic Claude — requires an API key, see Installation Guide Section 2</w:t>
            </w:r>
          </w:p>
        </w:tc>
      </w:tr>
    </w:tbl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16.2 User Management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Settings → Users — add, edit, or reset password for any user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Change Password — update your own password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16.3 Connections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Oracle — for Direct AWR Generation, PL/SQL Performance Analysis, and System Study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SAR SSH / NMON SSH — for automated multi-server data collection</w:t>
      </w:r>
    </w:p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17. Troubleshooting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tcW w:type="dxa" w:w="34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tcW w:type="dxa" w:w="35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AI Analysis Summary missing from report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AI Mode set to Rules, not Local AI/Cloud 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Settings → AI / Recommendations → select a mode</w:t>
            </w:r>
          </w:p>
        </w:tc>
      </w:tr>
      <w:tr>
        <w:tc>
          <w:tcPr>
            <w:tcW w:type="dxa" w:w="24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"Timed out waiting for a response from Ollama"</w:t>
            </w:r>
          </w:p>
        </w:tc>
        <w:tc>
          <w:tcPr>
            <w:tcW w:type="dxa" w:w="34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CPU-only inference took longer than the configured timeout, or the model had been idle-unloaded and needed reloading</w:t>
            </w:r>
          </w:p>
        </w:tc>
        <w:tc>
          <w:tcPr>
            <w:tcW w:type="dxa" w:w="35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See Installation Guide Section 5 — raise ollama_timeout_seconds and/or check ollama_keep_alive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Recommendations list looks incomplete for a known issue type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Multiple distinct findings sharing a rule now each get their own labeled entry — check you're not looking at a report generated before this behaviour was added (v3.4)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Regenerate the report</w:t>
            </w:r>
          </w:p>
        </w:tc>
      </w:tr>
      <w:tr>
        <w:tc>
          <w:tcPr>
            <w:tcW w:type="dxa" w:w="24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Execution plan action text reads generically instead of citing real row counts</w:t>
            </w:r>
          </w:p>
        </w:tc>
        <w:tc>
          <w:tcPr>
            <w:tcW w:type="dxa" w:w="34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Object Metadata (Section 13) hasn't been uploaded for this database</w:t>
            </w:r>
          </w:p>
        </w:tc>
        <w:tc>
          <w:tcPr>
            <w:tcW w:type="dxa" w:w="35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Upload → Object Metadata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Missing FK Index doesn't flag a composite FK you know is uncovered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Confirm the composite index genuinely doesn't cover all FK columns in order — a partial-column index legitimately won't be flagged as covering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Review the FK's columns against available indexes manually</w:t>
            </w:r>
          </w:p>
        </w:tc>
      </w:tr>
    </w:tbl>
    <w:p>
      <w:pPr>
        <w:shd w:fill="034EA1" w:val="clear"/>
        <w:spacing w:after="120" w:before="280"/>
        <w:ind w:left="18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18. Quick Reference</w:t>
      </w:r>
    </w:p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18.1 URLs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5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tcW w:type="dxa" w:w="58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Portal Home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/</w:t>
            </w:r>
          </w:p>
        </w:tc>
      </w:tr>
      <w:tr>
        <w:tc>
          <w:tcPr>
            <w:tcW w:type="dxa" w:w="35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AWR Trends</w:t>
            </w:r>
          </w:p>
        </w:tc>
        <w:tc>
          <w:tcPr>
            <w:tcW w:type="dxa" w:w="58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/awr-trends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Analysis Report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/analysis-report</w:t>
            </w:r>
          </w:p>
        </w:tc>
      </w:tr>
      <w:tr>
        <w:tc>
          <w:tcPr>
            <w:tcW w:type="dxa" w:w="35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PL/SQL Performance</w:t>
            </w:r>
          </w:p>
        </w:tc>
        <w:tc>
          <w:tcPr>
            <w:tcW w:type="dxa" w:w="58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/plsql-performance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System Study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/system-study</w:t>
            </w:r>
          </w:p>
        </w:tc>
      </w:tr>
      <w:tr>
        <w:tc>
          <w:tcPr>
            <w:tcW w:type="dxa" w:w="35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AI Recommendations</w:t>
            </w:r>
          </w:p>
        </w:tc>
        <w:tc>
          <w:tcPr>
            <w:tcW w:type="dxa" w:w="58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/ai-recommendations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Execution Plan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/exec-plan</w:t>
            </w:r>
          </w:p>
        </w:tc>
      </w:tr>
      <w:tr>
        <w:tc>
          <w:tcPr>
            <w:tcW w:type="dxa" w:w="35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AWR Before/After Comparison</w:t>
            </w:r>
          </w:p>
        </w:tc>
        <w:tc>
          <w:tcPr>
            <w:tcW w:type="dxa" w:w="58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/comparison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Object Metadata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/metadata</w:t>
            </w:r>
          </w:p>
        </w:tc>
      </w:tr>
      <w:tr>
        <w:tc>
          <w:tcPr>
            <w:tcW w:type="dxa" w:w="35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SQL Search</w:t>
            </w:r>
          </w:p>
        </w:tc>
        <w:tc>
          <w:tcPr>
            <w:tcW w:type="dxa" w:w="58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/sql-search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Service Control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/service-control</w:t>
            </w:r>
          </w:p>
        </w:tc>
      </w:tr>
      <w:tr>
        <w:tc>
          <w:tcPr>
            <w:tcW w:type="dxa" w:w="35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Settings</w:t>
            </w:r>
          </w:p>
        </w:tc>
        <w:tc>
          <w:tcPr>
            <w:tcW w:type="dxa" w:w="58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/settings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Queue Monitor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/queues</w:t>
            </w:r>
          </w:p>
        </w:tc>
      </w:tr>
    </w:tbl>
    <w:p>
      <w:pPr>
        <w:pBdr>
          <w:bottom w:val="single" w:color="00B38C" w:sz="4"/>
        </w:pBdr>
        <w:spacing w:after="100" w:before="260"/>
      </w:pPr>
      <w:r>
        <w:rPr>
          <w:rFonts w:ascii="Calibri" w:cs="Calibri" w:eastAsia="Calibri" w:hAnsi="Calibri"/>
          <w:b/>
          <w:bCs/>
          <w:color w:val="034EA1"/>
          <w:sz w:val="26"/>
          <w:szCs w:val="26"/>
        </w:rPr>
        <w:t xml:space="preserve">18.2 Default Access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34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Address</w:t>
            </w:r>
          </w:p>
        </w:tc>
        <w:tc>
          <w:tcPr>
            <w:tcW w:type="dxa" w:w="3500"/>
            <w:shd w:fill="034EA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Credentials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DAR Portal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http://&lt;server&gt;:8000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admin / &lt;set at first login&gt;</w:t>
            </w:r>
          </w:p>
        </w:tc>
      </w:tr>
      <w:tr>
        <w:tc>
          <w:tcPr>
            <w:tcW w:type="dxa" w:w="24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Grafana</w:t>
            </w:r>
          </w:p>
        </w:tc>
        <w:tc>
          <w:tcPr>
            <w:tcW w:type="dxa" w:w="34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http://&lt;server&gt;:3000</w:t>
            </w:r>
          </w:p>
        </w:tc>
        <w:tc>
          <w:tcPr>
            <w:tcW w:type="dxa" w:w="3500"/>
            <w:shd w:fill="F5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admin / admin@123 (change after install)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PostgreSQL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localhost:5432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2035"/>
                <w:sz w:val="19"/>
                <w:szCs w:val="19"/>
              </w:rPr>
              <w:t xml:space="preserve">postgres / &lt;your password&gt;</w:t>
            </w:r>
          </w:p>
        </w:tc>
      </w:tr>
    </w:tbl>
    <w:p>
      <w:pPr>
        <w:spacing w:before="300"/>
        <w:jc w:val="center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— End of User Manual —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2026-09-03T08:56:59.367Z</dcterms:created>
  <dcterms:modified xsi:type="dcterms:W3CDTF">2026-09-03T08:56:59.381Z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