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STARCORE R25 最终施工蓝图</w:t>
      </w:r>
    </w:p>
    <w:p>
      <w:pPr>
        <w:widowControl/>
      </w:pPr>
      <w:r>
        <w:t>2026年10月26日  面向安卓施工与验收负责人</w:t>
      </w:r>
    </w:p>
    <w:p>
      <w:pPr>
        <w:widowControl/>
      </w:pPr>
      <w:r>
        <w:t>本版把10月26日研究报告落实到 STARCORE Binance1 PK10 项目，形成可执行的运行修复、持续学习、策略创造、质量验证和交付方案。优先恢复每期可追踪的生产闭环，再用互补机制与结构搜索寻找更好的策略；全部改造均保留固定单位置K3、每期至多一个REAL、唯一决策与结算Owner。质量目标仍是约15%起的真实出手频率、35%起的命中率及相应稳定性，37%与40%是更高质量目标。完成工程改造不等于已经达到这些策略目标。</w:t>
      </w:r>
    </w:p>
    <w:p>
      <w:pPr>
        <w:widowControl/>
      </w:pPr>
      <w:r>
        <w:t>R24全文、48卡、24家族、16专家、P001至P124、1832项历史需求、299张历史卡、代码、补丁、实验和历史原件全部在 baseline_r24 原样保留。R25新增32卡和P125至P156，细化原合同而不把旧未完成项改为完成。发生冲突时只按本版冲突表明确覆盖的条款执行，其余旧要求继续有效。统一80卡执行表将48张R24卡和32张R25卡分配到12个施工批次，历史299卡与1832需求仍须逐项验收。</w:t>
      </w:r>
    </w:p>
    <w:p>
      <w:pPr>
        <w:pStyle w:val="Heading1"/>
      </w:pPr>
      <w:r>
        <w:t>1 已核实的基线与证据边界</w:t>
      </w:r>
    </w:p>
    <w:p>
      <w:pPr>
        <w:widowControl/>
      </w:pPr>
      <w:r>
        <w:t>本次重新解析了用户附带的两份压缩包和检测报告。4836条开奖期号唯一，所有号码均为1至10的合法排列；202610250485至202610250598之间缺112期。与R24的4836行CSV逐条一致。报告包含506张表、声明96项检查，表清单中SU2表为0；这说明该快照没有SU2表，不能泛化为所有后续安装均没有SU2。</w:t>
      </w:r>
    </w:p>
    <w:p>
      <w:pPr>
        <w:widowControl/>
      </w:pPr>
      <w:r>
        <w:t>2026年10月26日远程比较确认 construction/su1-20261022 与 cd7f058a8345de7c9c89c308c7c91416a1596760 相同。当前release manifest为 com.starcore.research.r13，版本R13-5.4.3.04-2026.10.25，versionCode 577251063，compileSdk 36、targetSdk 28、minSdk 21、DB userVersion 36。源码namespace仍是 com.ethk3.novaonepro；不能用namespace猜安装包名，也不能用compileSdk判断target限制。该manifest的设备与模型证明状态仍为未验证。</w:t>
      </w:r>
    </w:p>
    <w:p>
      <w:pPr>
        <w:widowControl/>
      </w:pPr>
      <w:r>
        <w:t>本次定向读取9份远程文件：release manifest、app/build.gradle、AndroidManifest、ReplayBurstSchedulerSU1、ReplayBurstJobServiceSU1、ModelFoundryJobSU2、CertificateSU2、strategy-su1.yml、build_strategy_su1.sh。结合R24保留的40份源码正文检查关键方法。本次没有取得并逐行审阅全部994份源码，没有构建新APK，也没有重新训练出高胜率模型。994是原索引文件数，不是本次完整审计数量。源码清单和逐项验收表必须继续保留未知状态。</w:t>
      </w:r>
    </w:p>
    <w:p>
      <w:pPr>
        <w:widowControl/>
      </w:pPr>
      <w:r>
        <w:t>证据等级统一为现场记录、此次重算、源码风险、设计要求、已通过HOST测试、已通过Android测试、已通过真机测试、已通过自然前瞻。不同等级不得互相替代。检测快照来自10月25日，不称为10月26日实时运行状态。</w:t>
      </w:r>
    </w:p>
    <w:p>
      <w:pPr>
        <w:pStyle w:val="Heading1"/>
      </w:pPr>
      <w:r>
        <w:t>2 研究报告的融合与纠错</w:t>
      </w:r>
    </w:p>
    <w:p>
      <w:pPr>
        <w:widowControl/>
      </w:pPr>
      <w:r>
        <w:t>报告提出的模块化、数据闭环、结构搜索、测试、监控和持续交付均采用，但必须接入已有Java安卓主链。现有系统已有数据、源码、检查点与CI，不重新从data_loader.py空模板开始，也不新增一条备用真实链。</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5976"/>
        <w:gridCol w:w="1944"/>
      </w:tblGrid>
      <w:tr>
        <w:trPr>
          <w:cantSplit/>
          <w:tblHeader/>
        </w:trPr>
        <w:tc>
          <w:tcPr>
            <w:tcW w:type="dxa" w:w="2304"/>
            <w:vAlign w:val="center"/>
            <w:tcMar>
              <w:top w:w="95" w:type="dxa"/>
              <w:left w:w="95" w:type="dxa"/>
              <w:bottom w:w="95" w:type="dxa"/>
              <w:right w:w="95" w:type="dxa"/>
            </w:tcMar>
            <w:shd w:fill="E9EEF3"/>
          </w:tcPr>
          <w:p>
            <w:pPr>
              <w:spacing w:after="60" w:before="60" w:line="264" w:lineRule="auto"/>
            </w:pPr>
            <w:r>
              <w:rPr>
                <w:b/>
                <w:sz w:val="21"/>
              </w:rPr>
              <w:t>通用建议</w:t>
            </w:r>
          </w:p>
        </w:tc>
        <w:tc>
          <w:tcPr>
            <w:tcW w:type="dxa" w:w="5976"/>
            <w:vAlign w:val="center"/>
            <w:tcMar>
              <w:top w:w="95" w:type="dxa"/>
              <w:left w:w="95" w:type="dxa"/>
              <w:bottom w:w="95" w:type="dxa"/>
              <w:right w:w="95" w:type="dxa"/>
            </w:tcMar>
            <w:shd w:fill="E9EEF3"/>
          </w:tcPr>
          <w:p>
            <w:pPr>
              <w:spacing w:after="60" w:before="60" w:line="264" w:lineRule="auto"/>
            </w:pPr>
            <w:r>
              <w:rPr>
                <w:b/>
                <w:sz w:val="21"/>
              </w:rPr>
              <w:t>本项目采用方式</w:t>
            </w:r>
          </w:p>
        </w:tc>
        <w:tc>
          <w:tcPr>
            <w:tcW w:type="dxa" w:w="1944"/>
            <w:vAlign w:val="center"/>
            <w:tcMar>
              <w:top w:w="95" w:type="dxa"/>
              <w:left w:w="95" w:type="dxa"/>
              <w:bottom w:w="95" w:type="dxa"/>
              <w:right w:w="95" w:type="dxa"/>
            </w:tcMar>
            <w:shd w:fill="E9EEF3"/>
          </w:tcPr>
          <w:p>
            <w:pPr>
              <w:spacing w:after="60" w:before="60" w:line="264" w:lineRule="auto"/>
            </w:pPr>
            <w:r>
              <w:rPr>
                <w:b/>
                <w:sz w:val="21"/>
              </w:rPr>
              <w:t>对应施工</w:t>
            </w:r>
          </w:p>
        </w:tc>
      </w:tr>
      <w:tr>
        <w:trPr>
          <w:cantSplit/>
        </w:trPr>
        <w:tc>
          <w:tcPr>
            <w:tcW w:type="dxa" w:w="2304"/>
            <w:vAlign w:val="center"/>
            <w:tcMar>
              <w:top w:w="95" w:type="dxa"/>
              <w:left w:w="95" w:type="dxa"/>
              <w:bottom w:w="95" w:type="dxa"/>
              <w:right w:w="95" w:type="dxa"/>
            </w:tcMar>
            <w:shd w:fill="FFFFFF"/>
          </w:tcPr>
          <w:p>
            <w:pPr>
              <w:spacing w:after="60" w:before="60" w:line="264" w:lineRule="auto"/>
            </w:pPr>
            <w:r>
              <w:rPr>
                <w:b w:val="0"/>
                <w:sz w:val="21"/>
              </w:rPr>
              <w:t>数据采集 标注 清洗</w:t>
            </w:r>
          </w:p>
        </w:tc>
        <w:tc>
          <w:tcPr>
            <w:tcW w:type="dxa" w:w="5976"/>
            <w:vAlign w:val="center"/>
            <w:tcMar>
              <w:top w:w="95" w:type="dxa"/>
              <w:left w:w="95" w:type="dxa"/>
              <w:bottom w:w="95" w:type="dxa"/>
              <w:right w:w="95" w:type="dxa"/>
            </w:tcMar>
            <w:shd w:fill="FFFFFF"/>
          </w:tcPr>
          <w:p>
            <w:pPr>
              <w:spacing w:after="60" w:before="60" w:line="264" w:lineRule="auto"/>
            </w:pPr>
            <w:r>
              <w:rPr>
                <w:b w:val="0"/>
                <w:sz w:val="21"/>
              </w:rPr>
              <w:t>自动校验原始开奖与赛前冻结；开奖后生成标签，保留迟到与修订时间</w:t>
            </w:r>
          </w:p>
        </w:tc>
        <w:tc>
          <w:tcPr>
            <w:tcW w:type="dxa" w:w="1944"/>
            <w:vAlign w:val="center"/>
            <w:tcMar>
              <w:top w:w="95" w:type="dxa"/>
              <w:left w:w="95" w:type="dxa"/>
              <w:bottom w:w="95" w:type="dxa"/>
              <w:right w:w="95" w:type="dxa"/>
            </w:tcMar>
            <w:shd w:fill="FFFFFF"/>
          </w:tcPr>
          <w:p>
            <w:pPr>
              <w:spacing w:after="60" w:before="60" w:line="264" w:lineRule="auto"/>
            </w:pPr>
            <w:r>
              <w:rPr>
                <w:b w:val="0"/>
                <w:sz w:val="21"/>
              </w:rPr>
              <w:t>R25 003至005</w:t>
            </w:r>
          </w:p>
        </w:tc>
      </w:tr>
      <w:tr>
        <w:trPr>
          <w:cantSplit/>
        </w:trPr>
        <w:tc>
          <w:tcPr>
            <w:tcW w:type="dxa" w:w="2304"/>
            <w:vAlign w:val="center"/>
            <w:tcMar>
              <w:top w:w="95" w:type="dxa"/>
              <w:left w:w="95" w:type="dxa"/>
              <w:bottom w:w="95" w:type="dxa"/>
              <w:right w:w="95" w:type="dxa"/>
            </w:tcMar>
            <w:shd w:fill="F7F8FA"/>
          </w:tcPr>
          <w:p>
            <w:pPr>
              <w:spacing w:after="60" w:before="60" w:line="264" w:lineRule="auto"/>
            </w:pPr>
            <w:r>
              <w:rPr>
                <w:b w:val="0"/>
                <w:sz w:val="21"/>
              </w:rPr>
              <w:t>数据增强与SMOTE</w:t>
            </w:r>
          </w:p>
        </w:tc>
        <w:tc>
          <w:tcPr>
            <w:tcW w:type="dxa" w:w="5976"/>
            <w:vAlign w:val="center"/>
            <w:tcMar>
              <w:top w:w="95" w:type="dxa"/>
              <w:left w:w="95" w:type="dxa"/>
              <w:bottom w:w="95" w:type="dxa"/>
              <w:right w:w="95" w:type="dxa"/>
            </w:tcMar>
            <w:shd w:fill="F7F8FA"/>
          </w:tcPr>
          <w:p>
            <w:pPr>
              <w:spacing w:after="60" w:before="60" w:line="264" w:lineRule="auto"/>
            </w:pPr>
            <w:r>
              <w:rPr>
                <w:b w:val="0"/>
                <w:sz w:val="21"/>
              </w:rPr>
              <w:t>仅用于训练或机制测试；模拟和扰动数据带独立来源标签，永不算真实期数</w:t>
            </w:r>
          </w:p>
        </w:tc>
        <w:tc>
          <w:tcPr>
            <w:tcW w:type="dxa" w:w="1944"/>
            <w:vAlign w:val="center"/>
            <w:tcMar>
              <w:top w:w="95" w:type="dxa"/>
              <w:left w:w="95" w:type="dxa"/>
              <w:bottom w:w="95" w:type="dxa"/>
              <w:right w:w="95" w:type="dxa"/>
            </w:tcMar>
            <w:shd w:fill="F7F8FA"/>
          </w:tcPr>
          <w:p>
            <w:pPr>
              <w:spacing w:after="60" w:before="60" w:line="264" w:lineRule="auto"/>
            </w:pPr>
            <w:r>
              <w:rPr>
                <w:b w:val="0"/>
                <w:sz w:val="21"/>
              </w:rPr>
              <w:t>R25 006</w:t>
            </w:r>
          </w:p>
        </w:tc>
      </w:tr>
      <w:tr>
        <w:trPr>
          <w:cantSplit/>
        </w:trPr>
        <w:tc>
          <w:tcPr>
            <w:tcW w:type="dxa" w:w="2304"/>
            <w:vAlign w:val="center"/>
            <w:tcMar>
              <w:top w:w="95" w:type="dxa"/>
              <w:left w:w="95" w:type="dxa"/>
              <w:bottom w:w="95" w:type="dxa"/>
              <w:right w:w="95" w:type="dxa"/>
            </w:tcMar>
            <w:shd w:fill="FFFFFF"/>
          </w:tcPr>
          <w:p>
            <w:pPr>
              <w:spacing w:after="60" w:before="60" w:line="264" w:lineRule="auto"/>
            </w:pPr>
            <w:r>
              <w:rPr>
                <w:b w:val="0"/>
                <w:sz w:val="21"/>
              </w:rPr>
              <w:t>在线A B测试</w:t>
            </w:r>
          </w:p>
        </w:tc>
        <w:tc>
          <w:tcPr>
            <w:tcW w:type="dxa" w:w="5976"/>
            <w:vAlign w:val="center"/>
            <w:tcMar>
              <w:top w:w="95" w:type="dxa"/>
              <w:left w:w="95" w:type="dxa"/>
              <w:bottom w:w="95" w:type="dxa"/>
              <w:right w:w="95" w:type="dxa"/>
            </w:tcMar>
            <w:shd w:fill="FFFFFF"/>
          </w:tcPr>
          <w:p>
            <w:pPr>
              <w:spacing w:after="60" w:before="60" w:line="264" w:lineRule="auto"/>
            </w:pPr>
            <w:r>
              <w:rPr>
                <w:b w:val="0"/>
                <w:sz w:val="21"/>
              </w:rPr>
              <w:t>同期冻结新旧策略，期级配对评价；每期真实授权仍只有一次</w:t>
            </w:r>
          </w:p>
        </w:tc>
        <w:tc>
          <w:tcPr>
            <w:tcW w:type="dxa" w:w="1944"/>
            <w:vAlign w:val="center"/>
            <w:tcMar>
              <w:top w:w="95" w:type="dxa"/>
              <w:left w:w="95" w:type="dxa"/>
              <w:bottom w:w="95" w:type="dxa"/>
              <w:right w:w="95" w:type="dxa"/>
            </w:tcMar>
            <w:shd w:fill="FFFFFF"/>
          </w:tcPr>
          <w:p>
            <w:pPr>
              <w:spacing w:after="60" w:before="60" w:line="264" w:lineRule="auto"/>
            </w:pPr>
            <w:r>
              <w:rPr>
                <w:b w:val="0"/>
                <w:sz w:val="21"/>
              </w:rPr>
              <w:t>R25 014至018</w:t>
            </w:r>
          </w:p>
        </w:tc>
      </w:tr>
      <w:tr>
        <w:trPr>
          <w:cantSplit/>
        </w:trPr>
        <w:tc>
          <w:tcPr>
            <w:tcW w:type="dxa" w:w="2304"/>
            <w:vAlign w:val="center"/>
            <w:tcMar>
              <w:top w:w="95" w:type="dxa"/>
              <w:left w:w="95" w:type="dxa"/>
              <w:bottom w:w="95" w:type="dxa"/>
              <w:right w:w="95" w:type="dxa"/>
            </w:tcMar>
            <w:shd w:fill="F7F8FA"/>
          </w:tcPr>
          <w:p>
            <w:pPr>
              <w:spacing w:after="60" w:before="60" w:line="264" w:lineRule="auto"/>
            </w:pPr>
            <w:r>
              <w:rPr>
                <w:b w:val="0"/>
                <w:sz w:val="21"/>
              </w:rPr>
              <w:t>60%胜率 夏普 回撤</w:t>
            </w:r>
          </w:p>
        </w:tc>
        <w:tc>
          <w:tcPr>
            <w:tcW w:type="dxa" w:w="5976"/>
            <w:vAlign w:val="center"/>
            <w:tcMar>
              <w:top w:w="95" w:type="dxa"/>
              <w:left w:w="95" w:type="dxa"/>
              <w:bottom w:w="95" w:type="dxa"/>
              <w:right w:w="95" w:type="dxa"/>
            </w:tcMar>
            <w:shd w:fill="F7F8FA"/>
          </w:tcPr>
          <w:p>
            <w:pPr>
              <w:spacing w:after="60" w:before="60" w:line="264" w:lineRule="auto"/>
            </w:pPr>
            <w:r>
              <w:rPr>
                <w:b w:val="0"/>
                <w:sz w:val="21"/>
              </w:rPr>
              <w:t>改为本项目命中率、全部机会频率、校准、下界、连挂；未知赔率时不宣称利润</w:t>
            </w:r>
          </w:p>
        </w:tc>
        <w:tc>
          <w:tcPr>
            <w:tcW w:type="dxa" w:w="1944"/>
            <w:vAlign w:val="center"/>
            <w:tcMar>
              <w:top w:w="95" w:type="dxa"/>
              <w:left w:w="95" w:type="dxa"/>
              <w:bottom w:w="95" w:type="dxa"/>
              <w:right w:w="95" w:type="dxa"/>
            </w:tcMar>
            <w:shd w:fill="F7F8FA"/>
          </w:tcPr>
          <w:p>
            <w:pPr>
              <w:spacing w:after="60" w:before="60" w:line="264" w:lineRule="auto"/>
            </w:pPr>
            <w:r>
              <w:rPr>
                <w:b w:val="0"/>
                <w:sz w:val="21"/>
              </w:rPr>
              <w:t>R25 002</w:t>
            </w:r>
          </w:p>
        </w:tc>
      </w:tr>
      <w:tr>
        <w:trPr>
          <w:cantSplit/>
        </w:trPr>
        <w:tc>
          <w:tcPr>
            <w:tcW w:type="dxa" w:w="2304"/>
            <w:vAlign w:val="center"/>
            <w:tcMar>
              <w:top w:w="95" w:type="dxa"/>
              <w:left w:w="95" w:type="dxa"/>
              <w:bottom w:w="95" w:type="dxa"/>
              <w:right w:w="95" w:type="dxa"/>
            </w:tcMar>
            <w:shd w:fill="FFFFFF"/>
          </w:tcPr>
          <w:p>
            <w:pPr>
              <w:spacing w:after="60" w:before="60" w:line="264" w:lineRule="auto"/>
            </w:pPr>
            <w:r>
              <w:rPr>
                <w:b w:val="0"/>
                <w:sz w:val="21"/>
              </w:rPr>
              <w:t>遗传编程与架构搜索</w:t>
            </w:r>
          </w:p>
        </w:tc>
        <w:tc>
          <w:tcPr>
            <w:tcW w:type="dxa" w:w="5976"/>
            <w:vAlign w:val="center"/>
            <w:tcMar>
              <w:top w:w="95" w:type="dxa"/>
              <w:left w:w="95" w:type="dxa"/>
              <w:bottom w:w="95" w:type="dxa"/>
              <w:right w:w="95" w:type="dxa"/>
            </w:tcMar>
            <w:shd w:fill="FFFFFF"/>
          </w:tcPr>
          <w:p>
            <w:pPr>
              <w:spacing w:after="60" w:before="60" w:line="264" w:lineRule="auto"/>
            </w:pPr>
            <w:r>
              <w:rPr>
                <w:b w:val="0"/>
                <w:sz w:val="21"/>
              </w:rPr>
              <w:t>有类型DAG、语义去重、受预算约束的结构编辑、完整失败记录</w:t>
            </w:r>
          </w:p>
        </w:tc>
        <w:tc>
          <w:tcPr>
            <w:tcW w:type="dxa" w:w="1944"/>
            <w:vAlign w:val="center"/>
            <w:tcMar>
              <w:top w:w="95" w:type="dxa"/>
              <w:left w:w="95" w:type="dxa"/>
              <w:bottom w:w="95" w:type="dxa"/>
              <w:right w:w="95" w:type="dxa"/>
            </w:tcMar>
            <w:shd w:fill="FFFFFF"/>
          </w:tcPr>
          <w:p>
            <w:pPr>
              <w:spacing w:after="60" w:before="60" w:line="264" w:lineRule="auto"/>
            </w:pPr>
            <w:r>
              <w:rPr>
                <w:b w:val="0"/>
                <w:sz w:val="21"/>
              </w:rPr>
              <w:t>R25 009至013</w:t>
            </w:r>
          </w:p>
        </w:tc>
      </w:tr>
      <w:tr>
        <w:trPr>
          <w:cantSplit/>
        </w:trPr>
        <w:tc>
          <w:tcPr>
            <w:tcW w:type="dxa" w:w="2304"/>
            <w:vAlign w:val="center"/>
            <w:tcMar>
              <w:top w:w="95" w:type="dxa"/>
              <w:left w:w="95" w:type="dxa"/>
              <w:bottom w:w="95" w:type="dxa"/>
              <w:right w:w="95" w:type="dxa"/>
            </w:tcMar>
            <w:shd w:fill="F7F8FA"/>
          </w:tcPr>
          <w:p>
            <w:pPr>
              <w:spacing w:after="60" w:before="60" w:line="264" w:lineRule="auto"/>
            </w:pPr>
            <w:r>
              <w:rPr>
                <w:b w:val="0"/>
                <w:sz w:val="21"/>
              </w:rPr>
              <w:t>强化学习</w:t>
            </w:r>
          </w:p>
        </w:tc>
        <w:tc>
          <w:tcPr>
            <w:tcW w:type="dxa" w:w="5976"/>
            <w:vAlign w:val="center"/>
            <w:tcMar>
              <w:top w:w="95" w:type="dxa"/>
              <w:left w:w="95" w:type="dxa"/>
              <w:bottom w:w="95" w:type="dxa"/>
              <w:right w:w="95" w:type="dxa"/>
            </w:tcMar>
            <w:shd w:fill="F7F8FA"/>
          </w:tcPr>
          <w:p>
            <w:pPr>
              <w:spacing w:after="60" w:before="60" w:line="264" w:lineRule="auto"/>
            </w:pPr>
            <w:r>
              <w:rPr>
                <w:b w:val="0"/>
                <w:sz w:val="21"/>
              </w:rPr>
              <w:t>先用于研究计算任务分配；开奖不受本软件动作影响，不能虚构可干预开奖环境</w:t>
            </w:r>
          </w:p>
        </w:tc>
        <w:tc>
          <w:tcPr>
            <w:tcW w:type="dxa" w:w="1944"/>
            <w:vAlign w:val="center"/>
            <w:tcMar>
              <w:top w:w="95" w:type="dxa"/>
              <w:left w:w="95" w:type="dxa"/>
              <w:bottom w:w="95" w:type="dxa"/>
              <w:right w:w="95" w:type="dxa"/>
            </w:tcMar>
            <w:shd w:fill="F7F8FA"/>
          </w:tcPr>
          <w:p>
            <w:pPr>
              <w:spacing w:after="60" w:before="60" w:line="264" w:lineRule="auto"/>
            </w:pPr>
            <w:r>
              <w:rPr>
                <w:b w:val="0"/>
                <w:sz w:val="21"/>
              </w:rPr>
              <w:t>R25 012</w:t>
            </w:r>
          </w:p>
        </w:tc>
      </w:tr>
      <w:tr>
        <w:trPr>
          <w:cantSplit/>
        </w:trPr>
        <w:tc>
          <w:tcPr>
            <w:tcW w:type="dxa" w:w="2304"/>
            <w:vAlign w:val="center"/>
            <w:tcMar>
              <w:top w:w="95" w:type="dxa"/>
              <w:left w:w="95" w:type="dxa"/>
              <w:bottom w:w="95" w:type="dxa"/>
              <w:right w:w="95" w:type="dxa"/>
            </w:tcMar>
            <w:shd w:fill="FFFFFF"/>
          </w:tcPr>
          <w:p>
            <w:pPr>
              <w:spacing w:after="60" w:before="60" w:line="264" w:lineRule="auto"/>
            </w:pPr>
            <w:r>
              <w:rPr>
                <w:b w:val="0"/>
                <w:sz w:val="21"/>
              </w:rPr>
              <w:t>因果推断</w:t>
            </w:r>
          </w:p>
        </w:tc>
        <w:tc>
          <w:tcPr>
            <w:tcW w:type="dxa" w:w="5976"/>
            <w:vAlign w:val="center"/>
            <w:tcMar>
              <w:top w:w="95" w:type="dxa"/>
              <w:left w:w="95" w:type="dxa"/>
              <w:bottom w:w="95" w:type="dxa"/>
              <w:right w:w="95" w:type="dxa"/>
            </w:tcMar>
            <w:shd w:fill="FFFFFF"/>
          </w:tcPr>
          <w:p>
            <w:pPr>
              <w:spacing w:after="60" w:before="60" w:line="264" w:lineRule="auto"/>
            </w:pPr>
            <w:r>
              <w:rPr>
                <w:b w:val="0"/>
                <w:sz w:val="21"/>
              </w:rPr>
              <w:t>验证信息可见性、机制消融与跨段稳健性；causeKey仅为候选解释标识</w:t>
            </w:r>
          </w:p>
        </w:tc>
        <w:tc>
          <w:tcPr>
            <w:tcW w:type="dxa" w:w="1944"/>
            <w:vAlign w:val="center"/>
            <w:tcMar>
              <w:top w:w="95" w:type="dxa"/>
              <w:left w:w="95" w:type="dxa"/>
              <w:bottom w:w="95" w:type="dxa"/>
              <w:right w:w="95" w:type="dxa"/>
            </w:tcMar>
            <w:shd w:fill="FFFFFF"/>
          </w:tcPr>
          <w:p>
            <w:pPr>
              <w:spacing w:after="60" w:before="60" w:line="264" w:lineRule="auto"/>
            </w:pPr>
            <w:r>
              <w:rPr>
                <w:b w:val="0"/>
                <w:sz w:val="21"/>
              </w:rPr>
              <w:t>R25 007及011</w:t>
            </w:r>
          </w:p>
        </w:tc>
      </w:tr>
      <w:tr>
        <w:trPr>
          <w:cantSplit/>
        </w:trPr>
        <w:tc>
          <w:tcPr>
            <w:tcW w:type="dxa" w:w="2304"/>
            <w:vAlign w:val="center"/>
            <w:tcMar>
              <w:top w:w="95" w:type="dxa"/>
              <w:left w:w="95" w:type="dxa"/>
              <w:bottom w:w="95" w:type="dxa"/>
              <w:right w:w="95" w:type="dxa"/>
            </w:tcMar>
            <w:shd w:fill="F7F8FA"/>
          </w:tcPr>
          <w:p>
            <w:pPr>
              <w:spacing w:after="60" w:before="60" w:line="264" w:lineRule="auto"/>
            </w:pPr>
            <w:r>
              <w:rPr>
                <w:b w:val="0"/>
                <w:sz w:val="21"/>
              </w:rPr>
              <w:t>热更新与蓝绿部署</w:t>
            </w:r>
          </w:p>
        </w:tc>
        <w:tc>
          <w:tcPr>
            <w:tcW w:type="dxa" w:w="5976"/>
            <w:vAlign w:val="center"/>
            <w:tcMar>
              <w:top w:w="95" w:type="dxa"/>
              <w:left w:w="95" w:type="dxa"/>
              <w:bottom w:w="95" w:type="dxa"/>
              <w:right w:w="95" w:type="dxa"/>
            </w:tcMar>
            <w:shd w:fill="F7F8FA"/>
          </w:tcPr>
          <w:p>
            <w:pPr>
              <w:spacing w:after="60" w:before="60" w:line="264" w:lineRule="auto"/>
            </w:pPr>
            <w:r>
              <w:rPr>
                <w:b w:val="0"/>
                <w:sz w:val="21"/>
              </w:rPr>
              <w:t>受限模型数据包双槽发布；APK代码变更走签名安装；恢复旧模型前重新检查资格</w:t>
            </w:r>
          </w:p>
        </w:tc>
        <w:tc>
          <w:tcPr>
            <w:tcW w:type="dxa" w:w="1944"/>
            <w:vAlign w:val="center"/>
            <w:tcMar>
              <w:top w:w="95" w:type="dxa"/>
              <w:left w:w="95" w:type="dxa"/>
              <w:bottom w:w="95" w:type="dxa"/>
              <w:right w:w="95" w:type="dxa"/>
            </w:tcMar>
            <w:shd w:fill="F7F8FA"/>
          </w:tcPr>
          <w:p>
            <w:pPr>
              <w:spacing w:after="60" w:before="60" w:line="264" w:lineRule="auto"/>
            </w:pPr>
            <w:r>
              <w:rPr>
                <w:b w:val="0"/>
                <w:sz w:val="21"/>
              </w:rPr>
              <w:t>R25 019至021</w:t>
            </w:r>
          </w:p>
        </w:tc>
      </w:tr>
      <w:tr>
        <w:trPr>
          <w:cantSplit/>
        </w:trPr>
        <w:tc>
          <w:tcPr>
            <w:tcW w:type="dxa" w:w="2304"/>
            <w:vAlign w:val="center"/>
            <w:tcMar>
              <w:top w:w="95" w:type="dxa"/>
              <w:left w:w="95" w:type="dxa"/>
              <w:bottom w:w="95" w:type="dxa"/>
              <w:right w:w="95" w:type="dxa"/>
            </w:tcMar>
            <w:shd w:fill="FFFFFF"/>
          </w:tcPr>
          <w:p>
            <w:pPr>
              <w:spacing w:after="60" w:before="60" w:line="264" w:lineRule="auto"/>
            </w:pPr>
            <w:r>
              <w:rPr>
                <w:b w:val="0"/>
                <w:sz w:val="21"/>
              </w:rPr>
              <w:t>GPU集群与分布式存储</w:t>
            </w:r>
          </w:p>
        </w:tc>
        <w:tc>
          <w:tcPr>
            <w:tcW w:type="dxa" w:w="5976"/>
            <w:vAlign w:val="center"/>
            <w:tcMar>
              <w:top w:w="95" w:type="dxa"/>
              <w:left w:w="95" w:type="dxa"/>
              <w:bottom w:w="95" w:type="dxa"/>
              <w:right w:w="95" w:type="dxa"/>
            </w:tcMar>
            <w:shd w:fill="FFFFFF"/>
          </w:tcPr>
          <w:p>
            <w:pPr>
              <w:spacing w:after="60" w:before="60" w:line="264" w:lineRule="auto"/>
            </w:pPr>
            <w:r>
              <w:rPr>
                <w:b w:val="0"/>
                <w:sz w:val="21"/>
              </w:rPr>
              <w:t>手机CPU为默认路径，主机训练可选；先量测再决定是否需要GPU</w:t>
            </w:r>
          </w:p>
        </w:tc>
        <w:tc>
          <w:tcPr>
            <w:tcW w:type="dxa" w:w="1944"/>
            <w:vAlign w:val="center"/>
            <w:tcMar>
              <w:top w:w="95" w:type="dxa"/>
              <w:left w:w="95" w:type="dxa"/>
              <w:bottom w:w="95" w:type="dxa"/>
              <w:right w:w="95" w:type="dxa"/>
            </w:tcMar>
            <w:shd w:fill="FFFFFF"/>
          </w:tcPr>
          <w:p>
            <w:pPr>
              <w:spacing w:after="60" w:before="60" w:line="264" w:lineRule="auto"/>
            </w:pPr>
            <w:r>
              <w:rPr>
                <w:b w:val="0"/>
                <w:sz w:val="21"/>
              </w:rPr>
              <w:t>R25 029</w:t>
            </w:r>
          </w:p>
        </w:tc>
      </w:tr>
      <w:tr>
        <w:trPr>
          <w:cantSplit/>
        </w:trPr>
        <w:tc>
          <w:tcPr>
            <w:tcW w:type="dxa" w:w="2304"/>
            <w:vAlign w:val="center"/>
            <w:tcMar>
              <w:top w:w="95" w:type="dxa"/>
              <w:left w:w="95" w:type="dxa"/>
              <w:bottom w:w="95" w:type="dxa"/>
              <w:right w:w="95" w:type="dxa"/>
            </w:tcMar>
            <w:shd w:fill="F7F8FA"/>
          </w:tcPr>
          <w:p>
            <w:pPr>
              <w:spacing w:after="60" w:before="60" w:line="264" w:lineRule="auto"/>
            </w:pPr>
            <w:r>
              <w:rPr>
                <w:b w:val="0"/>
                <w:sz w:val="21"/>
              </w:rPr>
              <w:t>SLO SLA</w:t>
            </w:r>
          </w:p>
        </w:tc>
        <w:tc>
          <w:tcPr>
            <w:tcW w:type="dxa" w:w="5976"/>
            <w:vAlign w:val="center"/>
            <w:tcMar>
              <w:top w:w="95" w:type="dxa"/>
              <w:left w:w="95" w:type="dxa"/>
              <w:bottom w:w="95" w:type="dxa"/>
              <w:right w:w="95" w:type="dxa"/>
            </w:tcMar>
            <w:shd w:fill="F7F8FA"/>
          </w:tcPr>
          <w:p>
            <w:pPr>
              <w:spacing w:after="60" w:before="60" w:line="264" w:lineRule="auto"/>
            </w:pPr>
            <w:r>
              <w:rPr>
                <w:b w:val="0"/>
                <w:sz w:val="21"/>
              </w:rPr>
              <w:t>先约定可量测工程目标；不把小于5%误判率冒充K3预测能力</w:t>
            </w:r>
          </w:p>
        </w:tc>
        <w:tc>
          <w:tcPr>
            <w:tcW w:type="dxa" w:w="1944"/>
            <w:vAlign w:val="center"/>
            <w:tcMar>
              <w:top w:w="95" w:type="dxa"/>
              <w:left w:w="95" w:type="dxa"/>
              <w:bottom w:w="95" w:type="dxa"/>
              <w:right w:w="95" w:type="dxa"/>
            </w:tcMar>
            <w:shd w:fill="F7F8FA"/>
          </w:tcPr>
          <w:p>
            <w:pPr>
              <w:spacing w:after="60" w:before="60" w:line="264" w:lineRule="auto"/>
            </w:pPr>
            <w:r>
              <w:rPr>
                <w:b w:val="0"/>
                <w:sz w:val="21"/>
              </w:rPr>
              <w:t>R25 025至027</w:t>
            </w:r>
          </w:p>
        </w:tc>
      </w:tr>
    </w:tbl>
    <w:p>
      <w:pPr>
        <w:spacing w:after="20" w:before="0"/>
      </w:pPr>
    </w:p>
    <w:p>
      <w:pPr>
        <w:widowControl/>
      </w:pPr>
      <w:r>
        <w:t>逐项38主题映射在研究融合表中，给出采用、改写或延期理由。没有原始资料支持的IBM引用不沿用为事实依据；方法引用改为实际查阅的官方文档和原始论文。</w:t>
      </w:r>
    </w:p>
    <w:p>
      <w:pPr>
        <w:pStyle w:val="Heading1"/>
      </w:pPr>
      <w:r>
        <w:t>3 目标定义与统计口径</w:t>
      </w:r>
    </w:p>
    <w:p>
      <w:pPr>
        <w:widowControl/>
      </w:pPr>
      <w:r>
        <w:t>本期在位置p选三元集合S，命中变量h等于开奖结果Y在该位置属于S。命中率为已结算出手的命中数除以已结算出手数。开奖未知为PENDING，不等于输，也不等于赢。K3概率来自同一位置三个互斥号码边际概率之和，不能把三个命中概率按独立事件相乘。</w:t>
      </w:r>
    </w:p>
    <w:p>
      <w:pPr>
        <w:widowControl/>
      </w:pPr>
      <w:r>
        <w:t>全部机会分母是运行会话预先登记的应处理目标期数N_all。合法数据分母N_valid另列；晚到、断网、无历史、冻结超时等不得从N_all静默删除。历史导入不补登记为实时机会。频率以已冻结ACT数除以相应机会数；命中率仅用已结算ACT，并同时显示待结算数量。研究影子ACT与正式REAL分别统计，不能互相替代。</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888"/>
        <w:gridCol w:w="4608"/>
      </w:tblGrid>
      <w:tr>
        <w:trPr>
          <w:cantSplit/>
          <w:tblHeader/>
        </w:trPr>
        <w:tc>
          <w:tcPr>
            <w:tcW w:type="dxa" w:w="1728"/>
            <w:vAlign w:val="center"/>
            <w:tcMar>
              <w:top w:w="95" w:type="dxa"/>
              <w:left w:w="95" w:type="dxa"/>
              <w:bottom w:w="95" w:type="dxa"/>
              <w:right w:w="95" w:type="dxa"/>
            </w:tcMar>
            <w:shd w:fill="E9EEF3"/>
          </w:tcPr>
          <w:p>
            <w:pPr>
              <w:spacing w:after="60" w:before="60" w:line="264" w:lineRule="auto"/>
            </w:pPr>
            <w:r>
              <w:rPr>
                <w:b/>
                <w:sz w:val="21"/>
              </w:rPr>
              <w:t>指标</w:t>
            </w:r>
          </w:p>
        </w:tc>
        <w:tc>
          <w:tcPr>
            <w:tcW w:type="dxa" w:w="3888"/>
            <w:vAlign w:val="center"/>
            <w:tcMar>
              <w:top w:w="95" w:type="dxa"/>
              <w:left w:w="95" w:type="dxa"/>
              <w:bottom w:w="95" w:type="dxa"/>
              <w:right w:w="95" w:type="dxa"/>
            </w:tcMar>
            <w:shd w:fill="E9EEF3"/>
          </w:tcPr>
          <w:p>
            <w:pPr>
              <w:spacing w:after="60" w:before="60" w:line="264" w:lineRule="auto"/>
            </w:pPr>
            <w:r>
              <w:rPr>
                <w:b/>
                <w:sz w:val="21"/>
              </w:rPr>
              <w:t>目标或规则</w:t>
            </w:r>
          </w:p>
        </w:tc>
        <w:tc>
          <w:tcPr>
            <w:tcW w:type="dxa" w:w="4608"/>
            <w:vAlign w:val="center"/>
            <w:tcMar>
              <w:top w:w="95" w:type="dxa"/>
              <w:left w:w="95" w:type="dxa"/>
              <w:bottom w:w="95" w:type="dxa"/>
              <w:right w:w="95" w:type="dxa"/>
            </w:tcMar>
            <w:shd w:fill="E9EEF3"/>
          </w:tcPr>
          <w:p>
            <w:pPr>
              <w:spacing w:after="60" w:before="60" w:line="264" w:lineRule="auto"/>
            </w:pPr>
            <w:r>
              <w:rPr>
                <w:b/>
                <w:sz w:val="21"/>
              </w:rPr>
              <w:t>验收含义</w:t>
            </w:r>
          </w:p>
        </w:tc>
      </w:tr>
      <w:tr>
        <w:trPr>
          <w:cantSplit/>
        </w:trPr>
        <w:tc>
          <w:tcPr>
            <w:tcW w:type="dxa" w:w="1728"/>
            <w:vAlign w:val="center"/>
            <w:tcMar>
              <w:top w:w="95" w:type="dxa"/>
              <w:left w:w="95" w:type="dxa"/>
              <w:bottom w:w="95" w:type="dxa"/>
              <w:right w:w="95" w:type="dxa"/>
            </w:tcMar>
            <w:shd w:fill="FFFFFF"/>
          </w:tcPr>
          <w:p>
            <w:pPr>
              <w:spacing w:after="60" w:before="60" w:line="264" w:lineRule="auto"/>
            </w:pPr>
            <w:r>
              <w:rPr>
                <w:b w:val="0"/>
                <w:sz w:val="21"/>
              </w:rPr>
              <w:t>真实出手频率</w:t>
            </w:r>
          </w:p>
        </w:tc>
        <w:tc>
          <w:tcPr>
            <w:tcW w:type="dxa" w:w="3888"/>
            <w:vAlign w:val="center"/>
            <w:tcMar>
              <w:top w:w="95" w:type="dxa"/>
              <w:left w:w="95" w:type="dxa"/>
              <w:bottom w:w="95" w:type="dxa"/>
              <w:right w:w="95" w:type="dxa"/>
            </w:tcMar>
            <w:shd w:fill="FFFFFF"/>
          </w:tcPr>
          <w:p>
            <w:pPr>
              <w:spacing w:after="60" w:before="60" w:line="264" w:lineRule="auto"/>
            </w:pPr>
            <w:r>
              <w:rPr>
                <w:b w:val="0"/>
                <w:sz w:val="21"/>
              </w:rPr>
              <w:t>约15%起，不设15%上限</w:t>
            </w:r>
          </w:p>
        </w:tc>
        <w:tc>
          <w:tcPr>
            <w:tcW w:type="dxa" w:w="4608"/>
            <w:vAlign w:val="center"/>
            <w:tcMar>
              <w:top w:w="95" w:type="dxa"/>
              <w:left w:w="95" w:type="dxa"/>
              <w:bottom w:w="95" w:type="dxa"/>
              <w:right w:w="95" w:type="dxa"/>
            </w:tcMar>
            <w:shd w:fill="FFFFFF"/>
          </w:tcPr>
          <w:p>
            <w:pPr>
              <w:spacing w:after="60" w:before="60" w:line="264" w:lineRule="auto"/>
            </w:pPr>
            <w:r>
              <w:rPr>
                <w:b w:val="0"/>
                <w:sz w:val="21"/>
              </w:rPr>
              <w:t>同时满足质量；禁止频率欠账补单</w:t>
            </w:r>
          </w:p>
        </w:tc>
      </w:tr>
      <w:tr>
        <w:trPr>
          <w:cantSplit/>
        </w:trPr>
        <w:tc>
          <w:tcPr>
            <w:tcW w:type="dxa" w:w="1728"/>
            <w:vAlign w:val="center"/>
            <w:tcMar>
              <w:top w:w="95" w:type="dxa"/>
              <w:left w:w="95" w:type="dxa"/>
              <w:bottom w:w="95" w:type="dxa"/>
              <w:right w:w="95" w:type="dxa"/>
            </w:tcMar>
            <w:shd w:fill="F7F8FA"/>
          </w:tcPr>
          <w:p>
            <w:pPr>
              <w:spacing w:after="60" w:before="60" w:line="264" w:lineRule="auto"/>
            </w:pPr>
            <w:r>
              <w:rPr>
                <w:b w:val="0"/>
                <w:sz w:val="21"/>
              </w:rPr>
              <w:t>初阶质量</w:t>
            </w:r>
          </w:p>
        </w:tc>
        <w:tc>
          <w:tcPr>
            <w:tcW w:type="dxa" w:w="3888"/>
            <w:vAlign w:val="center"/>
            <w:tcMar>
              <w:top w:w="95" w:type="dxa"/>
              <w:left w:w="95" w:type="dxa"/>
              <w:bottom w:w="95" w:type="dxa"/>
              <w:right w:w="95" w:type="dxa"/>
            </w:tcMar>
            <w:shd w:fill="F7F8FA"/>
          </w:tcPr>
          <w:p>
            <w:pPr>
              <w:spacing w:after="60" w:before="60" w:line="264" w:lineRule="auto"/>
            </w:pPr>
            <w:r>
              <w:rPr>
                <w:b w:val="0"/>
                <w:sz w:val="21"/>
              </w:rPr>
              <w:t>点估计至少35%</w:t>
            </w:r>
          </w:p>
        </w:tc>
        <w:tc>
          <w:tcPr>
            <w:tcW w:type="dxa" w:w="4608"/>
            <w:vAlign w:val="center"/>
            <w:tcMar>
              <w:top w:w="95" w:type="dxa"/>
              <w:left w:w="95" w:type="dxa"/>
              <w:bottom w:w="95" w:type="dxa"/>
              <w:right w:w="95" w:type="dxa"/>
            </w:tcMar>
            <w:shd w:fill="F7F8FA"/>
          </w:tcPr>
          <w:p>
            <w:pPr>
              <w:spacing w:after="60" w:before="60" w:line="264" w:lineRule="auto"/>
            </w:pPr>
            <w:r>
              <w:rPr>
                <w:b w:val="0"/>
                <w:sz w:val="21"/>
              </w:rPr>
              <w:t>还须独立证据、校准、稳定及下界条件</w:t>
            </w:r>
          </w:p>
        </w:tc>
      </w:tr>
      <w:tr>
        <w:trPr>
          <w:cantSplit/>
        </w:trPr>
        <w:tc>
          <w:tcPr>
            <w:tcW w:type="dxa" w:w="1728"/>
            <w:vAlign w:val="center"/>
            <w:tcMar>
              <w:top w:w="95" w:type="dxa"/>
              <w:left w:w="95" w:type="dxa"/>
              <w:bottom w:w="95" w:type="dxa"/>
              <w:right w:w="95" w:type="dxa"/>
            </w:tcMar>
            <w:shd w:fill="FFFFFF"/>
          </w:tcPr>
          <w:p>
            <w:pPr>
              <w:spacing w:after="60" w:before="60" w:line="264" w:lineRule="auto"/>
            </w:pPr>
            <w:r>
              <w:rPr>
                <w:b w:val="0"/>
                <w:sz w:val="21"/>
              </w:rPr>
              <w:t>更高质量</w:t>
            </w:r>
          </w:p>
        </w:tc>
        <w:tc>
          <w:tcPr>
            <w:tcW w:type="dxa" w:w="3888"/>
            <w:vAlign w:val="center"/>
            <w:tcMar>
              <w:top w:w="95" w:type="dxa"/>
              <w:left w:w="95" w:type="dxa"/>
              <w:bottom w:w="95" w:type="dxa"/>
              <w:right w:w="95" w:type="dxa"/>
            </w:tcMar>
            <w:shd w:fill="FFFFFF"/>
          </w:tcPr>
          <w:p>
            <w:pPr>
              <w:spacing w:after="60" w:before="60" w:line="264" w:lineRule="auto"/>
            </w:pPr>
            <w:r>
              <w:rPr>
                <w:b w:val="0"/>
                <w:sz w:val="21"/>
              </w:rPr>
              <w:t>37%扩展适用，40%优先</w:t>
            </w:r>
          </w:p>
        </w:tc>
        <w:tc>
          <w:tcPr>
            <w:tcW w:type="dxa" w:w="4608"/>
            <w:vAlign w:val="center"/>
            <w:tcMar>
              <w:top w:w="95" w:type="dxa"/>
              <w:left w:w="95" w:type="dxa"/>
              <w:bottom w:w="95" w:type="dxa"/>
              <w:right w:w="95" w:type="dxa"/>
            </w:tcMar>
            <w:shd w:fill="FFFFFF"/>
          </w:tcPr>
          <w:p>
            <w:pPr>
              <w:spacing w:after="60" w:before="60" w:line="264" w:lineRule="auto"/>
            </w:pPr>
            <w:r>
              <w:rPr>
                <w:b w:val="0"/>
                <w:sz w:val="21"/>
              </w:rPr>
              <w:t>同样的比较协议，不缩小分母</w:t>
            </w:r>
          </w:p>
        </w:tc>
      </w:tr>
      <w:tr>
        <w:trPr>
          <w:cantSplit/>
        </w:trPr>
        <w:tc>
          <w:tcPr>
            <w:tcW w:type="dxa" w:w="1728"/>
            <w:vAlign w:val="center"/>
            <w:tcMar>
              <w:top w:w="95" w:type="dxa"/>
              <w:left w:w="95" w:type="dxa"/>
              <w:bottom w:w="95" w:type="dxa"/>
              <w:right w:w="95" w:type="dxa"/>
            </w:tcMar>
            <w:shd w:fill="F7F8FA"/>
          </w:tcPr>
          <w:p>
            <w:pPr>
              <w:spacing w:after="60" w:before="60" w:line="264" w:lineRule="auto"/>
            </w:pPr>
            <w:r>
              <w:rPr>
                <w:b w:val="0"/>
                <w:sz w:val="21"/>
              </w:rPr>
              <w:t>最低动作证据</w:t>
            </w:r>
          </w:p>
        </w:tc>
        <w:tc>
          <w:tcPr>
            <w:tcW w:type="dxa" w:w="3888"/>
            <w:vAlign w:val="center"/>
            <w:tcMar>
              <w:top w:w="95" w:type="dxa"/>
              <w:left w:w="95" w:type="dxa"/>
              <w:bottom w:w="95" w:type="dxa"/>
              <w:right w:w="95" w:type="dxa"/>
            </w:tcMar>
            <w:shd w:fill="F7F8FA"/>
          </w:tcPr>
          <w:p>
            <w:pPr>
              <w:spacing w:after="60" w:before="60" w:line="264" w:lineRule="auto"/>
            </w:pPr>
            <w:r>
              <w:rPr>
                <w:b w:val="0"/>
                <w:sz w:val="21"/>
              </w:rPr>
              <w:t>至少250次</w:t>
            </w:r>
          </w:p>
        </w:tc>
        <w:tc>
          <w:tcPr>
            <w:tcW w:type="dxa" w:w="4608"/>
            <w:vAlign w:val="center"/>
            <w:tcMar>
              <w:top w:w="95" w:type="dxa"/>
              <w:left w:w="95" w:type="dxa"/>
              <w:bottom w:w="95" w:type="dxa"/>
              <w:right w:w="95" w:type="dxa"/>
            </w:tcMar>
            <w:shd w:fill="F7F8FA"/>
          </w:tcPr>
          <w:p>
            <w:pPr>
              <w:spacing w:after="60" w:before="60" w:line="264" w:lineRule="auto"/>
            </w:pPr>
            <w:r>
              <w:rPr>
                <w:b w:val="0"/>
                <w:sz w:val="21"/>
              </w:rPr>
              <w:t>是起始门槛，远非必然足够</w:t>
            </w:r>
          </w:p>
        </w:tc>
      </w:tr>
      <w:tr>
        <w:trPr>
          <w:cantSplit/>
        </w:trPr>
        <w:tc>
          <w:tcPr>
            <w:tcW w:type="dxa" w:w="1728"/>
            <w:vAlign w:val="center"/>
            <w:tcMar>
              <w:top w:w="95" w:type="dxa"/>
              <w:left w:w="95" w:type="dxa"/>
              <w:bottom w:w="95" w:type="dxa"/>
              <w:right w:w="95" w:type="dxa"/>
            </w:tcMar>
            <w:shd w:fill="FFFFFF"/>
          </w:tcPr>
          <w:p>
            <w:pPr>
              <w:spacing w:after="60" w:before="60" w:line="264" w:lineRule="auto"/>
            </w:pPr>
            <w:r>
              <w:rPr>
                <w:b w:val="0"/>
                <w:sz w:val="21"/>
              </w:rPr>
              <w:t>覆盖观察窗</w:t>
            </w:r>
          </w:p>
        </w:tc>
        <w:tc>
          <w:tcPr>
            <w:tcW w:type="dxa" w:w="3888"/>
            <w:vAlign w:val="center"/>
            <w:tcMar>
              <w:top w:w="95" w:type="dxa"/>
              <w:left w:w="95" w:type="dxa"/>
              <w:bottom w:w="95" w:type="dxa"/>
              <w:right w:w="95" w:type="dxa"/>
            </w:tcMar>
            <w:shd w:fill="FFFFFF"/>
          </w:tcPr>
          <w:p>
            <w:pPr>
              <w:spacing w:after="60" w:before="60" w:line="264" w:lineRule="auto"/>
            </w:pPr>
            <w:r>
              <w:rPr>
                <w:b w:val="0"/>
                <w:sz w:val="21"/>
              </w:rPr>
              <w:t>推荐固定2000个机会起</w:t>
            </w:r>
          </w:p>
        </w:tc>
        <w:tc>
          <w:tcPr>
            <w:tcW w:type="dxa" w:w="4608"/>
            <w:vAlign w:val="center"/>
            <w:tcMar>
              <w:top w:w="95" w:type="dxa"/>
              <w:left w:w="95" w:type="dxa"/>
              <w:bottom w:w="95" w:type="dxa"/>
              <w:right w:w="95" w:type="dxa"/>
            </w:tcMar>
            <w:shd w:fill="FFFFFF"/>
          </w:tcPr>
          <w:p>
            <w:pPr>
              <w:spacing w:after="60" w:before="60" w:line="264" w:lineRule="auto"/>
            </w:pPr>
            <w:r>
              <w:rPr>
                <w:b w:val="0"/>
                <w:sz w:val="21"/>
              </w:rPr>
              <w:t>15%对应300次；1667期只有理论约250次，不当硬性保证</w:t>
            </w:r>
          </w:p>
        </w:tc>
      </w:tr>
      <w:tr>
        <w:trPr>
          <w:cantSplit/>
        </w:trPr>
        <w:tc>
          <w:tcPr>
            <w:tcW w:type="dxa" w:w="1728"/>
            <w:vAlign w:val="center"/>
            <w:tcMar>
              <w:top w:w="95" w:type="dxa"/>
              <w:left w:w="95" w:type="dxa"/>
              <w:bottom w:w="95" w:type="dxa"/>
              <w:right w:w="95" w:type="dxa"/>
            </w:tcMar>
            <w:shd w:fill="F7F8FA"/>
          </w:tcPr>
          <w:p>
            <w:pPr>
              <w:spacing w:after="60" w:before="60" w:line="264" w:lineRule="auto"/>
            </w:pPr>
            <w:r>
              <w:rPr>
                <w:b w:val="0"/>
                <w:sz w:val="21"/>
              </w:rPr>
              <w:t>连挂</w:t>
            </w:r>
          </w:p>
        </w:tc>
        <w:tc>
          <w:tcPr>
            <w:tcW w:type="dxa" w:w="3888"/>
            <w:vAlign w:val="center"/>
            <w:tcMar>
              <w:top w:w="95" w:type="dxa"/>
              <w:left w:w="95" w:type="dxa"/>
              <w:bottom w:w="95" w:type="dxa"/>
              <w:right w:w="95" w:type="dxa"/>
            </w:tcMar>
            <w:shd w:fill="F7F8FA"/>
          </w:tcPr>
          <w:p>
            <w:pPr>
              <w:spacing w:after="60" w:before="60" w:line="264" w:lineRule="auto"/>
            </w:pPr>
            <w:r>
              <w:rPr>
                <w:b w:val="0"/>
                <w:sz w:val="21"/>
              </w:rPr>
              <w:t>预注册窗口最长不超过6为目标</w:t>
            </w:r>
          </w:p>
        </w:tc>
        <w:tc>
          <w:tcPr>
            <w:tcW w:type="dxa" w:w="4608"/>
            <w:vAlign w:val="center"/>
            <w:tcMar>
              <w:top w:w="95" w:type="dxa"/>
              <w:left w:w="95" w:type="dxa"/>
              <w:bottom w:w="95" w:type="dxa"/>
              <w:right w:w="95" w:type="dxa"/>
            </w:tcMar>
            <w:shd w:fill="F7F8FA"/>
          </w:tcPr>
          <w:p>
            <w:pPr>
              <w:spacing w:after="60" w:before="60" w:line="264" w:lineRule="auto"/>
            </w:pPr>
            <w:r>
              <w:rPr>
                <w:b w:val="0"/>
                <w:sz w:val="21"/>
              </w:rPr>
              <w:t>第7次失误暂停REAL并留痕；跨停手和换策略不清零</w:t>
            </w:r>
          </w:p>
        </w:tc>
      </w:tr>
      <w:tr>
        <w:trPr>
          <w:cantSplit/>
        </w:trPr>
        <w:tc>
          <w:tcPr>
            <w:tcW w:type="dxa" w:w="1728"/>
            <w:vAlign w:val="center"/>
            <w:tcMar>
              <w:top w:w="95" w:type="dxa"/>
              <w:left w:w="95" w:type="dxa"/>
              <w:bottom w:w="95" w:type="dxa"/>
              <w:right w:w="95" w:type="dxa"/>
            </w:tcMar>
            <w:shd w:fill="FFFFFF"/>
          </w:tcPr>
          <w:p>
            <w:pPr>
              <w:spacing w:after="60" w:before="60" w:line="264" w:lineRule="auto"/>
            </w:pPr>
            <w:r>
              <w:rPr>
                <w:b w:val="0"/>
                <w:sz w:val="21"/>
              </w:rPr>
              <w:t>质量下界</w:t>
            </w:r>
          </w:p>
        </w:tc>
        <w:tc>
          <w:tcPr>
            <w:tcW w:type="dxa" w:w="3888"/>
            <w:vAlign w:val="center"/>
            <w:tcMar>
              <w:top w:w="95" w:type="dxa"/>
              <w:left w:w="95" w:type="dxa"/>
              <w:bottom w:w="95" w:type="dxa"/>
              <w:right w:w="95" w:type="dxa"/>
            </w:tcMar>
            <w:shd w:fill="FFFFFF"/>
          </w:tcPr>
          <w:p>
            <w:pPr>
              <w:spacing w:after="60" w:before="60" w:line="264" w:lineRule="auto"/>
            </w:pPr>
            <w:r>
              <w:rPr>
                <w:b w:val="0"/>
                <w:sz w:val="21"/>
              </w:rPr>
              <w:t>方法与假设明确，超过声明基准</w:t>
            </w:r>
          </w:p>
        </w:tc>
        <w:tc>
          <w:tcPr>
            <w:tcW w:type="dxa" w:w="4608"/>
            <w:vAlign w:val="center"/>
            <w:tcMar>
              <w:top w:w="95" w:type="dxa"/>
              <w:left w:w="95" w:type="dxa"/>
              <w:bottom w:w="95" w:type="dxa"/>
              <w:right w:w="95" w:type="dxa"/>
            </w:tcMar>
            <w:shd w:fill="FFFFFF"/>
          </w:tcPr>
          <w:p>
            <w:pPr>
              <w:spacing w:after="60" w:before="60" w:line="264" w:lineRule="auto"/>
            </w:pPr>
            <w:r>
              <w:rPr>
                <w:b w:val="0"/>
                <w:sz w:val="21"/>
              </w:rPr>
              <w:t>下界超过30%不等于已证明真实命中率至少35%</w:t>
            </w:r>
          </w:p>
        </w:tc>
      </w:tr>
      <w:tr>
        <w:trPr>
          <w:cantSplit/>
        </w:trPr>
        <w:tc>
          <w:tcPr>
            <w:tcW w:type="dxa" w:w="1728"/>
            <w:vAlign w:val="center"/>
            <w:tcMar>
              <w:top w:w="95" w:type="dxa"/>
              <w:left w:w="95" w:type="dxa"/>
              <w:bottom w:w="95" w:type="dxa"/>
              <w:right w:w="95" w:type="dxa"/>
            </w:tcMar>
            <w:shd w:fill="F7F8FA"/>
          </w:tcPr>
          <w:p>
            <w:pPr>
              <w:spacing w:after="60" w:before="60" w:line="264" w:lineRule="auto"/>
            </w:pPr>
            <w:r>
              <w:rPr>
                <w:b w:val="0"/>
                <w:sz w:val="21"/>
              </w:rPr>
              <w:t>校准</w:t>
            </w:r>
          </w:p>
        </w:tc>
        <w:tc>
          <w:tcPr>
            <w:tcW w:type="dxa" w:w="3888"/>
            <w:vAlign w:val="center"/>
            <w:tcMar>
              <w:top w:w="95" w:type="dxa"/>
              <w:left w:w="95" w:type="dxa"/>
              <w:bottom w:w="95" w:type="dxa"/>
              <w:right w:w="95" w:type="dxa"/>
            </w:tcMar>
            <w:shd w:fill="F7F8FA"/>
          </w:tcPr>
          <w:p>
            <w:pPr>
              <w:spacing w:after="60" w:before="60" w:line="264" w:lineRule="auto"/>
            </w:pPr>
            <w:r>
              <w:rPr>
                <w:b w:val="0"/>
                <w:sz w:val="21"/>
              </w:rPr>
              <w:t>原0.04 ECE目标保留，补分箱样本与不确定性</w:t>
            </w:r>
          </w:p>
        </w:tc>
        <w:tc>
          <w:tcPr>
            <w:tcW w:type="dxa" w:w="4608"/>
            <w:vAlign w:val="center"/>
            <w:tcMar>
              <w:top w:w="95" w:type="dxa"/>
              <w:left w:w="95" w:type="dxa"/>
              <w:bottom w:w="95" w:type="dxa"/>
              <w:right w:w="95" w:type="dxa"/>
            </w:tcMar>
            <w:shd w:fill="F7F8FA"/>
          </w:tcPr>
          <w:p>
            <w:pPr>
              <w:spacing w:after="60" w:before="60" w:line="264" w:lineRule="auto"/>
            </w:pPr>
            <w:r>
              <w:rPr>
                <w:b w:val="0"/>
                <w:sz w:val="21"/>
              </w:rPr>
              <w:t>不因小样本单一ECE点值自动授证</w:t>
            </w:r>
          </w:p>
        </w:tc>
      </w:tr>
    </w:tbl>
    <w:p>
      <w:pPr>
        <w:spacing w:after="20" w:before="0"/>
      </w:pPr>
    </w:p>
    <w:p>
      <w:pPr>
        <w:widowControl/>
      </w:pPr>
      <w:r>
        <w:t>条件均匀开奖下，固定位置K3参考命中概率是30%。该值用于比较，不预先否定旧策略可能存在的可利用信息。旧策略与新策略都按同一原执行器复现、冻结和前瞻协议评价。35%或40%是待实现的目标，不是可以由方案文字保证的结果。</w:t>
      </w:r>
    </w:p>
    <w:p>
      <w:pPr>
        <w:widowControl/>
      </w:pPr>
      <w:r>
        <w:t>稳定性同时记录全局REAL动作链、每政策链、每状态链的当前及最长连挂。缺少结果的链给出上下界或INCOMPLETE，不跨未知段冒称连续已知。有限窗口最多6连挂不等于未来永不7连挂。结构停用后仍记录如果继续影子运行的结果，防止靠暂停隐藏退化。</w:t>
      </w:r>
    </w:p>
    <w:p>
      <w:pPr>
        <w:pStyle w:val="Heading1"/>
      </w:pPr>
      <w:r>
        <w:t>4 先修复真实阻断点</w:t>
      </w:r>
    </w:p>
    <w:p>
      <w:pPr>
        <w:widowControl/>
      </w:pPr>
      <w:r>
        <w:t>ReplayBurstSchedulerSU1.schedule明确设置充电、空闲和15分钟周期；ReplayBurstJobServiceSU1在压力分支提前return，SU2初始化位于该Job内。这支持“轻初始化与反馈可能被重任务调度条件饿死”的风险判断，不足以单凭源码断言现场全部停顿的唯一原因。</w:t>
      </w:r>
    </w:p>
    <w:p>
      <w:pPr>
        <w:widowControl/>
      </w:pPr>
      <w:r>
        <w:t>新增SchemaFeedbackPumpR25，接启动后、每期结算Outbox和已有服务心跳的工作线程。它只执行有界迁移、反馈记账、证书状态检查；不充电也推进。重训练继续由现有Job调度加速。每个让出点记录阻断Owner、租约、同游标次数和下一尝试条件。失效租约需fencing token，过期工作者即使恢复也不能写入。</w:t>
      </w:r>
    </w:p>
    <w:p>
      <w:pPr>
        <w:widowControl/>
      </w:pPr>
      <w:r>
        <w:t>ModelFoundryJobSU2.slice每次capture最新frame，随后整代campaign运行；名人堂和非r14的tier打分仍发生在写事务回调里。本包给出窄补丁，将这两类评分在事务前物化。它不能解决整代不可中断、快照漂移或全部内存预算，后者必须继续由R24 005至008与R25 004、008解决。</w:t>
      </w:r>
    </w:p>
    <w:p>
      <w:pPr>
        <w:widowControl/>
      </w:pPr>
      <w:r>
        <w:t>报告记录主线程在租约SharedPreferences.commit上停顿4.82秒；改为工作线程持久化和内存只读快照，关键租约交接仍要确保持久化完成后生效。不能只把commit机械替换成apply就宣称解决所有一致性问题。新增超时、进程杀死、持有者复活的对抗用例。</w:t>
      </w:r>
    </w:p>
    <w:p>
      <w:pPr>
        <w:pStyle w:val="Heading1"/>
      </w:pPr>
      <w:r>
        <w:t>5 运行架构与唯一写入权</w:t>
      </w:r>
    </w:p>
    <w:p>
      <w:pPr>
        <w:widowControl/>
      </w:pPr>
      <w:r>
        <w:t>主链固定为抓取、验证、原始落库、正式结算、赛前观察回写、反馈Outbox、下一目标解析、不可变输入、读已发布模型、推理、唯一Gate授权、原子冻结。完整解释、100号码面、1200动作与七层漏斗从冻结payload异步续写，禁止开奖后重新推理再补成赛前证据。</w:t>
      </w:r>
    </w:p>
    <w:p>
      <w:pPr>
        <w:widowControl/>
      </w:pPr>
      <w:r>
        <w:t>DecisionGateEngine仍是唯一REAL授权入口，SettlementEngine仍是唯一正式结算入口。模型训练、专家、报告导出均无REAL写权限。新增r25表只保存研究元数据、任务、政策身份和证据引用，不复制第二套开奖、正式决策或正式结算账本。</w:t>
      </w:r>
    </w:p>
    <w:p>
      <w:pPr>
        <w:widowControl/>
      </w:pPr>
      <w:r>
        <w:t>任务分三类。P0为抓取、结算和冻结；P1为迁移、反馈、轻量增量学习与报告状态；P2为深网络训练、搜索、重放和消融。P0可抢占P2，P1必须有最小服务机会但不允许占用活跃关键事务。每个工作切片保存cursor、RNG、优化器、已消费事件集合摘要和预算收据，恢复后既不重训已提交标签也不漏标签。</w:t>
      </w:r>
    </w:p>
    <w:p>
      <w:pPr>
        <w:widowControl/>
      </w:pPr>
      <w:r>
        <w:t>SQLite WAL并不支持多个同时写入者，训练与压缩不得进入写事务。[M01] 报告快照复制与checkpoint协调执行，读取持有时间有上限；严禁后台扫描长时间阻止WAL回收。</w:t>
      </w:r>
    </w:p>
    <w:p>
      <w:pPr>
        <w:pStyle w:val="Heading1"/>
      </w:pPr>
      <w:r>
        <w:t>6 数据与时间契约</w:t>
      </w:r>
    </w:p>
    <w:p>
      <w:pPr>
        <w:widowControl/>
      </w:pPr>
      <w:r>
        <w:t>每个原始结果同时记录issue、开奖标称时间、服务端可得时间、客户端firstSeen、接收单调时钟、原始payloadHash、规范号码hash、来源、修订版本。服务端可得时间无法验证时标UNKNOWN。仅有open_time不能证明当时已抓到数据。用时差和单调时钟分别判断赛前截止与耗时，系统时钟回拨不得延长冻结有效期。</w:t>
      </w:r>
    </w:p>
    <w:p>
      <w:pPr>
        <w:widowControl/>
      </w:pPr>
      <w:r>
        <w:t>InputFrame至少包含targetIssue、inputThrough、capturedAt、deadline、drawVersionHash、availabilityCutoff、gapMask、featureSpecHash、sourceVersion。目标期及以后的标签永不可见。被事后补录的历史可以做研究，但不能用firstSeen较晚的记录伪造当年实时可得的历史回放。研究结果须分别标HISTORICAL_EVENT_TIME或AVAILABILITY_REPLAY。</w:t>
      </w:r>
    </w:p>
    <w:p>
      <w:pPr>
        <w:widowControl/>
      </w:pPr>
      <w:r>
        <w:t>Campaign快照只冻结一次。固定schema、数据区间、划分、缺口mask和预处理拟合截止；下一期新数据只能触发新campaign，不能在第2代替换第1代输入。滚动原始历史始终不超过5000期，快照不可借复制无限保留原始开奖。即将淘汰的依赖由有界任务完成、取消或明确失去复现能力；长期仅保留政策、参数、聚合统计和必要决策收据。若原始数据已删除且无被授权保留的独立原件，报告明确无法重建完整原始训练集。</w:t>
      </w:r>
    </w:p>
    <w:p>
      <w:pPr>
        <w:widowControl/>
      </w:pPr>
      <w:r>
        <w:t>增强数据来源分REAL、TRAIN_AUGMENTED、SYNTHETIC_MECHANISM。号码重命名只有在模型声明相应置换对称并同步变换标签时才是合法增强；位置角色不同不能任意互换。扰动用于测试对噪声、坏输入和缺失的反应。SMOTE插值会破坏排列结构，默认禁用于本任务的原始开奖；任何增强样本均不得增加有效自然期数或质量证书动作数。</w:t>
      </w:r>
    </w:p>
    <w:p>
      <w:pPr>
        <w:pStyle w:val="Heading1"/>
      </w:pPr>
      <w:r>
        <w:t>7 持续学习与策略身份</w:t>
      </w:r>
    </w:p>
    <w:p>
      <w:pPr>
        <w:widowControl/>
      </w:pPr>
      <w:r>
        <w:t>区分PolicySpec、Checkpoint与Decision三个身份。PolicySpec固定特征算法、架构、优化器规则、训练批次日程、初始状态、随机流、门控、路由、校准更新、缺失处理、资源让出策略及统计协议。Checkpoint记录本次实际权重、优化器、RNG、训练截止和父checkpoint。Decision绑定当时实际policyHash、checkpointHash、featureHash、routerHash、calibratorHash、inputHash与冻结时间。</w:t>
      </w:r>
    </w:p>
    <w:p>
      <w:pPr>
        <w:widowControl/>
      </w:pPr>
      <w:r>
        <w:t>已预注册政策允许按既定规则消耗新揭晓标签更新参数。这样的序列评价对象是“这套持续学习算法”，不是某个固定权重文件；只要更新链与规则完全一致，不因每期权重hash改变而清空政策级证据。必须从该政策出生前冻结的初始状态开始，逐期先预测冻结、后揭晓学习，不能倒灌训练后预测。</w:t>
      </w:r>
    </w:p>
    <w:p>
      <w:pPr>
        <w:widowControl/>
      </w:pPr>
      <w:r>
        <w:t>改变架构、特征语义、训练规则、门控规则、校准方法、路由选择或重置到未登记状态，建立新policyHash和新证据出生点。父代的命中次数不得继承。单纯更名不得创建新的统计错误预算；同义政策归同一语义族。更新跳步、强制恢复、浮点平台漂移均需收据；不在允许更新规则内则隔离为新政策。</w:t>
      </w:r>
    </w:p>
    <w:p>
      <w:pPr>
        <w:widowControl/>
      </w:pPr>
      <w:r>
        <w:t>本条精确修正R24中“模型hash变化都需重建独立资格”的过宽表述，并加强R24“子代不得继承父代证据”的规则。静态策略继续以固定checkpoint验证；自适应策略只有预注册更新算法获准后才使用政策级证据。未经此项验收的现有证书不自动转成新证书。</w:t>
      </w:r>
    </w:p>
    <w:p>
      <w:pPr>
        <w:pStyle w:val="Heading1"/>
      </w:pPr>
      <w:r>
        <w:t>8 数学原子与完整能力</w:t>
      </w:r>
    </w:p>
    <w:p>
      <w:pPr>
        <w:widowControl/>
      </w:pPr>
      <w:r>
        <w:t>保留原24家族，不用换名字制造更多家族。基础算子分为排列与集合、时序状态、关系图、概率估计、可学习编码、损失与优化、诊断与校准七组。每个原子记录类型、shape、语义hash、可见截止、真实lookback、状态大小、前向函数、更新函数、序列化、数值范围、消融实验、执行成本及失败条件。</w:t>
      </w:r>
    </w:p>
    <w:p>
      <w:pPr>
        <w:widowControl/>
      </w:pPr>
      <w:r>
        <w:t>例如稀疏跨位置滞后项负责验证其他位置的过去结果是否提供增益；半马尔可夫duration项负责检验优势窗口持续性；可学习检索负责利用非相邻历史的相似结构；低秩张量控制交互样本稀疏；有类型程序负责组合已有可执行算子；残差机制专门修复冻结父代的失败。这些是不同机制问题，不能全部退化成冷热遗漏打分。</w:t>
      </w:r>
    </w:p>
    <w:p>
      <w:pPr>
        <w:widowControl/>
      </w:pPr>
      <w:r>
        <w:t>加减乘除、log、exp必须有数值域契约。除零拒绝或使用预先登记的安全算子；exp溢出不可回退为高概率；概率向量先检查有限值、非负和归一化，失败输出ABSTAIN及错误码。编译器禁止任意文件、网络、反射与外部代码执行。原子预算和组合总预算同时检查，避免每个模块合规但组合OOM。</w:t>
      </w:r>
    </w:p>
    <w:p>
      <w:pPr>
        <w:widowControl/>
      </w:pPr>
      <w:r>
        <w:t>24家族的原公式、训练状态、结构操作及反证全文沿用R24附录。本版增加逐家族能力层级：登记、可执行、实际调用、有状态更新、可恢复、历史有效、自然前瞻有效、主链绑定。一个家族达到某层要有对应工件，不能把enabled当完成；24家族全部完成是长期验收分母，不因分阶段优先实施而删减任何家族。</w:t>
      </w:r>
    </w:p>
    <w:p>
      <w:pPr>
        <w:pStyle w:val="Heading1"/>
      </w:pPr>
      <w:r>
        <w:t>9 结构创造的实际搜索流程</w:t>
      </w:r>
    </w:p>
    <w:p>
      <w:pPr>
        <w:widowControl/>
      </w:pPr>
      <w:r>
        <w:t>先选择失败问题，再选择能解释该问题的机制。FailureCluster含causeKey、stateKey、position、numberGroup、entryOffset、nPeriods、nActs、hit0、delayHit、描述性与校正区间、decayRisk及证据hash。运行错误、缺失数据、概率失真、选错位置、早剪号码、状态误判、窗口结束和共同失败分别处理，不能把所有失败归为模型太弱。</w:t>
      </w:r>
    </w:p>
    <w:p>
      <w:pPr>
        <w:widowControl/>
      </w:pPr>
      <w:r>
        <w:t>每个专家任务输出TypedProposal：父policy、结构diff、假设、预期改变指标、反证实验、参数继承映射、计算上限、数据暴露范围与回滚对象。规则修复生成AST，关系修复生成边/超边，模型修复生成层或状态变化；仅产一段文字不计创造。16专家均使用确定的输入输出和状态机，不要求后台调用16个语言模型。</w:t>
      </w:r>
    </w:p>
    <w:p>
      <w:pPr>
        <w:widowControl/>
      </w:pPr>
      <w:r>
        <w:t>结构候选先过类型、可见性、数值、预算、语义去重，再在DEV训练。以固定行为探针比较动作、概率及错误相关性；同义公式折叠，随机种子和阈值微调单列为参数变体。不同机制候选保留在“机制、状态、尺度、失败类型”档案，避免单一总分只保留同质策略。MAP Elites仅提供多样性搜索方法依据，不是本项目有效的证据。[M04]</w:t>
      </w:r>
    </w:p>
    <w:p>
      <w:pPr>
        <w:widowControl/>
      </w:pPr>
      <w:r>
        <w:t>排序使用可解释的多目标向量：真实标签损失、约束下命中/覆盖、最差时间块、校准、尾部风险、复杂度、耗时。教师分布仅可用于初始化、蒸馏或训练辅助；证书和主排行榜只读真实标签。现有judgeEb将教师预期混入命中质量，须从晋级评分中移出；训练用教师也须单列消融。</w:t>
      </w:r>
    </w:p>
    <w:p>
      <w:pPr>
        <w:widowControl/>
      </w:pPr>
      <w:r>
        <w:t>研究预算以固定数据与同等CPU时间比较，先分给机制不同的代表，证据不足时探索不能归零。调度器可以从已完成实验收益学习，但奖励为留后改进除计算成本，不以搜索过的最高训练分奖励。DQN、PPO、MCTS不作为首轮开奖预测主解：本软件的动作不改变开奖结果，缺少可干预且可信的环境；仅当任务分配确实存在长期资源效应时再比较强化学习与简单调度。</w:t>
      </w:r>
    </w:p>
    <w:p>
      <w:pPr>
        <w:pStyle w:val="Heading1"/>
      </w:pPr>
      <w:r>
        <w:t>10 六组优先实验与其余家族推进</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376"/>
        <w:gridCol w:w="5544"/>
      </w:tblGrid>
      <w:tr>
        <w:trPr>
          <w:cantSplit/>
          <w:tblHeader/>
        </w:trPr>
        <w:tc>
          <w:tcPr>
            <w:tcW w:type="dxa" w:w="2304"/>
            <w:vAlign w:val="center"/>
            <w:tcMar>
              <w:top w:w="95" w:type="dxa"/>
              <w:left w:w="95" w:type="dxa"/>
              <w:bottom w:w="95" w:type="dxa"/>
              <w:right w:w="95" w:type="dxa"/>
            </w:tcMar>
            <w:shd w:fill="E9EEF3"/>
          </w:tcPr>
          <w:p>
            <w:pPr>
              <w:spacing w:after="60" w:before="60" w:line="264" w:lineRule="auto"/>
            </w:pPr>
            <w:r>
              <w:rPr>
                <w:b/>
                <w:sz w:val="21"/>
              </w:rPr>
              <w:t>实验组</w:t>
            </w:r>
          </w:p>
        </w:tc>
        <w:tc>
          <w:tcPr>
            <w:tcW w:type="dxa" w:w="2376"/>
            <w:vAlign w:val="center"/>
            <w:tcMar>
              <w:top w:w="95" w:type="dxa"/>
              <w:left w:w="95" w:type="dxa"/>
              <w:bottom w:w="95" w:type="dxa"/>
              <w:right w:w="95" w:type="dxa"/>
            </w:tcMar>
            <w:shd w:fill="E9EEF3"/>
          </w:tcPr>
          <w:p>
            <w:pPr>
              <w:spacing w:after="60" w:before="60" w:line="264" w:lineRule="auto"/>
            </w:pPr>
            <w:r>
              <w:rPr>
                <w:b/>
                <w:sz w:val="21"/>
              </w:rPr>
              <w:t>使用家族</w:t>
            </w:r>
          </w:p>
        </w:tc>
        <w:tc>
          <w:tcPr>
            <w:tcW w:type="dxa" w:w="5544"/>
            <w:vAlign w:val="center"/>
            <w:tcMar>
              <w:top w:w="95" w:type="dxa"/>
              <w:left w:w="95" w:type="dxa"/>
              <w:bottom w:w="95" w:type="dxa"/>
              <w:right w:w="95" w:type="dxa"/>
            </w:tcMar>
            <w:shd w:fill="E9EEF3"/>
          </w:tcPr>
          <w:p>
            <w:pPr>
              <w:spacing w:after="60" w:before="60" w:line="264" w:lineRule="auto"/>
            </w:pPr>
            <w:r>
              <w:rPr>
                <w:b/>
                <w:sz w:val="21"/>
              </w:rPr>
              <w:t>新增机制与主要反证</w:t>
            </w:r>
          </w:p>
        </w:tc>
      </w:tr>
      <w:tr>
        <w:trPr>
          <w:cantSplit/>
        </w:trPr>
        <w:tc>
          <w:tcPr>
            <w:tcW w:type="dxa" w:w="2304"/>
            <w:vAlign w:val="center"/>
            <w:tcMar>
              <w:top w:w="95" w:type="dxa"/>
              <w:left w:w="95" w:type="dxa"/>
              <w:bottom w:w="95" w:type="dxa"/>
              <w:right w:w="95" w:type="dxa"/>
            </w:tcMar>
            <w:shd w:fill="FFFFFF"/>
          </w:tcPr>
          <w:p>
            <w:pPr>
              <w:spacing w:after="60" w:before="60" w:line="264" w:lineRule="auto"/>
            </w:pPr>
            <w:r>
              <w:rPr>
                <w:b w:val="0"/>
                <w:sz w:val="21"/>
              </w:rPr>
              <w:t>X01 旧资产保真与软解码</w:t>
            </w:r>
          </w:p>
        </w:tc>
        <w:tc>
          <w:tcPr>
            <w:tcW w:type="dxa" w:w="2376"/>
            <w:vAlign w:val="center"/>
            <w:tcMar>
              <w:top w:w="95" w:type="dxa"/>
              <w:left w:w="95" w:type="dxa"/>
              <w:bottom w:w="95" w:type="dxa"/>
              <w:right w:w="95" w:type="dxa"/>
            </w:tcMar>
            <w:shd w:fill="FFFFFF"/>
          </w:tcPr>
          <w:p>
            <w:pPr>
              <w:spacing w:after="60" w:before="60" w:line="264" w:lineRule="auto"/>
            </w:pPr>
            <w:r>
              <w:rPr>
                <w:b w:val="0"/>
                <w:sz w:val="21"/>
              </w:rPr>
              <w:t>F15 F16 F23</w:t>
            </w:r>
          </w:p>
        </w:tc>
        <w:tc>
          <w:tcPr>
            <w:tcW w:type="dxa" w:w="5544"/>
            <w:vAlign w:val="center"/>
            <w:tcMar>
              <w:top w:w="95" w:type="dxa"/>
              <w:left w:w="95" w:type="dxa"/>
              <w:bottom w:w="95" w:type="dxa"/>
              <w:right w:w="95" w:type="dxa"/>
            </w:tcMar>
            <w:shd w:fill="FFFFFF"/>
          </w:tcPr>
          <w:p>
            <w:pPr>
              <w:spacing w:after="60" w:before="60" w:line="264" w:lineRule="auto"/>
            </w:pPr>
            <w:r>
              <w:rPr>
                <w:b w:val="0"/>
                <w:sz w:val="21"/>
              </w:rPr>
              <w:t>复现旧交叉交集；七层漏斗保留，测试硬剪与软分支的最终K3损失</w:t>
            </w:r>
          </w:p>
        </w:tc>
      </w:tr>
      <w:tr>
        <w:trPr>
          <w:cantSplit/>
        </w:trPr>
        <w:tc>
          <w:tcPr>
            <w:tcW w:type="dxa" w:w="2304"/>
            <w:vAlign w:val="center"/>
            <w:tcMar>
              <w:top w:w="95" w:type="dxa"/>
              <w:left w:w="95" w:type="dxa"/>
              <w:bottom w:w="95" w:type="dxa"/>
              <w:right w:w="95" w:type="dxa"/>
            </w:tcMar>
            <w:shd w:fill="F7F8FA"/>
          </w:tcPr>
          <w:p>
            <w:pPr>
              <w:spacing w:after="60" w:before="60" w:line="264" w:lineRule="auto"/>
            </w:pPr>
            <w:r>
              <w:rPr>
                <w:b w:val="0"/>
                <w:sz w:val="21"/>
              </w:rPr>
              <w:t>X02 稀疏关系与高阶交互</w:t>
            </w:r>
          </w:p>
        </w:tc>
        <w:tc>
          <w:tcPr>
            <w:tcW w:type="dxa" w:w="2376"/>
            <w:vAlign w:val="center"/>
            <w:tcMar>
              <w:top w:w="95" w:type="dxa"/>
              <w:left w:w="95" w:type="dxa"/>
              <w:bottom w:w="95" w:type="dxa"/>
              <w:right w:w="95" w:type="dxa"/>
            </w:tcMar>
            <w:shd w:fill="F7F8FA"/>
          </w:tcPr>
          <w:p>
            <w:pPr>
              <w:spacing w:after="60" w:before="60" w:line="264" w:lineRule="auto"/>
            </w:pPr>
            <w:r>
              <w:rPr>
                <w:b w:val="0"/>
                <w:sz w:val="21"/>
              </w:rPr>
              <w:t>F01 F03 F19</w:t>
            </w:r>
          </w:p>
        </w:tc>
        <w:tc>
          <w:tcPr>
            <w:tcW w:type="dxa" w:w="5544"/>
            <w:vAlign w:val="center"/>
            <w:tcMar>
              <w:top w:w="95" w:type="dxa"/>
              <w:left w:w="95" w:type="dxa"/>
              <w:bottom w:w="95" w:type="dxa"/>
              <w:right w:w="95" w:type="dxa"/>
            </w:tcMar>
            <w:shd w:fill="F7F8FA"/>
          </w:tcPr>
          <w:p>
            <w:pPr>
              <w:spacing w:after="60" w:before="60" w:line="264" w:lineRule="auto"/>
            </w:pPr>
            <w:r>
              <w:rPr>
                <w:b w:val="0"/>
                <w:sz w:val="21"/>
              </w:rPr>
              <w:t>过去跨位置关系及超边；同预算删边 端点置乱 低秩对照</w:t>
            </w:r>
          </w:p>
        </w:tc>
      </w:tr>
      <w:tr>
        <w:trPr>
          <w:cantSplit/>
        </w:trPr>
        <w:tc>
          <w:tcPr>
            <w:tcW w:type="dxa" w:w="2304"/>
            <w:vAlign w:val="center"/>
            <w:tcMar>
              <w:top w:w="95" w:type="dxa"/>
              <w:left w:w="95" w:type="dxa"/>
              <w:bottom w:w="95" w:type="dxa"/>
              <w:right w:w="95" w:type="dxa"/>
            </w:tcMar>
            <w:shd w:fill="FFFFFF"/>
          </w:tcPr>
          <w:p>
            <w:pPr>
              <w:spacing w:after="60" w:before="60" w:line="264" w:lineRule="auto"/>
            </w:pPr>
            <w:r>
              <w:rPr>
                <w:b w:val="0"/>
                <w:sz w:val="21"/>
              </w:rPr>
              <w:t>X03 状态与持续时间</w:t>
            </w:r>
          </w:p>
        </w:tc>
        <w:tc>
          <w:tcPr>
            <w:tcW w:type="dxa" w:w="2376"/>
            <w:vAlign w:val="center"/>
            <w:tcMar>
              <w:top w:w="95" w:type="dxa"/>
              <w:left w:w="95" w:type="dxa"/>
              <w:bottom w:w="95" w:type="dxa"/>
              <w:right w:w="95" w:type="dxa"/>
            </w:tcMar>
            <w:shd w:fill="FFFFFF"/>
          </w:tcPr>
          <w:p>
            <w:pPr>
              <w:spacing w:after="60" w:before="60" w:line="264" w:lineRule="auto"/>
            </w:pPr>
            <w:r>
              <w:rPr>
                <w:b w:val="0"/>
                <w:sz w:val="21"/>
              </w:rPr>
              <w:t>F08 F09 F10 F20</w:t>
            </w:r>
          </w:p>
        </w:tc>
        <w:tc>
          <w:tcPr>
            <w:tcW w:type="dxa" w:w="5544"/>
            <w:vAlign w:val="center"/>
            <w:tcMar>
              <w:top w:w="95" w:type="dxa"/>
              <w:left w:w="95" w:type="dxa"/>
              <w:bottom w:w="95" w:type="dxa"/>
              <w:right w:w="95" w:type="dxa"/>
            </w:tcMar>
            <w:shd w:fill="FFFFFF"/>
          </w:tcPr>
          <w:p>
            <w:pPr>
              <w:spacing w:after="60" w:before="60" w:line="264" w:lineRule="auto"/>
            </w:pPr>
            <w:r>
              <w:rPr>
                <w:b w:val="0"/>
                <w:sz w:val="21"/>
              </w:rPr>
              <w:t>只做在线滤波；延续 退出和误报都计，禁事后最佳窗口</w:t>
            </w:r>
          </w:p>
        </w:tc>
      </w:tr>
      <w:tr>
        <w:trPr>
          <w:cantSplit/>
        </w:trPr>
        <w:tc>
          <w:tcPr>
            <w:tcW w:type="dxa" w:w="2304"/>
            <w:vAlign w:val="center"/>
            <w:tcMar>
              <w:top w:w="95" w:type="dxa"/>
              <w:left w:w="95" w:type="dxa"/>
              <w:bottom w:w="95" w:type="dxa"/>
              <w:right w:w="95" w:type="dxa"/>
            </w:tcMar>
            <w:shd w:fill="F7F8FA"/>
          </w:tcPr>
          <w:p>
            <w:pPr>
              <w:spacing w:after="60" w:before="60" w:line="264" w:lineRule="auto"/>
            </w:pPr>
            <w:r>
              <w:rPr>
                <w:b w:val="0"/>
                <w:sz w:val="21"/>
              </w:rPr>
              <w:t>X04 检索与条件收缩</w:t>
            </w:r>
          </w:p>
        </w:tc>
        <w:tc>
          <w:tcPr>
            <w:tcW w:type="dxa" w:w="2376"/>
            <w:vAlign w:val="center"/>
            <w:tcMar>
              <w:top w:w="95" w:type="dxa"/>
              <w:left w:w="95" w:type="dxa"/>
              <w:bottom w:w="95" w:type="dxa"/>
              <w:right w:w="95" w:type="dxa"/>
            </w:tcMar>
            <w:shd w:fill="F7F8FA"/>
          </w:tcPr>
          <w:p>
            <w:pPr>
              <w:spacing w:after="60" w:before="60" w:line="264" w:lineRule="auto"/>
            </w:pPr>
            <w:r>
              <w:rPr>
                <w:b w:val="0"/>
                <w:sz w:val="21"/>
              </w:rPr>
              <w:t>F11 F12 F21</w:t>
            </w:r>
          </w:p>
        </w:tc>
        <w:tc>
          <w:tcPr>
            <w:tcW w:type="dxa" w:w="5544"/>
            <w:vAlign w:val="center"/>
            <w:tcMar>
              <w:top w:w="95" w:type="dxa"/>
              <w:left w:w="95" w:type="dxa"/>
              <w:bottom w:w="95" w:type="dxa"/>
              <w:right w:w="95" w:type="dxa"/>
            </w:tcMar>
            <w:shd w:fill="F7F8FA"/>
          </w:tcPr>
          <w:p>
            <w:pPr>
              <w:spacing w:after="60" w:before="60" w:line="264" w:lineRule="auto"/>
            </w:pPr>
            <w:r>
              <w:rPr>
                <w:b w:val="0"/>
                <w:sz w:val="21"/>
              </w:rPr>
              <w:t>相似结构检索加层级回退；随机邻居及稀有状态反例</w:t>
            </w:r>
          </w:p>
        </w:tc>
      </w:tr>
      <w:tr>
        <w:trPr>
          <w:cantSplit/>
        </w:trPr>
        <w:tc>
          <w:tcPr>
            <w:tcW w:type="dxa" w:w="2304"/>
            <w:vAlign w:val="center"/>
            <w:tcMar>
              <w:top w:w="95" w:type="dxa"/>
              <w:left w:w="95" w:type="dxa"/>
              <w:bottom w:w="95" w:type="dxa"/>
              <w:right w:w="95" w:type="dxa"/>
            </w:tcMar>
            <w:shd w:fill="FFFFFF"/>
          </w:tcPr>
          <w:p>
            <w:pPr>
              <w:spacing w:after="60" w:before="60" w:line="264" w:lineRule="auto"/>
            </w:pPr>
            <w:r>
              <w:rPr>
                <w:b w:val="0"/>
                <w:sz w:val="21"/>
              </w:rPr>
              <w:t>X05 神经与符号组合</w:t>
            </w:r>
          </w:p>
        </w:tc>
        <w:tc>
          <w:tcPr>
            <w:tcW w:type="dxa" w:w="2376"/>
            <w:vAlign w:val="center"/>
            <w:tcMar>
              <w:top w:w="95" w:type="dxa"/>
              <w:left w:w="95" w:type="dxa"/>
              <w:bottom w:w="95" w:type="dxa"/>
              <w:right w:w="95" w:type="dxa"/>
            </w:tcMar>
            <w:shd w:fill="FFFFFF"/>
          </w:tcPr>
          <w:p>
            <w:pPr>
              <w:spacing w:after="60" w:before="60" w:line="264" w:lineRule="auto"/>
            </w:pPr>
            <w:r>
              <w:rPr>
                <w:b w:val="0"/>
                <w:sz w:val="21"/>
              </w:rPr>
              <w:t>F04 F05 F06 F07 F13 F14</w:t>
            </w:r>
          </w:p>
        </w:tc>
        <w:tc>
          <w:tcPr>
            <w:tcW w:type="dxa" w:w="5544"/>
            <w:vAlign w:val="center"/>
            <w:tcMar>
              <w:top w:w="95" w:type="dxa"/>
              <w:left w:w="95" w:type="dxa"/>
              <w:bottom w:w="95" w:type="dxa"/>
              <w:right w:w="95" w:type="dxa"/>
            </w:tcMar>
            <w:shd w:fill="FFFFFF"/>
          </w:tcPr>
          <w:p>
            <w:pPr>
              <w:spacing w:after="60" w:before="60" w:line="264" w:lineRule="auto"/>
            </w:pPr>
            <w:r>
              <w:rPr>
                <w:b w:val="0"/>
                <w:sz w:val="21"/>
              </w:rPr>
              <w:t>共享六尺度表征与程序宏；参数匹配及去机制消融</w:t>
            </w:r>
          </w:p>
        </w:tc>
      </w:tr>
      <w:tr>
        <w:trPr>
          <w:cantSplit/>
        </w:trPr>
        <w:tc>
          <w:tcPr>
            <w:tcW w:type="dxa" w:w="2304"/>
            <w:vAlign w:val="center"/>
            <w:tcMar>
              <w:top w:w="95" w:type="dxa"/>
              <w:left w:w="95" w:type="dxa"/>
              <w:bottom w:w="95" w:type="dxa"/>
              <w:right w:w="95" w:type="dxa"/>
            </w:tcMar>
            <w:shd w:fill="F7F8FA"/>
          </w:tcPr>
          <w:p>
            <w:pPr>
              <w:spacing w:after="60" w:before="60" w:line="264" w:lineRule="auto"/>
            </w:pPr>
            <w:r>
              <w:rPr>
                <w:b w:val="0"/>
                <w:sz w:val="21"/>
              </w:rPr>
              <w:t>X06 联合概率与失败修复</w:t>
            </w:r>
          </w:p>
        </w:tc>
        <w:tc>
          <w:tcPr>
            <w:tcW w:type="dxa" w:w="2376"/>
            <w:vAlign w:val="center"/>
            <w:tcMar>
              <w:top w:w="95" w:type="dxa"/>
              <w:left w:w="95" w:type="dxa"/>
              <w:bottom w:w="95" w:type="dxa"/>
              <w:right w:w="95" w:type="dxa"/>
            </w:tcMar>
            <w:shd w:fill="F7F8FA"/>
          </w:tcPr>
          <w:p>
            <w:pPr>
              <w:spacing w:after="60" w:before="60" w:line="264" w:lineRule="auto"/>
            </w:pPr>
            <w:r>
              <w:rPr>
                <w:b w:val="0"/>
                <w:sz w:val="21"/>
              </w:rPr>
              <w:t>F02 F17 F18 F22 F24</w:t>
            </w:r>
          </w:p>
        </w:tc>
        <w:tc>
          <w:tcPr>
            <w:tcW w:type="dxa" w:w="5544"/>
            <w:vAlign w:val="center"/>
            <w:tcMar>
              <w:top w:w="95" w:type="dxa"/>
              <w:left w:w="95" w:type="dxa"/>
              <w:bottom w:w="95" w:type="dxa"/>
              <w:right w:w="95" w:type="dxa"/>
            </w:tcMar>
            <w:shd w:fill="F7F8FA"/>
          </w:tcPr>
          <w:p>
            <w:pPr>
              <w:spacing w:after="60" w:before="60" w:line="264" w:lineRule="auto"/>
            </w:pPr>
            <w:r>
              <w:rPr>
                <w:b w:val="0"/>
                <w:sz w:val="21"/>
              </w:rPr>
              <w:t>保持排列边际一致，修父代残差；比较原组合及同败相关</w:t>
            </w:r>
          </w:p>
        </w:tc>
      </w:tr>
    </w:tbl>
    <w:p>
      <w:pPr>
        <w:spacing w:after="20" w:before="0"/>
      </w:pPr>
    </w:p>
    <w:p>
      <w:pPr>
        <w:widowControl/>
      </w:pPr>
      <w:r>
        <w:t>所有24家族都被分配，不因大模型优先而忽略小样本可解释机制。第一轮各组最多4个主假设，每假设3个预先固定seed，总计最多72次主运行；seed完整公开，不能挑最好seed作为独立验证结果。屏蔽效果为零的算子不增加结构代数。</w:t>
      </w:r>
    </w:p>
    <w:p>
      <w:pPr>
        <w:widowControl/>
      </w:pPr>
      <w:r>
        <w:t>X01必须先获得原执行器、权重、输入截止和逐期预测，缺失则标REPRODUCTION_BLOCKED，不能编一个近似方法代替“老版本35%”。X02至X06以同数据、同机会、同预算与X01及简单基线比较；未达标要记录差距、机制失败和下一实验，而不是无限增加超参数搜索。</w:t>
      </w:r>
    </w:p>
    <w:p>
      <w:pPr>
        <w:pStyle w:val="Heading1"/>
      </w:pPr>
      <w:r>
        <w:t>11 数据划分与泄漏防护</w:t>
      </w:r>
    </w:p>
    <w:p>
      <w:pPr>
        <w:widowControl/>
      </w:pPr>
      <w:r>
        <w:t>历史4836期已在多轮方案中反复分析，全体标EXPOSED_HISTORY。仍可用于学习、消融、排错和结构发现；再次切出一段不自动恢复为独立SEALED。下一轮新证据从协议登记后、数据尚未可见的目标期开始。旧4743与新增93期的关系按R24保留，63期延伸结果仍只是历史延伸，不升级成自然赛前证据。</w:t>
      </w:r>
    </w:p>
    <w:p>
      <w:pPr>
        <w:widowControl/>
      </w:pPr>
      <w:r>
        <w:t>开发回放按时间向前，归一化、编码器、检索索引、教师、校准器和router都必须只拟合该折允许的过去。跨目标或多步label设相应purge和embargo；共享过去输入不是自动泄漏，目标标签进入拟合才是关键。不能随机打散全时序来证明未来效果。[M02]</w:t>
      </w:r>
    </w:p>
    <w:p>
      <w:pPr>
        <w:widowControl/>
      </w:pPr>
      <w:r>
        <w:t>独立验证的结果本身也是信息。SEALED开封一次即标已暴露，其失败可以指导下一轮研发，但下一轮需要新的独立证据。元学习只能学习历史实验的可用部分，不能读尚未结束cohort的逐期质量再改变被评政策。线上固定学习算法可以使用已揭晓标签更新，因为更新规则在cohort前已经固定；人工或搜索器临时换规则则重新出生。</w:t>
      </w:r>
    </w:p>
    <w:p>
      <w:pPr>
        <w:pStyle w:val="Heading1"/>
      </w:pPr>
      <w:r>
        <w:t>12 资格与反复检验</w:t>
      </w:r>
    </w:p>
    <w:p>
      <w:pPr>
        <w:widowControl/>
      </w:pPr>
      <w:r>
        <w:t>CertificateSU2现有维护逻辑在无有效证书时读取look并reserve，之后才计算校准可用性；若频繁调用且无新证据，可能对同一数据重复消耗look预算。改为先做schema、身份、样本、校准分母等确定性预检，再以cohort与evidenceDigest幂等保留一次检验。崩溃后恢复同一look，不能再分配；已消耗的旧预算不得清零。</w:t>
      </w:r>
    </w:p>
    <w:p>
      <w:pPr>
        <w:widowControl/>
      </w:pPr>
      <w:r>
        <w:t>首个生产协议优先采用预注册固定终点检验，cohort起止、候选名额、比较对象、alpha与最差块规则先锁定。序贯检验作为另一个明确协议，只有方法假设、时间一致覆盖、相关性处理和真值模拟验收后才启用。普通Wilson区间可展示，不默认作为不断重试的授证下界。置信序列方法需要符合其数学假设，并不允许任意查看数据后改变策略。[M03]</w:t>
      </w:r>
    </w:p>
    <w:p>
      <w:pPr>
        <w:widowControl/>
      </w:pPr>
      <w:r>
        <w:t>同一期父子动作不同、出手时点不同，不能把它们当独立两组简单z检验。记录共同出手、各自独占、全机会三个面；主比较可预注册每机会效用 a乘以h减目标命中率，再做期级成对差值评价。这只是比较分值，不称净利润。绝对命中率、覆盖与稳定约束仍须各自通过。</w:t>
      </w:r>
    </w:p>
    <w:p>
      <w:pPr>
        <w:widowControl/>
      </w:pPr>
      <w:r>
        <w:t>动态组合或router必须作为整体新政策被验证。三个覆盖5%的专家可能完全重合，并不自动达到15%；也不能拿三个个体证书证明事后择优的组合。先用过去信息冻结路由，再按组合实际选中的单一动作记账。</w:t>
      </w:r>
    </w:p>
    <w:p>
      <w:pPr>
        <w:pStyle w:val="Heading1"/>
      </w:pPr>
      <w:r>
        <w:t>13 主链晋级与回退</w:t>
      </w:r>
    </w:p>
    <w:p>
      <w:pPr>
        <w:widowControl/>
      </w:pPr>
      <w:r>
        <w:t>状态链为REGISTERED、EXECUTABLE、TRAINED、HISTORICAL_VALIDATED、PROSPECTIVE_FROZEN、ACCUMULATING、QUALITY_ELIGIBLE、CERTIFIED、MAINLINE_BOUND、REAL_AUTHORIZED。每步有缺项、Owner、证据hash、最近推进、下一触发条件、可恢复路径和超时诊断。合格但未绑定与质量不合格分别告警，不让合格资产永远被MODEL_NOT_PROVEN总开关遮挡。</w:t>
      </w:r>
    </w:p>
    <w:p>
      <w:pPr>
        <w:widowControl/>
      </w:pPr>
      <w:r>
        <w:t>REAL授权还要检查用户已开启的真实模式、证书有效、政策及checkpoint链匹配、输入新鲜、赛前冻结、运行健康和本期尚无REAL。所有授权调用仍经DecisionGateEngine。新政策未达标时保留合格且当前健康的旧Champion；若旧Champion也不合格则ABSTAIN，不把回退当绕过质量门槛的理由。</w:t>
      </w:r>
    </w:p>
    <w:p>
      <w:pPr>
        <w:widowControl/>
      </w:pPr>
      <w:r>
        <w:t>证书过期可重新评估健康，但无新证据的重复维护不得创造新的独立检验。续期与新增科学结论分离，续期依据和时间窗明确记录。设备离线、时间回拨、校准器失配、模型文件损坏立即阻断授权，恢复后核对链条，不能回填旧期REAL。</w:t>
      </w:r>
    </w:p>
    <w:p>
      <w:pPr>
        <w:pStyle w:val="Heading1"/>
      </w:pPr>
      <w:r>
        <w:t>14 模型发布与恢复</w:t>
      </w:r>
    </w:p>
    <w:p>
      <w:pPr>
        <w:widowControl/>
      </w:pPr>
      <w:r>
        <w:t>训练只改私有副本。模型包先写临时内容寻址文件，校验长度、hash、schema、shape、finite、运行时版本和签名来源；完成持久化后写PREPARED manifest。唯一Owner事务检查expectedActiveVersion、父checkpoint、输入截止、政策契约与预算，提交COMMITTED发布意图；成功后内存指针切换为新只读快照。</w:t>
      </w:r>
    </w:p>
    <w:p>
      <w:pPr>
        <w:widowControl/>
      </w:pPr>
      <w:r>
        <w:t>进程在文件写完、事务前、事务后、指针切换前、旧文件回收前任一阶段终止，都能用manifest恢复。旧指针不可在新文件未持久化时失效。GC以可达依赖及保留配额为依据，不删当前策略、待结算决策所需内容或尚未结束的报告依赖。</w:t>
      </w:r>
    </w:p>
    <w:p>
      <w:pPr>
        <w:widowControl/>
      </w:pPr>
      <w:r>
        <w:t>热更新仅加载受限数据格式及已内置算子，不下载执行任意Java脚本或代码。APK功能变更必须用既有独立软件签名和递增versionCode安装。模型回滚、功能开关回退、数据库迁移回退和APK降级是四类不同操作；数据库默认前向兼容，未验证向后兼容时禁止用旧APK直接打开新库。</w:t>
      </w:r>
    </w:p>
    <w:p>
      <w:pPr>
        <w:pStyle w:val="Heading1"/>
      </w:pPr>
      <w:r>
        <w:t>15 自动诊断与完整报告</w:t>
      </w:r>
    </w:p>
    <w:p>
      <w:pPr>
        <w:widowControl/>
      </w:pPr>
      <w:r>
        <w:t>原28章全部保留，新增8章：政策更新身份、数据可见时间、研究实验总账、检验预算、发布恢复、构建物身份、供应链清单、SLO误差预算，共36章。每章即使失败也输出状态与errorChain。空数组、零值、缺表、查询异常、未运行、证据不足不能互相替换。</w:t>
      </w:r>
    </w:p>
    <w:p>
      <w:pPr>
        <w:widowControl/>
      </w:pPr>
      <w:r>
        <w:t>每个指标含定义、分子分母、窗口、证据等级、policyHash、sourceSnapshot、asOfIssue、单位、状态及来源。每个能力含登记数、可执行数、被调用数、真实训练数、检查点数、历史通过数、前瞻通过数、主链绑定数。每个失败含观测、原因假设、排除实验、影响文件、跨文件冲突、精确修改、验收、负责角色和下一触发。</w:t>
      </w:r>
    </w:p>
    <w:p>
      <w:pPr>
        <w:widowControl/>
      </w:pPr>
      <w:r>
        <w:t>100号码面、1200动作、Rank1至3、7层漏斗、状态窗口、当前与最长连挂、ECE/Brier、旧策略比较、消融、冲突、Owner红线、设备T29至T34继续是固定分母。不能把100面或1200动作当100或1200独立样本。源文件没取到、真机未测、原始证据未导出都按实际状态呈现。</w:t>
      </w:r>
    </w:p>
    <w:p>
      <w:pPr>
        <w:widowControl/>
      </w:pPr>
      <w:r>
        <w:t>导出采用不可变快照、流式JSONL与分卷清单。每段expected等于exported加omitted，hash和大小完整。摘要可压缩，机器明细不能被240000字节截断悄悄替代。取消只删除当前临时文件，保留上一成功报告。磁盘满、错误章节、残缺ZIP、取消重启与分卷遗失都进入测试。</w:t>
      </w:r>
    </w:p>
    <w:p>
      <w:pPr>
        <w:pStyle w:val="Heading1"/>
      </w:pPr>
      <w:r>
        <w:t>16 图表与用户界面</w:t>
      </w:r>
    </w:p>
    <w:p>
      <w:pPr>
        <w:widowControl/>
      </w:pPr>
      <w:r>
        <w:t>保留算法实盘排行榜和基础逻辑预测图。排行榜同时展示自然赛前、历史回放、样本不足标签，按明确排序规则筛选；不混合训练分与实盘分。单条策略点击可看到原公式、结构代、参数代、政策出生、当前checkpoint、作用状态、最近证据和主链阻断原因。</w:t>
      </w:r>
    </w:p>
    <w:p>
      <w:pPr>
        <w:widowControl/>
      </w:pPr>
      <w:r>
        <w:t>下一期100面使用冻结边际概率、可信度与数据截止；尚未完成冻结显示计算中，不绘制伪确定号码。各尺度缺失有mask提示。倒计时来自目标期截止和时钟状态，截止后应显示等待开奖或抓取阶段，避免卡0让用户误认为停止。每期反馈完成、增量学习完成、重搜索推进、发布成功分别显示。</w:t>
      </w:r>
    </w:p>
    <w:p>
      <w:pPr>
        <w:pStyle w:val="Heading1"/>
      </w:pPr>
      <w:r>
        <w:t>17 测试与验收矩阵</w:t>
      </w:r>
    </w:p>
    <w:p>
      <w:pPr>
        <w:widowControl/>
      </w:pPr>
      <w:r>
        <w:t>测试必须能揭露真实失败。合同测试覆盖K3合法性、未来标签污染、迟到数据、hash错配、政策更新身份、反馈重放幂等、检验幂等、lease fencing、快照固定、报告缺项和迁移回执。机制测试覆盖结构变异确实改变计算、植入可学信号可恢复、打乱信号失去优势、随机基线不被大规模搜索轻易授证。</w:t>
      </w:r>
    </w:p>
    <w:p>
      <w:pPr>
        <w:widowControl/>
      </w:pPr>
      <w:r>
        <w:t>压力测试用真实上界5000期、24家族、100面、1200动作及并发导出，不用无限复制输入制造脱离任务的指标。取消与超时深入最内层训练循环；整体调用超过截止即不得发布。固定seed和数据的未切片执行与切片恢复在规定容差内一致。</w:t>
      </w:r>
    </w:p>
    <w:p>
      <w:pPr>
        <w:widowControl/>
      </w:pPr>
      <w:r>
        <w:t>Android层必须检验SQLite事务、真实文件发布、旧数据升级、启动、权限、服务恢复、断网、时钟变化、磁盘不足、进程终止和恢复。HOST结果不替代ART或真机；模拟器不替代用户设备。设备矩阵继续保留T29至T34，扩充API35和36、低内存、厂商杀后台、充电与非充电、前台与锁屏状态。未测格显示NOT_RUN。</w:t>
      </w:r>
    </w:p>
    <w:p>
      <w:pPr>
        <w:widowControl/>
      </w:pPr>
      <w:r>
        <w:t>随机零假设与植入信号试验是方法正确性检查，不算真实获利或命中证明。错误率模拟要覆盖候选选择、重复查看与停止规则，而不是只测单个统计公式。统计功效不够时写INSUFFICIENT，不通过降低质量门槛伪造达标。</w:t>
      </w:r>
    </w:p>
    <w:p>
      <w:pPr>
        <w:pStyle w:val="Heading1"/>
      </w:pPr>
      <w:r>
        <w:t>18 可观测性与SLO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456"/>
        <w:gridCol w:w="4608"/>
      </w:tblGrid>
      <w:tr>
        <w:trPr>
          <w:cantSplit/>
          <w:tblHeader/>
        </w:trPr>
        <w:tc>
          <w:tcPr>
            <w:tcW w:type="dxa" w:w="2160"/>
            <w:vAlign w:val="center"/>
            <w:tcMar>
              <w:top w:w="95" w:type="dxa"/>
              <w:left w:w="95" w:type="dxa"/>
              <w:bottom w:w="95" w:type="dxa"/>
              <w:right w:w="95" w:type="dxa"/>
            </w:tcMar>
            <w:shd w:fill="E9EEF3"/>
          </w:tcPr>
          <w:p>
            <w:pPr>
              <w:spacing w:after="60" w:before="60" w:line="264" w:lineRule="auto"/>
            </w:pPr>
            <w:r>
              <w:rPr>
                <w:b/>
                <w:sz w:val="21"/>
              </w:rPr>
              <w:t>路径</w:t>
            </w:r>
          </w:p>
        </w:tc>
        <w:tc>
          <w:tcPr>
            <w:tcW w:type="dxa" w:w="3456"/>
            <w:vAlign w:val="center"/>
            <w:tcMar>
              <w:top w:w="95" w:type="dxa"/>
              <w:left w:w="95" w:type="dxa"/>
              <w:bottom w:w="95" w:type="dxa"/>
              <w:right w:w="95" w:type="dxa"/>
            </w:tcMar>
            <w:shd w:fill="E9EEF3"/>
          </w:tcPr>
          <w:p>
            <w:pPr>
              <w:spacing w:after="60" w:before="60" w:line="264" w:lineRule="auto"/>
            </w:pPr>
            <w:r>
              <w:rPr>
                <w:b/>
                <w:sz w:val="21"/>
              </w:rPr>
              <w:t>初始验收目标</w:t>
            </w:r>
          </w:p>
        </w:tc>
        <w:tc>
          <w:tcPr>
            <w:tcW w:type="dxa" w:w="4608"/>
            <w:vAlign w:val="center"/>
            <w:tcMar>
              <w:top w:w="95" w:type="dxa"/>
              <w:left w:w="95" w:type="dxa"/>
              <w:bottom w:w="95" w:type="dxa"/>
              <w:right w:w="95" w:type="dxa"/>
            </w:tcMar>
            <w:shd w:fill="E9EEF3"/>
          </w:tcPr>
          <w:p>
            <w:pPr>
              <w:spacing w:after="60" w:before="60" w:line="264" w:lineRule="auto"/>
            </w:pPr>
            <w:r>
              <w:rPr>
                <w:b/>
                <w:sz w:val="21"/>
              </w:rPr>
              <w:t>测量与失败处理</w:t>
            </w:r>
          </w:p>
        </w:tc>
      </w:tr>
      <w:tr>
        <w:trPr>
          <w:cantSplit/>
        </w:trPr>
        <w:tc>
          <w:tcPr>
            <w:tcW w:type="dxa" w:w="2160"/>
            <w:vAlign w:val="center"/>
            <w:tcMar>
              <w:top w:w="95" w:type="dxa"/>
              <w:left w:w="95" w:type="dxa"/>
              <w:bottom w:w="95" w:type="dxa"/>
              <w:right w:w="95" w:type="dxa"/>
            </w:tcMar>
            <w:shd w:fill="FFFFFF"/>
          </w:tcPr>
          <w:p>
            <w:pPr>
              <w:spacing w:after="60" w:before="60" w:line="264" w:lineRule="auto"/>
            </w:pPr>
            <w:r>
              <w:rPr>
                <w:b w:val="0"/>
                <w:sz w:val="21"/>
              </w:rPr>
              <w:t>本地入库加结算</w:t>
            </w:r>
          </w:p>
        </w:tc>
        <w:tc>
          <w:tcPr>
            <w:tcW w:type="dxa" w:w="3456"/>
            <w:vAlign w:val="center"/>
            <w:tcMar>
              <w:top w:w="95" w:type="dxa"/>
              <w:left w:w="95" w:type="dxa"/>
              <w:bottom w:w="95" w:type="dxa"/>
              <w:right w:w="95" w:type="dxa"/>
            </w:tcMar>
            <w:shd w:fill="FFFFFF"/>
          </w:tcPr>
          <w:p>
            <w:pPr>
              <w:spacing w:after="60" w:before="60" w:line="264" w:lineRule="auto"/>
            </w:pPr>
            <w:r>
              <w:rPr>
                <w:b w:val="0"/>
                <w:sz w:val="21"/>
              </w:rPr>
              <w:t>P95不超过1秒</w:t>
            </w:r>
          </w:p>
        </w:tc>
        <w:tc>
          <w:tcPr>
            <w:tcW w:type="dxa" w:w="4608"/>
            <w:vAlign w:val="center"/>
            <w:tcMar>
              <w:top w:w="95" w:type="dxa"/>
              <w:left w:w="95" w:type="dxa"/>
              <w:bottom w:w="95" w:type="dxa"/>
              <w:right w:w="95" w:type="dxa"/>
            </w:tcMar>
            <w:shd w:fill="FFFFFF"/>
          </w:tcPr>
          <w:p>
            <w:pPr>
              <w:spacing w:after="60" w:before="60" w:line="264" w:lineRule="auto"/>
            </w:pPr>
            <w:r>
              <w:rPr>
                <w:b w:val="0"/>
                <w:sz w:val="21"/>
              </w:rPr>
              <w:t>从完整响应验证完成计时，网络与上游发布延迟另列</w:t>
            </w:r>
          </w:p>
        </w:tc>
      </w:tr>
      <w:tr>
        <w:trPr>
          <w:cantSplit/>
        </w:trPr>
        <w:tc>
          <w:tcPr>
            <w:tcW w:type="dxa" w:w="2160"/>
            <w:vAlign w:val="center"/>
            <w:tcMar>
              <w:top w:w="95" w:type="dxa"/>
              <w:left w:w="95" w:type="dxa"/>
              <w:bottom w:w="95" w:type="dxa"/>
              <w:right w:w="95" w:type="dxa"/>
            </w:tcMar>
            <w:shd w:fill="F7F8FA"/>
          </w:tcPr>
          <w:p>
            <w:pPr>
              <w:spacing w:after="60" w:before="60" w:line="264" w:lineRule="auto"/>
            </w:pPr>
            <w:r>
              <w:rPr>
                <w:b w:val="0"/>
                <w:sz w:val="21"/>
              </w:rPr>
              <w:t>下一期分析与冻结</w:t>
            </w:r>
          </w:p>
        </w:tc>
        <w:tc>
          <w:tcPr>
            <w:tcW w:type="dxa" w:w="3456"/>
            <w:vAlign w:val="center"/>
            <w:tcMar>
              <w:top w:w="95" w:type="dxa"/>
              <w:left w:w="95" w:type="dxa"/>
              <w:bottom w:w="95" w:type="dxa"/>
              <w:right w:w="95" w:type="dxa"/>
            </w:tcMar>
            <w:shd w:fill="F7F8FA"/>
          </w:tcPr>
          <w:p>
            <w:pPr>
              <w:spacing w:after="60" w:before="60" w:line="264" w:lineRule="auto"/>
            </w:pPr>
            <w:r>
              <w:rPr>
                <w:b w:val="0"/>
                <w:sz w:val="21"/>
              </w:rPr>
              <w:t>P95不超过5秒</w:t>
            </w:r>
          </w:p>
        </w:tc>
        <w:tc>
          <w:tcPr>
            <w:tcW w:type="dxa" w:w="4608"/>
            <w:vAlign w:val="center"/>
            <w:tcMar>
              <w:top w:w="95" w:type="dxa"/>
              <w:left w:w="95" w:type="dxa"/>
              <w:bottom w:w="95" w:type="dxa"/>
              <w:right w:w="95" w:type="dxa"/>
            </w:tcMar>
            <w:shd w:fill="F7F8FA"/>
          </w:tcPr>
          <w:p>
            <w:pPr>
              <w:spacing w:after="60" w:before="60" w:line="264" w:lineRule="auto"/>
            </w:pPr>
            <w:r>
              <w:rPr>
                <w:b w:val="0"/>
                <w:sz w:val="21"/>
              </w:rPr>
              <w:t>还必须早于本期截止；超时为失败并拒绝晚冻结</w:t>
            </w:r>
          </w:p>
        </w:tc>
      </w:tr>
      <w:tr>
        <w:trPr>
          <w:cantSplit/>
        </w:trPr>
        <w:tc>
          <w:tcPr>
            <w:tcW w:type="dxa" w:w="2160"/>
            <w:vAlign w:val="center"/>
            <w:tcMar>
              <w:top w:w="95" w:type="dxa"/>
              <w:left w:w="95" w:type="dxa"/>
              <w:bottom w:w="95" w:type="dxa"/>
              <w:right w:w="95" w:type="dxa"/>
            </w:tcMar>
            <w:shd w:fill="FFFFFF"/>
          </w:tcPr>
          <w:p>
            <w:pPr>
              <w:spacing w:after="60" w:before="60" w:line="264" w:lineRule="auto"/>
            </w:pPr>
            <w:r>
              <w:rPr>
                <w:b w:val="0"/>
                <w:sz w:val="21"/>
              </w:rPr>
              <w:t>研究单片</w:t>
            </w:r>
          </w:p>
        </w:tc>
        <w:tc>
          <w:tcPr>
            <w:tcW w:type="dxa" w:w="3456"/>
            <w:vAlign w:val="center"/>
            <w:tcMar>
              <w:top w:w="95" w:type="dxa"/>
              <w:left w:w="95" w:type="dxa"/>
              <w:bottom w:w="95" w:type="dxa"/>
              <w:right w:w="95" w:type="dxa"/>
            </w:tcMar>
            <w:shd w:fill="FFFFFF"/>
          </w:tcPr>
          <w:p>
            <w:pPr>
              <w:spacing w:after="60" w:before="60" w:line="264" w:lineRule="auto"/>
            </w:pPr>
            <w:r>
              <w:rPr>
                <w:b w:val="0"/>
                <w:sz w:val="21"/>
              </w:rPr>
              <w:t>前台竞争时200毫秒，闲时最多2秒</w:t>
            </w:r>
          </w:p>
        </w:tc>
        <w:tc>
          <w:tcPr>
            <w:tcW w:type="dxa" w:w="4608"/>
            <w:vAlign w:val="center"/>
            <w:tcMar>
              <w:top w:w="95" w:type="dxa"/>
              <w:left w:w="95" w:type="dxa"/>
              <w:bottom w:w="95" w:type="dxa"/>
              <w:right w:w="95" w:type="dxa"/>
            </w:tcMar>
            <w:shd w:fill="FFFFFF"/>
          </w:tcPr>
          <w:p>
            <w:pPr>
              <w:spacing w:after="60" w:before="60" w:line="264" w:lineRule="auto"/>
            </w:pPr>
            <w:r>
              <w:rPr>
                <w:b w:val="0"/>
                <w:sz w:val="21"/>
              </w:rPr>
              <w:t>检查点让出间隔目标20毫秒；设备实测后调优</w:t>
            </w:r>
          </w:p>
        </w:tc>
      </w:tr>
      <w:tr>
        <w:trPr>
          <w:cantSplit/>
        </w:trPr>
        <w:tc>
          <w:tcPr>
            <w:tcW w:type="dxa" w:w="2160"/>
            <w:vAlign w:val="center"/>
            <w:tcMar>
              <w:top w:w="95" w:type="dxa"/>
              <w:left w:w="95" w:type="dxa"/>
              <w:bottom w:w="95" w:type="dxa"/>
              <w:right w:w="95" w:type="dxa"/>
            </w:tcMar>
            <w:shd w:fill="F7F8FA"/>
          </w:tcPr>
          <w:p>
            <w:pPr>
              <w:spacing w:after="60" w:before="60" w:line="264" w:lineRule="auto"/>
            </w:pPr>
            <w:r>
              <w:rPr>
                <w:b w:val="0"/>
                <w:sz w:val="21"/>
              </w:rPr>
              <w:t>关键写事务</w:t>
            </w:r>
          </w:p>
        </w:tc>
        <w:tc>
          <w:tcPr>
            <w:tcW w:type="dxa" w:w="3456"/>
            <w:vAlign w:val="center"/>
            <w:tcMar>
              <w:top w:w="95" w:type="dxa"/>
              <w:left w:w="95" w:type="dxa"/>
              <w:bottom w:w="95" w:type="dxa"/>
              <w:right w:w="95" w:type="dxa"/>
            </w:tcMar>
            <w:shd w:fill="F7F8FA"/>
          </w:tcPr>
          <w:p>
            <w:pPr>
              <w:spacing w:after="60" w:before="60" w:line="264" w:lineRule="auto"/>
            </w:pPr>
            <w:r>
              <w:rPr>
                <w:b w:val="0"/>
                <w:sz w:val="21"/>
              </w:rPr>
              <w:t>P95小于50毫秒，P99小于100毫秒</w:t>
            </w:r>
          </w:p>
        </w:tc>
        <w:tc>
          <w:tcPr>
            <w:tcW w:type="dxa" w:w="4608"/>
            <w:vAlign w:val="center"/>
            <w:tcMar>
              <w:top w:w="95" w:type="dxa"/>
              <w:left w:w="95" w:type="dxa"/>
              <w:bottom w:w="95" w:type="dxa"/>
              <w:right w:w="95" w:type="dxa"/>
            </w:tcMar>
            <w:shd w:fill="F7F8FA"/>
          </w:tcPr>
          <w:p>
            <w:pPr>
              <w:spacing w:after="60" w:before="60" w:line="264" w:lineRule="auto"/>
            </w:pPr>
            <w:r>
              <w:rPr>
                <w:b w:val="0"/>
                <w:sz w:val="21"/>
              </w:rPr>
              <w:t>写锁等待另列，超标追踪调用者</w:t>
            </w:r>
          </w:p>
        </w:tc>
      </w:tr>
      <w:tr>
        <w:trPr>
          <w:cantSplit/>
        </w:trPr>
        <w:tc>
          <w:tcPr>
            <w:tcW w:type="dxa" w:w="2160"/>
            <w:vAlign w:val="center"/>
            <w:tcMar>
              <w:top w:w="95" w:type="dxa"/>
              <w:left w:w="95" w:type="dxa"/>
              <w:bottom w:w="95" w:type="dxa"/>
              <w:right w:w="95" w:type="dxa"/>
            </w:tcMar>
            <w:shd w:fill="FFFFFF"/>
          </w:tcPr>
          <w:p>
            <w:pPr>
              <w:spacing w:after="60" w:before="60" w:line="264" w:lineRule="auto"/>
            </w:pPr>
            <w:r>
              <w:rPr>
                <w:b w:val="0"/>
                <w:sz w:val="21"/>
              </w:rPr>
              <w:t>业务机会闭环</w:t>
            </w:r>
          </w:p>
        </w:tc>
        <w:tc>
          <w:tcPr>
            <w:tcW w:type="dxa" w:w="3456"/>
            <w:vAlign w:val="center"/>
            <w:tcMar>
              <w:top w:w="95" w:type="dxa"/>
              <w:left w:w="95" w:type="dxa"/>
              <w:bottom w:w="95" w:type="dxa"/>
              <w:right w:w="95" w:type="dxa"/>
            </w:tcMar>
            <w:shd w:fill="FFFFFF"/>
          </w:tcPr>
          <w:p>
            <w:pPr>
              <w:spacing w:after="60" w:before="60" w:line="264" w:lineRule="auto"/>
            </w:pPr>
            <w:r>
              <w:rPr>
                <w:b w:val="0"/>
                <w:sz w:val="21"/>
              </w:rPr>
              <w:t>合法输入且受支持运行状态下至少99%</w:t>
            </w:r>
          </w:p>
        </w:tc>
        <w:tc>
          <w:tcPr>
            <w:tcW w:type="dxa" w:w="4608"/>
            <w:vAlign w:val="center"/>
            <w:tcMar>
              <w:top w:w="95" w:type="dxa"/>
              <w:left w:w="95" w:type="dxa"/>
              <w:bottom w:w="95" w:type="dxa"/>
              <w:right w:w="95" w:type="dxa"/>
            </w:tcMar>
            <w:shd w:fill="FFFFFF"/>
          </w:tcPr>
          <w:p>
            <w:pPr>
              <w:spacing w:after="60" w:before="60" w:line="264" w:lineRule="auto"/>
            </w:pPr>
            <w:r>
              <w:rPr>
                <w:b w:val="0"/>
                <w:sz w:val="21"/>
              </w:rPr>
              <w:t>N_all另列断网与系统中止，不能只统计成功期</w:t>
            </w:r>
          </w:p>
        </w:tc>
      </w:tr>
      <w:tr>
        <w:trPr>
          <w:cantSplit/>
        </w:trPr>
        <w:tc>
          <w:tcPr>
            <w:tcW w:type="dxa" w:w="2160"/>
            <w:vAlign w:val="center"/>
            <w:tcMar>
              <w:top w:w="95" w:type="dxa"/>
              <w:left w:w="95" w:type="dxa"/>
              <w:bottom w:w="95" w:type="dxa"/>
              <w:right w:w="95" w:type="dxa"/>
            </w:tcMar>
            <w:shd w:fill="F7F8FA"/>
          </w:tcPr>
          <w:p>
            <w:pPr>
              <w:spacing w:after="60" w:before="60" w:line="264" w:lineRule="auto"/>
            </w:pPr>
            <w:r>
              <w:rPr>
                <w:b w:val="0"/>
                <w:sz w:val="21"/>
              </w:rPr>
              <w:t>报告可用性</w:t>
            </w:r>
          </w:p>
        </w:tc>
        <w:tc>
          <w:tcPr>
            <w:tcW w:type="dxa" w:w="3456"/>
            <w:vAlign w:val="center"/>
            <w:tcMar>
              <w:top w:w="95" w:type="dxa"/>
              <w:left w:w="95" w:type="dxa"/>
              <w:bottom w:w="95" w:type="dxa"/>
              <w:right w:w="95" w:type="dxa"/>
            </w:tcMar>
            <w:shd w:fill="F7F8FA"/>
          </w:tcPr>
          <w:p>
            <w:pPr>
              <w:spacing w:after="60" w:before="60" w:line="264" w:lineRule="auto"/>
            </w:pPr>
            <w:r>
              <w:rPr>
                <w:b w:val="0"/>
                <w:sz w:val="21"/>
              </w:rPr>
              <w:t>36章均有状态，所有范围守恒</w:t>
            </w:r>
          </w:p>
        </w:tc>
        <w:tc>
          <w:tcPr>
            <w:tcW w:type="dxa" w:w="4608"/>
            <w:vAlign w:val="center"/>
            <w:tcMar>
              <w:top w:w="95" w:type="dxa"/>
              <w:left w:w="95" w:type="dxa"/>
              <w:bottom w:w="95" w:type="dxa"/>
              <w:right w:w="95" w:type="dxa"/>
            </w:tcMar>
            <w:shd w:fill="F7F8FA"/>
          </w:tcPr>
          <w:p>
            <w:pPr>
              <w:spacing w:after="60" w:before="60" w:line="264" w:lineRule="auto"/>
            </w:pPr>
            <w:r>
              <w:rPr>
                <w:b w:val="0"/>
                <w:sz w:val="21"/>
              </w:rPr>
              <w:t>完整性失败阻止宣称完整报告</w:t>
            </w:r>
          </w:p>
        </w:tc>
      </w:tr>
    </w:tbl>
    <w:p>
      <w:pPr>
        <w:spacing w:after="20" w:before="0"/>
      </w:pPr>
    </w:p>
    <w:p>
      <w:pPr>
        <w:widowControl/>
      </w:pPr>
      <w:r>
        <w:t>以上是设计SLO，尚无足够真机长时证据签署SLA。测量按设备和版本分组，至少记录1000次工程机会后再讨论稳定P99；5秒不能靠删掉最慢5%样本达标，deadlineMissRate另报。运行可用率与模型35%命中率是两类指标，不设小于5%预测误判的虚假SLA。</w:t>
      </w:r>
    </w:p>
    <w:p>
      <w:pPr>
        <w:widowControl/>
      </w:pPr>
      <w:r>
        <w:t>告警先记录本地结构化事件、界面和报告，不自动向外部人员发送消息。P0为非法REAL、重复结算、数据污染或无法启动；P1为连续业务陈旧、研究饥饿、报告ERROR；P2为资源超标和质量退化趋势。每条告警有恢复条件与抑制时间，不因心跳持续刷新就清除业务陈旧。</w:t>
      </w:r>
    </w:p>
    <w:p>
      <w:pPr>
        <w:pStyle w:val="Heading1"/>
      </w:pPr>
      <w:r>
        <w:t>19 安卓后台的实际边界</w:t>
      </w:r>
    </w:p>
    <w:p>
      <w:pPr>
        <w:widowControl/>
      </w:pPr>
      <w:r>
        <w:t>当前targetSdk为28，不能直接把针对target35以上dataSync的6小时规则写成该APK已触发的现场故障。升级target时必须按相应系统文档验证；Android15及以上的相关限制具有target及服务类型条件。[M05] Android16的长时WorkManager任务可能耗尽Job配额，换用WorkManager不会自动解决所有后台问题。[M06]</w:t>
      </w:r>
    </w:p>
    <w:p>
      <w:pPr>
        <w:widowControl/>
      </w:pPr>
      <w:r>
        <w:t>一分钟关键链应在用户开启且系统允许的运行服务中执行；周期Job用于可延后的研究恢复。锁屏、Doze、强制停止和厂商管理分别测试，不能承诺所有手机永久后台。若产品将来要求设备强制停止后仍持续观察，可另立服务端采集研究方案；这属于新增部署选择，本版不擅自引入云依赖或第二条真实执行链。</w:t>
      </w:r>
    </w:p>
    <w:p>
      <w:pPr>
        <w:pStyle w:val="Heading1"/>
      </w:pPr>
      <w:r>
        <w:t>20 CI CD与供应链</w:t>
      </w:r>
    </w:p>
    <w:p>
      <w:pPr>
        <w:widowControl/>
      </w:pPr>
      <w:r>
        <w:t>保留现有Gradle、Java17、SDK36、build tools36.0.0、NDK28.2.13676358和CMake3.22.1，升级依赖另卡验证。本次发现旧SU1构建脚本会准备SU1身份、在构建中commit生成物并push到施工分支；旧workflow还用固定文本拼写21测试和API PASS回执。它们可能是旧线路流程，不能未经选择直接用于当前R13交付，也不能据此断言所有现有CI都错误。</w:t>
      </w:r>
    </w:p>
    <w:p>
      <w:pPr>
        <w:widowControl/>
      </w:pPr>
      <w:r>
        <w:t>R25的规范路径固定checkout SHA，明确R13安装身份；生成文件置于build目录，构建不得自动改写施工分支。CI只读权限起步，发布权限单独受控。测试、迁移、签名和API检查分别从机器结果生成回执，任何NOT_RUN都保留，不用是否配置key推导实际API调用PASS。GitHub官方建议最小权限和受控第三方Actions，版本使用经过核验的完整commit pin；不凭空填写SHA。[M07]</w:t>
      </w:r>
    </w:p>
    <w:p>
      <w:pPr>
        <w:widowControl/>
      </w:pPr>
      <w:r>
        <w:t>流水线阶段为基线完整性、单元与合同、静态分析、无密钥调试验证、Android集成、签名构建、安装升级、工件校验、受控交付。输出commit、tree、依赖锁、生成代码hash、schema版本、APK SHA、签名证书指纹、包名、versionCode、测试结果、报告和回滚对象。</w:t>
      </w:r>
    </w:p>
    <w:p>
      <w:pPr>
        <w:widowControl/>
      </w:pPr>
      <w:r>
        <w:t>SBOM覆盖Gradle、native、Python研究依赖及模型资产许可证，记录版本、来源、hash、许可证和审计状态；“使用开源”不等于已经合规。API凭据和签名私钥不进入公开方案、源码或日志。现有拆分字符串写入APK的API key仍能被分析提取，不能称为秘密存储；后续改用户配置或受控凭据服务时保持功能可用，不擅自断开现有数据链。</w:t>
      </w:r>
    </w:p>
    <w:p>
      <w:pPr>
        <w:pStyle w:val="Heading1"/>
      </w:pPr>
      <w:r>
        <w:t>21 资源与成本估算</w:t>
      </w:r>
    </w:p>
    <w:p>
      <w:pPr>
        <w:widowControl/>
      </w:pPr>
      <w:r>
        <w:t>默认手机CPU运行，不预设4张GPU。单份5000乘10乘10的float32概率表约1.91MiB；24份约45.78MiB，尚未包含Java数组头、缓存、模型、优化器、临时副本、原始JSON和数据库。当前Foundry的96MiB常量不能代表全APP内存上限；预算须按总PSS、Java堆、native和文件缓存分别量测。</w:t>
      </w:r>
    </w:p>
    <w:p>
      <w:pPr>
        <w:widowControl/>
      </w:pPr>
      <w:r>
        <w:t>建议手机训练额外工作集先以64至96MiB软限起步，按设备档自动缩小并发；停止扩模不能影响P0链。主机参考为8至16 CPU线程、16至32GiB RAM、20至50GiB临时空间；这是工程规划范围，需基准测试修订。单张GPU只在同质量目标下显著节约训练耗时后启用，具体型号、价格和预算尚未确定。</w:t>
      </w:r>
    </w:p>
    <w:p>
      <w:pPr>
        <w:widowControl/>
      </w:pPr>
      <w:r>
        <w:t>72次首轮主实验若每次2 CPU小时，则为144 CPU小时的情景估算，并非已测耗时。成本公式为CPU小时乘报价、GPU小时乘报价、存储GB月乘报价、网络用量乘报价及工程人日成本。没有供应商报价时单价填待报价，不抄每小时1至3美元的旧估值。每实验记录实耗，预算用尽保留结果并停止扩搜，不能通过不记失败来美化效率。</w:t>
      </w:r>
    </w:p>
    <w:p>
      <w:pPr>
        <w:pStyle w:val="Heading1"/>
      </w:pPr>
      <w:r>
        <w:t>22 十二批施工与里程碑</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6264"/>
        <w:gridCol w:w="1512"/>
      </w:tblGrid>
      <w:tr>
        <w:trPr>
          <w:cantSplit/>
          <w:tblHeader/>
        </w:trPr>
        <w:tc>
          <w:tcPr>
            <w:tcW w:type="dxa" w:w="2448"/>
            <w:vAlign w:val="center"/>
            <w:tcMar>
              <w:top w:w="95" w:type="dxa"/>
              <w:left w:w="95" w:type="dxa"/>
              <w:bottom w:w="95" w:type="dxa"/>
              <w:right w:w="95" w:type="dxa"/>
            </w:tcMar>
            <w:shd w:fill="E9EEF3"/>
          </w:tcPr>
          <w:p>
            <w:pPr>
              <w:spacing w:after="60" w:before="60" w:line="264" w:lineRule="auto"/>
            </w:pPr>
            <w:r>
              <w:rPr>
                <w:b/>
                <w:sz w:val="21"/>
              </w:rPr>
              <w:t>批次</w:t>
            </w:r>
          </w:p>
        </w:tc>
        <w:tc>
          <w:tcPr>
            <w:tcW w:type="dxa" w:w="6264"/>
            <w:vAlign w:val="center"/>
            <w:tcMar>
              <w:top w:w="95" w:type="dxa"/>
              <w:left w:w="95" w:type="dxa"/>
              <w:bottom w:w="95" w:type="dxa"/>
              <w:right w:w="95" w:type="dxa"/>
            </w:tcMar>
            <w:shd w:fill="E9EEF3"/>
          </w:tcPr>
          <w:p>
            <w:pPr>
              <w:spacing w:after="60" w:before="60" w:line="264" w:lineRule="auto"/>
            </w:pPr>
            <w:r>
              <w:rPr>
                <w:b/>
                <w:sz w:val="21"/>
              </w:rPr>
              <w:t>主要结果</w:t>
            </w:r>
          </w:p>
        </w:tc>
        <w:tc>
          <w:tcPr>
            <w:tcW w:type="dxa" w:w="1512"/>
            <w:vAlign w:val="center"/>
            <w:tcMar>
              <w:top w:w="95" w:type="dxa"/>
              <w:left w:w="95" w:type="dxa"/>
              <w:bottom w:w="95" w:type="dxa"/>
              <w:right w:w="95" w:type="dxa"/>
            </w:tcMar>
            <w:shd w:fill="E9EEF3"/>
          </w:tcPr>
          <w:p>
            <w:pPr>
              <w:spacing w:after="60" w:before="60" w:line="264" w:lineRule="auto"/>
            </w:pPr>
            <w:r>
              <w:rPr>
                <w:b/>
                <w:sz w:val="21"/>
              </w:rPr>
              <w:t>初估工程人日</w:t>
            </w:r>
          </w:p>
        </w:tc>
      </w:tr>
      <w:tr>
        <w:trPr>
          <w:cantSplit/>
        </w:trPr>
        <w:tc>
          <w:tcPr>
            <w:tcW w:type="dxa" w:w="2448"/>
            <w:vAlign w:val="center"/>
            <w:tcMar>
              <w:top w:w="95" w:type="dxa"/>
              <w:left w:w="95" w:type="dxa"/>
              <w:bottom w:w="95" w:type="dxa"/>
              <w:right w:w="95" w:type="dxa"/>
            </w:tcMar>
            <w:shd w:fill="FFFFFF"/>
          </w:tcPr>
          <w:p>
            <w:pPr>
              <w:spacing w:after="60" w:before="60" w:line="264" w:lineRule="auto"/>
            </w:pPr>
            <w:r>
              <w:rPr>
                <w:b w:val="0"/>
                <w:sz w:val="21"/>
              </w:rPr>
              <w:t>B01 基线与统一要求</w:t>
            </w:r>
          </w:p>
        </w:tc>
        <w:tc>
          <w:tcPr>
            <w:tcW w:type="dxa" w:w="6264"/>
            <w:vAlign w:val="center"/>
            <w:tcMar>
              <w:top w:w="95" w:type="dxa"/>
              <w:left w:w="95" w:type="dxa"/>
              <w:bottom w:w="95" w:type="dxa"/>
              <w:right w:w="95" w:type="dxa"/>
            </w:tcMar>
            <w:shd w:fill="FFFFFF"/>
          </w:tcPr>
          <w:p>
            <w:pPr>
              <w:spacing w:after="60" w:before="60" w:line="264" w:lineRule="auto"/>
            </w:pPr>
            <w:r>
              <w:rPr>
                <w:b w:val="0"/>
                <w:sz w:val="21"/>
              </w:rPr>
              <w:t>版本 数据 原件 源码范围和指标契约</w:t>
            </w:r>
          </w:p>
        </w:tc>
        <w:tc>
          <w:tcPr>
            <w:tcW w:type="dxa" w:w="1512"/>
            <w:vAlign w:val="center"/>
            <w:tcMar>
              <w:top w:w="95" w:type="dxa"/>
              <w:left w:w="95" w:type="dxa"/>
              <w:bottom w:w="95" w:type="dxa"/>
              <w:right w:w="95" w:type="dxa"/>
            </w:tcMar>
            <w:shd w:fill="FFFFFF"/>
          </w:tcPr>
          <w:p>
            <w:pPr>
              <w:spacing w:after="60" w:before="60" w:line="264" w:lineRule="auto"/>
            </w:pPr>
            <w:r>
              <w:rPr>
                <w:b w:val="0"/>
                <w:sz w:val="21"/>
              </w:rPr>
              <w:t>2至4</w:t>
            </w:r>
          </w:p>
        </w:tc>
      </w:tr>
      <w:tr>
        <w:trPr>
          <w:cantSplit/>
        </w:trPr>
        <w:tc>
          <w:tcPr>
            <w:tcW w:type="dxa" w:w="2448"/>
            <w:vAlign w:val="center"/>
            <w:tcMar>
              <w:top w:w="95" w:type="dxa"/>
              <w:left w:w="95" w:type="dxa"/>
              <w:bottom w:w="95" w:type="dxa"/>
              <w:right w:w="95" w:type="dxa"/>
            </w:tcMar>
            <w:shd w:fill="F7F8FA"/>
          </w:tcPr>
          <w:p>
            <w:pPr>
              <w:spacing w:after="60" w:before="60" w:line="264" w:lineRule="auto"/>
            </w:pPr>
            <w:r>
              <w:rPr>
                <w:b w:val="0"/>
                <w:sz w:val="21"/>
              </w:rPr>
              <w:t>B02 迁移与每期反馈</w:t>
            </w:r>
          </w:p>
        </w:tc>
        <w:tc>
          <w:tcPr>
            <w:tcW w:type="dxa" w:w="6264"/>
            <w:vAlign w:val="center"/>
            <w:tcMar>
              <w:top w:w="95" w:type="dxa"/>
              <w:left w:w="95" w:type="dxa"/>
              <w:bottom w:w="95" w:type="dxa"/>
              <w:right w:w="95" w:type="dxa"/>
            </w:tcMar>
            <w:shd w:fill="F7F8FA"/>
          </w:tcPr>
          <w:p>
            <w:pPr>
              <w:spacing w:after="60" w:before="60" w:line="264" w:lineRule="auto"/>
            </w:pPr>
            <w:r>
              <w:rPr>
                <w:b w:val="0"/>
                <w:sz w:val="21"/>
              </w:rPr>
              <w:t>不充电能推进 事件幂等 租约隔离</w:t>
            </w:r>
          </w:p>
        </w:tc>
        <w:tc>
          <w:tcPr>
            <w:tcW w:type="dxa" w:w="1512"/>
            <w:vAlign w:val="center"/>
            <w:tcMar>
              <w:top w:w="95" w:type="dxa"/>
              <w:left w:w="95" w:type="dxa"/>
              <w:bottom w:w="95" w:type="dxa"/>
              <w:right w:w="95" w:type="dxa"/>
            </w:tcMar>
            <w:shd w:fill="F7F8FA"/>
          </w:tcPr>
          <w:p>
            <w:pPr>
              <w:spacing w:after="60" w:before="60" w:line="264" w:lineRule="auto"/>
            </w:pPr>
            <w:r>
              <w:rPr>
                <w:b w:val="0"/>
                <w:sz w:val="21"/>
              </w:rPr>
              <w:t>4至7</w:t>
            </w:r>
          </w:p>
        </w:tc>
      </w:tr>
      <w:tr>
        <w:trPr>
          <w:cantSplit/>
        </w:trPr>
        <w:tc>
          <w:tcPr>
            <w:tcW w:type="dxa" w:w="2448"/>
            <w:vAlign w:val="center"/>
            <w:tcMar>
              <w:top w:w="95" w:type="dxa"/>
              <w:left w:w="95" w:type="dxa"/>
              <w:bottom w:w="95" w:type="dxa"/>
              <w:right w:w="95" w:type="dxa"/>
            </w:tcMar>
            <w:shd w:fill="FFFFFF"/>
          </w:tcPr>
          <w:p>
            <w:pPr>
              <w:spacing w:after="60" w:before="60" w:line="264" w:lineRule="auto"/>
            </w:pPr>
            <w:r>
              <w:rPr>
                <w:b w:val="0"/>
                <w:sz w:val="21"/>
              </w:rPr>
              <w:t>B03 抓取与时间正确性</w:t>
            </w:r>
          </w:p>
        </w:tc>
        <w:tc>
          <w:tcPr>
            <w:tcW w:type="dxa" w:w="6264"/>
            <w:vAlign w:val="center"/>
            <w:tcMar>
              <w:top w:w="95" w:type="dxa"/>
              <w:left w:w="95" w:type="dxa"/>
              <w:bottom w:w="95" w:type="dxa"/>
              <w:right w:w="95" w:type="dxa"/>
            </w:tcMar>
            <w:shd w:fill="FFFFFF"/>
          </w:tcPr>
          <w:p>
            <w:pPr>
              <w:spacing w:after="60" w:before="60" w:line="264" w:lineRule="auto"/>
            </w:pPr>
            <w:r>
              <w:rPr>
                <w:b w:val="0"/>
                <w:sz w:val="21"/>
              </w:rPr>
              <w:t>缺口 迟到 截止 时钟 主线程卡顿</w:t>
            </w:r>
          </w:p>
        </w:tc>
        <w:tc>
          <w:tcPr>
            <w:tcW w:type="dxa" w:w="1512"/>
            <w:vAlign w:val="center"/>
            <w:tcMar>
              <w:top w:w="95" w:type="dxa"/>
              <w:left w:w="95" w:type="dxa"/>
              <w:bottom w:w="95" w:type="dxa"/>
              <w:right w:w="95" w:type="dxa"/>
            </w:tcMar>
            <w:shd w:fill="FFFFFF"/>
          </w:tcPr>
          <w:p>
            <w:pPr>
              <w:spacing w:after="60" w:before="60" w:line="264" w:lineRule="auto"/>
            </w:pPr>
            <w:r>
              <w:rPr>
                <w:b w:val="0"/>
                <w:sz w:val="21"/>
              </w:rPr>
              <w:t>3至6</w:t>
            </w:r>
          </w:p>
        </w:tc>
      </w:tr>
      <w:tr>
        <w:trPr>
          <w:cantSplit/>
        </w:trPr>
        <w:tc>
          <w:tcPr>
            <w:tcW w:type="dxa" w:w="2448"/>
            <w:vAlign w:val="center"/>
            <w:tcMar>
              <w:top w:w="95" w:type="dxa"/>
              <w:left w:w="95" w:type="dxa"/>
              <w:bottom w:w="95" w:type="dxa"/>
              <w:right w:w="95" w:type="dxa"/>
            </w:tcMar>
            <w:shd w:fill="F7F8FA"/>
          </w:tcPr>
          <w:p>
            <w:pPr>
              <w:spacing w:after="60" w:before="60" w:line="264" w:lineRule="auto"/>
            </w:pPr>
            <w:r>
              <w:rPr>
                <w:b w:val="0"/>
                <w:sz w:val="21"/>
              </w:rPr>
              <w:t>B04 有界训练与状态</w:t>
            </w:r>
          </w:p>
        </w:tc>
        <w:tc>
          <w:tcPr>
            <w:tcW w:type="dxa" w:w="6264"/>
            <w:vAlign w:val="center"/>
            <w:tcMar>
              <w:top w:w="95" w:type="dxa"/>
              <w:left w:w="95" w:type="dxa"/>
              <w:bottom w:w="95" w:type="dxa"/>
              <w:right w:w="95" w:type="dxa"/>
            </w:tcMar>
            <w:shd w:fill="F7F8FA"/>
          </w:tcPr>
          <w:p>
            <w:pPr>
              <w:spacing w:after="60" w:before="60" w:line="264" w:lineRule="auto"/>
            </w:pPr>
            <w:r>
              <w:rPr>
                <w:b w:val="0"/>
                <w:sz w:val="21"/>
              </w:rPr>
              <w:t>固定快照 切片 恢复 内存及写锁</w:t>
            </w:r>
          </w:p>
        </w:tc>
        <w:tc>
          <w:tcPr>
            <w:tcW w:type="dxa" w:w="1512"/>
            <w:vAlign w:val="center"/>
            <w:tcMar>
              <w:top w:w="95" w:type="dxa"/>
              <w:left w:w="95" w:type="dxa"/>
              <w:bottom w:w="95" w:type="dxa"/>
              <w:right w:w="95" w:type="dxa"/>
            </w:tcMar>
            <w:shd w:fill="F7F8FA"/>
          </w:tcPr>
          <w:p>
            <w:pPr>
              <w:spacing w:after="60" w:before="60" w:line="264" w:lineRule="auto"/>
            </w:pPr>
            <w:r>
              <w:rPr>
                <w:b w:val="0"/>
                <w:sz w:val="21"/>
              </w:rPr>
              <w:t>5至8</w:t>
            </w:r>
          </w:p>
        </w:tc>
      </w:tr>
      <w:tr>
        <w:trPr>
          <w:cantSplit/>
        </w:trPr>
        <w:tc>
          <w:tcPr>
            <w:tcW w:type="dxa" w:w="2448"/>
            <w:vAlign w:val="center"/>
            <w:tcMar>
              <w:top w:w="95" w:type="dxa"/>
              <w:left w:w="95" w:type="dxa"/>
              <w:bottom w:w="95" w:type="dxa"/>
              <w:right w:w="95" w:type="dxa"/>
            </w:tcMar>
            <w:shd w:fill="FFFFFF"/>
          </w:tcPr>
          <w:p>
            <w:pPr>
              <w:spacing w:after="60" w:before="60" w:line="264" w:lineRule="auto"/>
            </w:pPr>
            <w:r>
              <w:rPr>
                <w:b w:val="0"/>
                <w:sz w:val="21"/>
              </w:rPr>
              <w:t>B05 原子与旧资产</w:t>
            </w:r>
          </w:p>
        </w:tc>
        <w:tc>
          <w:tcPr>
            <w:tcW w:type="dxa" w:w="6264"/>
            <w:vAlign w:val="center"/>
            <w:tcMar>
              <w:top w:w="95" w:type="dxa"/>
              <w:left w:w="95" w:type="dxa"/>
              <w:bottom w:w="95" w:type="dxa"/>
              <w:right w:w="95" w:type="dxa"/>
            </w:tcMar>
            <w:shd w:fill="FFFFFF"/>
          </w:tcPr>
          <w:p>
            <w:pPr>
              <w:spacing w:after="60" w:before="60" w:line="264" w:lineRule="auto"/>
            </w:pPr>
            <w:r>
              <w:rPr>
                <w:b w:val="0"/>
                <w:sz w:val="21"/>
              </w:rPr>
              <w:t>旧执行器 原子契约 合法概率</w:t>
            </w:r>
          </w:p>
        </w:tc>
        <w:tc>
          <w:tcPr>
            <w:tcW w:type="dxa" w:w="1512"/>
            <w:vAlign w:val="center"/>
            <w:tcMar>
              <w:top w:w="95" w:type="dxa"/>
              <w:left w:w="95" w:type="dxa"/>
              <w:bottom w:w="95" w:type="dxa"/>
              <w:right w:w="95" w:type="dxa"/>
            </w:tcMar>
            <w:shd w:fill="FFFFFF"/>
          </w:tcPr>
          <w:p>
            <w:pPr>
              <w:spacing w:after="60" w:before="60" w:line="264" w:lineRule="auto"/>
            </w:pPr>
            <w:r>
              <w:rPr>
                <w:b w:val="0"/>
                <w:sz w:val="21"/>
              </w:rPr>
              <w:t>4至7</w:t>
            </w:r>
          </w:p>
        </w:tc>
      </w:tr>
      <w:tr>
        <w:trPr>
          <w:cantSplit/>
        </w:trPr>
        <w:tc>
          <w:tcPr>
            <w:tcW w:type="dxa" w:w="2448"/>
            <w:vAlign w:val="center"/>
            <w:tcMar>
              <w:top w:w="95" w:type="dxa"/>
              <w:left w:w="95" w:type="dxa"/>
              <w:bottom w:w="95" w:type="dxa"/>
              <w:right w:w="95" w:type="dxa"/>
            </w:tcMar>
            <w:shd w:fill="F7F8FA"/>
          </w:tcPr>
          <w:p>
            <w:pPr>
              <w:spacing w:after="60" w:before="60" w:line="264" w:lineRule="auto"/>
            </w:pPr>
            <w:r>
              <w:rPr>
                <w:b w:val="0"/>
                <w:sz w:val="21"/>
              </w:rPr>
              <w:t>B06 家族与结构创造</w:t>
            </w:r>
          </w:p>
        </w:tc>
        <w:tc>
          <w:tcPr>
            <w:tcW w:type="dxa" w:w="6264"/>
            <w:vAlign w:val="center"/>
            <w:tcMar>
              <w:top w:w="95" w:type="dxa"/>
              <w:left w:w="95" w:type="dxa"/>
              <w:bottom w:w="95" w:type="dxa"/>
              <w:right w:w="95" w:type="dxa"/>
            </w:tcMar>
            <w:shd w:fill="F7F8FA"/>
          </w:tcPr>
          <w:p>
            <w:pPr>
              <w:spacing w:after="60" w:before="60" w:line="264" w:lineRule="auto"/>
            </w:pPr>
            <w:r>
              <w:rPr>
                <w:b w:val="0"/>
                <w:sz w:val="21"/>
              </w:rPr>
              <w:t>24家族分组推进 16专家可执行提案</w:t>
            </w:r>
          </w:p>
        </w:tc>
        <w:tc>
          <w:tcPr>
            <w:tcW w:type="dxa" w:w="1512"/>
            <w:vAlign w:val="center"/>
            <w:tcMar>
              <w:top w:w="95" w:type="dxa"/>
              <w:left w:w="95" w:type="dxa"/>
              <w:bottom w:w="95" w:type="dxa"/>
              <w:right w:w="95" w:type="dxa"/>
            </w:tcMar>
            <w:shd w:fill="F7F8FA"/>
          </w:tcPr>
          <w:p>
            <w:pPr>
              <w:spacing w:after="60" w:before="60" w:line="264" w:lineRule="auto"/>
            </w:pPr>
            <w:r>
              <w:rPr>
                <w:b w:val="0"/>
                <w:sz w:val="21"/>
              </w:rPr>
              <w:t>10至18</w:t>
            </w:r>
          </w:p>
        </w:tc>
      </w:tr>
      <w:tr>
        <w:trPr>
          <w:cantSplit/>
        </w:trPr>
        <w:tc>
          <w:tcPr>
            <w:tcW w:type="dxa" w:w="2448"/>
            <w:vAlign w:val="center"/>
            <w:tcMar>
              <w:top w:w="95" w:type="dxa"/>
              <w:left w:w="95" w:type="dxa"/>
              <w:bottom w:w="95" w:type="dxa"/>
              <w:right w:w="95" w:type="dxa"/>
            </w:tcMar>
            <w:shd w:fill="FFFFFF"/>
          </w:tcPr>
          <w:p>
            <w:pPr>
              <w:spacing w:after="60" w:before="60" w:line="264" w:lineRule="auto"/>
            </w:pPr>
            <w:r>
              <w:rPr>
                <w:b w:val="0"/>
                <w:sz w:val="21"/>
              </w:rPr>
              <w:t>B07 独立证据与统计</w:t>
            </w:r>
          </w:p>
        </w:tc>
        <w:tc>
          <w:tcPr>
            <w:tcW w:type="dxa" w:w="6264"/>
            <w:vAlign w:val="center"/>
            <w:tcMar>
              <w:top w:w="95" w:type="dxa"/>
              <w:left w:w="95" w:type="dxa"/>
              <w:bottom w:w="95" w:type="dxa"/>
              <w:right w:w="95" w:type="dxa"/>
            </w:tcMar>
            <w:shd w:fill="FFFFFF"/>
          </w:tcPr>
          <w:p>
            <w:pPr>
              <w:spacing w:after="60" w:before="60" w:line="264" w:lineRule="auto"/>
            </w:pPr>
            <w:r>
              <w:rPr>
                <w:b w:val="0"/>
                <w:sz w:val="21"/>
              </w:rPr>
              <w:t>政策身份 cohort 暴露 检验预算</w:t>
            </w:r>
          </w:p>
        </w:tc>
        <w:tc>
          <w:tcPr>
            <w:tcW w:type="dxa" w:w="1512"/>
            <w:vAlign w:val="center"/>
            <w:tcMar>
              <w:top w:w="95" w:type="dxa"/>
              <w:left w:w="95" w:type="dxa"/>
              <w:bottom w:w="95" w:type="dxa"/>
              <w:right w:w="95" w:type="dxa"/>
            </w:tcMar>
            <w:shd w:fill="FFFFFF"/>
          </w:tcPr>
          <w:p>
            <w:pPr>
              <w:spacing w:after="60" w:before="60" w:line="264" w:lineRule="auto"/>
            </w:pPr>
            <w:r>
              <w:rPr>
                <w:b w:val="0"/>
                <w:sz w:val="21"/>
              </w:rPr>
              <w:t>5至9</w:t>
            </w:r>
          </w:p>
        </w:tc>
      </w:tr>
      <w:tr>
        <w:trPr>
          <w:cantSplit/>
        </w:trPr>
        <w:tc>
          <w:tcPr>
            <w:tcW w:type="dxa" w:w="2448"/>
            <w:vAlign w:val="center"/>
            <w:tcMar>
              <w:top w:w="95" w:type="dxa"/>
              <w:left w:w="95" w:type="dxa"/>
              <w:bottom w:w="95" w:type="dxa"/>
              <w:right w:w="95" w:type="dxa"/>
            </w:tcMar>
            <w:shd w:fill="F7F8FA"/>
          </w:tcPr>
          <w:p>
            <w:pPr>
              <w:spacing w:after="60" w:before="60" w:line="264" w:lineRule="auto"/>
            </w:pPr>
            <w:r>
              <w:rPr>
                <w:b w:val="0"/>
                <w:sz w:val="21"/>
              </w:rPr>
              <w:t>B08 资格与单主链</w:t>
            </w:r>
          </w:p>
        </w:tc>
        <w:tc>
          <w:tcPr>
            <w:tcW w:type="dxa" w:w="6264"/>
            <w:vAlign w:val="center"/>
            <w:tcMar>
              <w:top w:w="95" w:type="dxa"/>
              <w:left w:w="95" w:type="dxa"/>
              <w:bottom w:w="95" w:type="dxa"/>
              <w:right w:w="95" w:type="dxa"/>
            </w:tcMar>
            <w:shd w:fill="F7F8FA"/>
          </w:tcPr>
          <w:p>
            <w:pPr>
              <w:spacing w:after="60" w:before="60" w:line="264" w:lineRule="auto"/>
            </w:pPr>
            <w:r>
              <w:rPr>
                <w:b w:val="0"/>
                <w:sz w:val="21"/>
              </w:rPr>
              <w:t>整体组合验证 证书绑定 回退</w:t>
            </w:r>
          </w:p>
        </w:tc>
        <w:tc>
          <w:tcPr>
            <w:tcW w:type="dxa" w:w="1512"/>
            <w:vAlign w:val="center"/>
            <w:tcMar>
              <w:top w:w="95" w:type="dxa"/>
              <w:left w:w="95" w:type="dxa"/>
              <w:bottom w:w="95" w:type="dxa"/>
              <w:right w:w="95" w:type="dxa"/>
            </w:tcMar>
            <w:shd w:fill="F7F8FA"/>
          </w:tcPr>
          <w:p>
            <w:pPr>
              <w:spacing w:after="60" w:before="60" w:line="264" w:lineRule="auto"/>
            </w:pPr>
            <w:r>
              <w:rPr>
                <w:b w:val="0"/>
                <w:sz w:val="21"/>
              </w:rPr>
              <w:t>3至6</w:t>
            </w:r>
          </w:p>
        </w:tc>
      </w:tr>
      <w:tr>
        <w:trPr>
          <w:cantSplit/>
        </w:trPr>
        <w:tc>
          <w:tcPr>
            <w:tcW w:type="dxa" w:w="2448"/>
            <w:vAlign w:val="center"/>
            <w:tcMar>
              <w:top w:w="95" w:type="dxa"/>
              <w:left w:w="95" w:type="dxa"/>
              <w:bottom w:w="95" w:type="dxa"/>
              <w:right w:w="95" w:type="dxa"/>
            </w:tcMar>
            <w:shd w:fill="FFFFFF"/>
          </w:tcPr>
          <w:p>
            <w:pPr>
              <w:spacing w:after="60" w:before="60" w:line="264" w:lineRule="auto"/>
            </w:pPr>
            <w:r>
              <w:rPr>
                <w:b w:val="0"/>
                <w:sz w:val="21"/>
              </w:rPr>
              <w:t>B09 发布与资源</w:t>
            </w:r>
          </w:p>
        </w:tc>
        <w:tc>
          <w:tcPr>
            <w:tcW w:type="dxa" w:w="6264"/>
            <w:vAlign w:val="center"/>
            <w:tcMar>
              <w:top w:w="95" w:type="dxa"/>
              <w:left w:w="95" w:type="dxa"/>
              <w:bottom w:w="95" w:type="dxa"/>
              <w:right w:w="95" w:type="dxa"/>
            </w:tcMar>
            <w:shd w:fill="FFFFFF"/>
          </w:tcPr>
          <w:p>
            <w:pPr>
              <w:spacing w:after="60" w:before="60" w:line="264" w:lineRule="auto"/>
            </w:pPr>
            <w:r>
              <w:rPr>
                <w:b w:val="0"/>
                <w:sz w:val="21"/>
              </w:rPr>
              <w:t>双槽恢复 迁移兼容 容量和成本</w:t>
            </w:r>
          </w:p>
        </w:tc>
        <w:tc>
          <w:tcPr>
            <w:tcW w:type="dxa" w:w="1512"/>
            <w:vAlign w:val="center"/>
            <w:tcMar>
              <w:top w:w="95" w:type="dxa"/>
              <w:left w:w="95" w:type="dxa"/>
              <w:bottom w:w="95" w:type="dxa"/>
              <w:right w:w="95" w:type="dxa"/>
            </w:tcMar>
            <w:shd w:fill="FFFFFF"/>
          </w:tcPr>
          <w:p>
            <w:pPr>
              <w:spacing w:after="60" w:before="60" w:line="264" w:lineRule="auto"/>
            </w:pPr>
            <w:r>
              <w:rPr>
                <w:b w:val="0"/>
                <w:sz w:val="21"/>
              </w:rPr>
              <w:t>4至7</w:t>
            </w:r>
          </w:p>
        </w:tc>
      </w:tr>
      <w:tr>
        <w:trPr>
          <w:cantSplit/>
        </w:trPr>
        <w:tc>
          <w:tcPr>
            <w:tcW w:type="dxa" w:w="2448"/>
            <w:vAlign w:val="center"/>
            <w:tcMar>
              <w:top w:w="95" w:type="dxa"/>
              <w:left w:w="95" w:type="dxa"/>
              <w:bottom w:w="95" w:type="dxa"/>
              <w:right w:w="95" w:type="dxa"/>
            </w:tcMar>
            <w:shd w:fill="F7F8FA"/>
          </w:tcPr>
          <w:p>
            <w:pPr>
              <w:spacing w:after="60" w:before="60" w:line="264" w:lineRule="auto"/>
            </w:pPr>
            <w:r>
              <w:rPr>
                <w:b w:val="0"/>
                <w:sz w:val="21"/>
              </w:rPr>
              <w:t>B10 报告与图表</w:t>
            </w:r>
          </w:p>
        </w:tc>
        <w:tc>
          <w:tcPr>
            <w:tcW w:type="dxa" w:w="6264"/>
            <w:vAlign w:val="center"/>
            <w:tcMar>
              <w:top w:w="95" w:type="dxa"/>
              <w:left w:w="95" w:type="dxa"/>
              <w:bottom w:w="95" w:type="dxa"/>
              <w:right w:w="95" w:type="dxa"/>
            </w:tcMar>
            <w:shd w:fill="F7F8FA"/>
          </w:tcPr>
          <w:p>
            <w:pPr>
              <w:spacing w:after="60" w:before="60" w:line="264" w:lineRule="auto"/>
            </w:pPr>
            <w:r>
              <w:rPr>
                <w:b w:val="0"/>
                <w:sz w:val="21"/>
              </w:rPr>
              <w:t>36章 完整明细 排行榜和预测图</w:t>
            </w:r>
          </w:p>
        </w:tc>
        <w:tc>
          <w:tcPr>
            <w:tcW w:type="dxa" w:w="1512"/>
            <w:vAlign w:val="center"/>
            <w:tcMar>
              <w:top w:w="95" w:type="dxa"/>
              <w:left w:w="95" w:type="dxa"/>
              <w:bottom w:w="95" w:type="dxa"/>
              <w:right w:w="95" w:type="dxa"/>
            </w:tcMar>
            <w:shd w:fill="F7F8FA"/>
          </w:tcPr>
          <w:p>
            <w:pPr>
              <w:spacing w:after="60" w:before="60" w:line="264" w:lineRule="auto"/>
            </w:pPr>
            <w:r>
              <w:rPr>
                <w:b w:val="0"/>
                <w:sz w:val="21"/>
              </w:rPr>
              <w:t>5至9</w:t>
            </w:r>
          </w:p>
        </w:tc>
      </w:tr>
      <w:tr>
        <w:trPr>
          <w:cantSplit/>
        </w:trPr>
        <w:tc>
          <w:tcPr>
            <w:tcW w:type="dxa" w:w="2448"/>
            <w:vAlign w:val="center"/>
            <w:tcMar>
              <w:top w:w="95" w:type="dxa"/>
              <w:left w:w="95" w:type="dxa"/>
              <w:bottom w:w="95" w:type="dxa"/>
              <w:right w:w="95" w:type="dxa"/>
            </w:tcMar>
            <w:shd w:fill="FFFFFF"/>
          </w:tcPr>
          <w:p>
            <w:pPr>
              <w:spacing w:after="60" w:before="60" w:line="264" w:lineRule="auto"/>
            </w:pPr>
            <w:r>
              <w:rPr>
                <w:b w:val="0"/>
                <w:sz w:val="21"/>
              </w:rPr>
              <w:t>B11 CI与设备矩阵</w:t>
            </w:r>
          </w:p>
        </w:tc>
        <w:tc>
          <w:tcPr>
            <w:tcW w:type="dxa" w:w="6264"/>
            <w:vAlign w:val="center"/>
            <w:tcMar>
              <w:top w:w="95" w:type="dxa"/>
              <w:left w:w="95" w:type="dxa"/>
              <w:bottom w:w="95" w:type="dxa"/>
              <w:right w:w="95" w:type="dxa"/>
            </w:tcMar>
            <w:shd w:fill="FFFFFF"/>
          </w:tcPr>
          <w:p>
            <w:pPr>
              <w:spacing w:after="60" w:before="60" w:line="264" w:lineRule="auto"/>
            </w:pPr>
            <w:r>
              <w:rPr>
                <w:b w:val="0"/>
                <w:sz w:val="21"/>
              </w:rPr>
              <w:t>固定工件机器回执 升级和后台证据</w:t>
            </w:r>
          </w:p>
        </w:tc>
        <w:tc>
          <w:tcPr>
            <w:tcW w:type="dxa" w:w="1512"/>
            <w:vAlign w:val="center"/>
            <w:tcMar>
              <w:top w:w="95" w:type="dxa"/>
              <w:left w:w="95" w:type="dxa"/>
              <w:bottom w:w="95" w:type="dxa"/>
              <w:right w:w="95" w:type="dxa"/>
            </w:tcMar>
            <w:shd w:fill="FFFFFF"/>
          </w:tcPr>
          <w:p>
            <w:pPr>
              <w:spacing w:after="60" w:before="60" w:line="264" w:lineRule="auto"/>
            </w:pPr>
            <w:r>
              <w:rPr>
                <w:b w:val="0"/>
                <w:sz w:val="21"/>
              </w:rPr>
              <w:t>5至10</w:t>
            </w:r>
          </w:p>
        </w:tc>
      </w:tr>
      <w:tr>
        <w:trPr>
          <w:cantSplit/>
        </w:trPr>
        <w:tc>
          <w:tcPr>
            <w:tcW w:type="dxa" w:w="2448"/>
            <w:vAlign w:val="center"/>
            <w:tcMar>
              <w:top w:w="95" w:type="dxa"/>
              <w:left w:w="95" w:type="dxa"/>
              <w:bottom w:w="95" w:type="dxa"/>
              <w:right w:w="95" w:type="dxa"/>
            </w:tcMar>
            <w:shd w:fill="F7F8FA"/>
          </w:tcPr>
          <w:p>
            <w:pPr>
              <w:spacing w:after="60" w:before="60" w:line="264" w:lineRule="auto"/>
            </w:pPr>
            <w:r>
              <w:rPr>
                <w:b w:val="0"/>
                <w:sz w:val="21"/>
              </w:rPr>
              <w:t>B12 全量回归和交付</w:t>
            </w:r>
          </w:p>
        </w:tc>
        <w:tc>
          <w:tcPr>
            <w:tcW w:type="dxa" w:w="6264"/>
            <w:vAlign w:val="center"/>
            <w:tcMar>
              <w:top w:w="95" w:type="dxa"/>
              <w:left w:w="95" w:type="dxa"/>
              <w:bottom w:w="95" w:type="dxa"/>
              <w:right w:w="95" w:type="dxa"/>
            </w:tcMar>
            <w:shd w:fill="F7F8FA"/>
          </w:tcPr>
          <w:p>
            <w:pPr>
              <w:spacing w:after="60" w:before="60" w:line="264" w:lineRule="auto"/>
            </w:pPr>
            <w:r>
              <w:rPr>
                <w:b w:val="0"/>
                <w:sz w:val="21"/>
              </w:rPr>
              <w:t>APK 报告 工件 校验 质量结论</w:t>
            </w:r>
          </w:p>
        </w:tc>
        <w:tc>
          <w:tcPr>
            <w:tcW w:type="dxa" w:w="1512"/>
            <w:vAlign w:val="center"/>
            <w:tcMar>
              <w:top w:w="95" w:type="dxa"/>
              <w:left w:w="95" w:type="dxa"/>
              <w:bottom w:w="95" w:type="dxa"/>
              <w:right w:w="95" w:type="dxa"/>
            </w:tcMar>
            <w:shd w:fill="F7F8FA"/>
          </w:tcPr>
          <w:p>
            <w:pPr>
              <w:spacing w:after="60" w:before="60" w:line="264" w:lineRule="auto"/>
            </w:pPr>
            <w:r>
              <w:rPr>
                <w:b w:val="0"/>
                <w:sz w:val="21"/>
              </w:rPr>
              <w:t>3至6</w:t>
            </w:r>
          </w:p>
        </w:tc>
      </w:tr>
    </w:tbl>
    <w:p>
      <w:pPr>
        <w:spacing w:after="20" w:before="0"/>
      </w:pPr>
    </w:p>
    <w:p>
      <w:pPr>
        <w:widowControl/>
      </w:pPr>
      <w:r>
        <w:t>合计53至97工程人日，为本次定向审计后的规划估计，不是合同报价或完成承诺。假设Android与数据工程1人、算法工程1人、测试工程0.5至1人，部分可并行；依赖就绪后约6至12周完成首轮工程与研究交付，源代码补审发现新问题需重估。第一阶段B01至B04优先恢复链路；第二阶段B05至B10完善能力；第三阶段B11至B12完成发布与长期观察。没有理由把明确修复自动拖成1至3年，也不能许诺若干天内必达高胜率。</w:t>
      </w:r>
    </w:p>
    <w:p>
      <w:pPr>
        <w:widowControl/>
      </w:pPr>
      <w:r>
        <w:t>自然样本积累单独计时。15%频率下250次动作期望需要约1667个机会，2000期约300次；即使每分钟一期也只是理想期望，缺口、停机和统计功效会增加时间。24家族可以共享同期已冻结影子观察，但不能把它们的动作数相加成某一策略的独立样本。工程工期与统计等待不可相互替代。</w:t>
      </w:r>
    </w:p>
    <w:p>
      <w:pPr>
        <w:widowControl/>
      </w:pPr>
      <w:r>
        <w:t>每批交付必须包含APK或明确未进入可构建阶段的原因、精确diff、测试命令和原日志、迁移与覆盖安装结果、报告增量、剩余问题和回滚入口。用户只报批次号时工具自行定位工程，不要求用户填写SDK路径或hash。</w:t>
      </w:r>
    </w:p>
    <w:p>
      <w:pPr>
        <w:pStyle w:val="Heading1"/>
      </w:pPr>
      <w:r>
        <w:t>23 风险与停止条件</w:t>
      </w:r>
    </w:p>
    <w:p>
      <w:pPr>
        <w:widowControl/>
      </w:pPr>
      <w:r>
        <w:t>研究风险是有限数据支持不了复杂机制；采用共享编码、稀疏结构、条件回退和同预算消融，未达标继续保留真实失败。统计风险是重复搜索、查看和路由择优；采用暴露账本、政策出生、幂等检验和整体组合评价。运行风险是切片名义化、写锁、临时副本及后台饥饿；用真实deadline、游标和资源实测验收。</w:t>
      </w:r>
    </w:p>
    <w:p>
      <w:pPr>
        <w:widowControl/>
      </w:pPr>
      <w:r>
        <w:t>迁移风险以升级旧库与中断恢复测试控制，禁止清数据作为通过条件。报告风险用固定章节与范围守恒控制，缺项不得出完整结论。交付风险用实际被安装的APK身份和机器回执控制，避免构建成功后换包。任何严重因果污染、重复REAL、签名错配、无法启动都阻断发布；单纯研究没有新优势则如实标质量目标未达，不虚构进化代数。</w:t>
      </w:r>
    </w:p>
    <w:p>
      <w:pPr>
        <w:pStyle w:val="Heading1"/>
      </w:pPr>
      <w:r>
        <w:t>24 可直接交付的施工清单</w:t>
      </w:r>
    </w:p>
    <w:p>
      <w:pPr>
        <w:widowControl/>
      </w:pPr>
      <w:r>
        <w:t>施工从README与统一80卡表开始；每卡有根因、真实文件方法、跨文件冲突、具体改法、依赖、反例、验收、工件及回退。32张新增卡细化持续学习身份、事件事务、创造能力、证据资格、模型发布、报告、资源和CI。新增SQL、Python和Java为可运行的HOST参考合同，含针对失效路径的测试；Android调用者适配、迁移Owner、设备运行仍须按卡接入。</w:t>
      </w:r>
    </w:p>
    <w:p>
      <w:pPr>
        <w:widowControl/>
      </w:pPr>
      <w:r>
        <w:t>保留所有R24精确补丁，本版新增Foundry评分移出事务的SHA受限窄补丁。执行前核对源文件hash，不匹配停止生成差异；禁止模糊替换新源码。补丁测试只说明其验证范围，不把源码文本检查冒充Android运行性能证明。</w:t>
      </w:r>
    </w:p>
    <w:p>
      <w:pPr>
        <w:widowControl/>
      </w:pPr>
      <w:r>
        <w:t>最终签署分为工程闭环、能力覆盖、算法质量和用户设备交付四项。四者各自出状态和证据，不能互相顶替。研究产出没有达到目标时，报告必须写差距、失败结构、已否定机制和下一批可证伪实验，持续优化必须产生可执行变化与完整结果。</w:t>
      </w:r>
    </w:p>
    <w:p>
      <w:pPr>
        <w:pStyle w:val="Heading1"/>
      </w:pPr>
      <w:r>
        <w:t>25 方法依据</w:t>
      </w:r>
    </w:p>
    <w:p>
      <w:pPr>
        <w:keepLines/>
        <w:widowControl/>
        <w:spacing w:line="252" w:lineRule="auto" w:after="100"/>
      </w:pPr>
      <w:r>
        <w:rPr>
          <w:sz w:val="19"/>
        </w:rPr>
        <w:t>M01 SQLite官方WAL文档：https://www.sqlite.org/wal.html 。支持单写者和checkpoint设计。</w:t>
      </w:r>
    </w:p>
    <w:p>
      <w:pPr>
        <w:keepLines/>
        <w:widowControl/>
        <w:spacing w:line="252" w:lineRule="auto" w:after="100"/>
      </w:pPr>
      <w:r>
        <w:rPr>
          <w:sz w:val="19"/>
        </w:rPr>
        <w:t>M02 scikit learn官方交叉验证文档：https://scikit-learn.org/stable/modules/cross_validation.html 。支持按时间与样本依赖设计划分。</w:t>
      </w:r>
    </w:p>
    <w:p>
      <w:pPr>
        <w:keepLines/>
        <w:widowControl/>
        <w:spacing w:line="252" w:lineRule="auto" w:after="100"/>
      </w:pPr>
      <w:r>
        <w:rPr>
          <w:sz w:val="19"/>
        </w:rPr>
        <w:t>M03 Howard等置信序列原论文：https://arxiv.org/abs/1810.08240 。序贯方法依赖明确假设及实现验证。</w:t>
      </w:r>
    </w:p>
    <w:p>
      <w:pPr>
        <w:keepLines/>
        <w:widowControl/>
        <w:spacing w:line="252" w:lineRule="auto" w:after="100"/>
      </w:pPr>
      <w:r>
        <w:rPr>
          <w:sz w:val="19"/>
        </w:rPr>
        <w:t>M04 Mouret与Clune的MAP Elites原论文：https://arxiv.org/abs/1504.04909 。用于质量与多样性档案搜索。</w:t>
      </w:r>
    </w:p>
    <w:p>
      <w:pPr>
        <w:keepLines/>
        <w:widowControl/>
        <w:spacing w:line="252" w:lineRule="auto" w:after="100"/>
      </w:pPr>
      <w:r>
        <w:rPr>
          <w:sz w:val="19"/>
        </w:rPr>
        <w:t>M05 Android前台服务超时：https://developer.android.com/develop/background-work/services/fgs/timeout 。适用条件须按target与系统版本核对。</w:t>
      </w:r>
    </w:p>
    <w:p>
      <w:pPr>
        <w:keepLines/>
        <w:widowControl/>
        <w:spacing w:line="252" w:lineRule="auto" w:after="100"/>
      </w:pPr>
      <w:r>
        <w:rPr>
          <w:sz w:val="19"/>
        </w:rPr>
        <w:t>M06 Android长时Worker：https://developer.android.com/develop/background-work/background-tasks/persistent/how-to/long-running 。不把Worker当永久运行保证。</w:t>
      </w:r>
    </w:p>
    <w:p>
      <w:pPr>
        <w:keepLines/>
        <w:widowControl/>
        <w:spacing w:line="252" w:lineRule="auto" w:after="100"/>
      </w:pPr>
      <w:r>
        <w:rPr>
          <w:sz w:val="19"/>
        </w:rPr>
        <w:t>M07 GitHub Actions安全使用：https://docs.github.com/en/actions/reference/security/secure-use 。用于CI权限与依赖约束。</w:t>
      </w:r>
    </w:p>
    <w:p>
      <w:pPr>
        <w:keepLines/>
        <w:widowControl/>
        <w:spacing w:line="252" w:lineRule="auto" w:after="100"/>
      </w:pPr>
      <w:r>
        <w:rPr>
          <w:sz w:val="19"/>
        </w:rPr>
        <w:t>M08 Guo等神经网络校准原论文：https://proceedings.mlr.press/v70/guo17a.html 。支持校准作为单独评估问题；本项目效果仍由自身留后数据决定。</w:t>
      </w:r>
    </w:p>
    <w:p>
      <w:pPr>
        <w:keepLines/>
        <w:widowControl/>
        <w:spacing w:line="252" w:lineRule="auto" w:after="100"/>
      </w:pPr>
      <w:r>
        <w:rPr>
          <w:sz w:val="19"/>
        </w:rPr>
        <w:t>以上来源于2026年10月26日查阅。它们支持方法与平台约束，不证明STARCORE已经获得更高命中率。项目数字来自附件及本包重算证据，工程目标和成本情景均明确为设计值。</w:t>
      </w:r>
    </w:p>
    <w:sectPr w:rsidR="00FC693F" w:rsidRPr="0006063C" w:rsidSect="00034616">
      <w:footerReference w:type="default" r:id="rId9"/>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40"/>
    </w:pPr>
    <w:rPr>
      <w:rFonts w:ascii="WenQuanYi Zen Hei" w:hAnsi="WenQuanYi Zen Hei" w:eastAsia="WenQuanYi Zen 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WenQuanYi Zen Hei" w:hAnsi="WenQuanYi Zen Hei" w:eastAsia="WenQuanYi Zen 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WenQuanYi Zen Hei" w:hAnsi="WenQuanYi Zen Hei" w:eastAsia="WenQuanYi Zen 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WenQuanYi Zen Hei" w:hAnsi="WenQuanYi Zen Hei" w:eastAsia="WenQuanYi Zen 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ascii="WenQuanYi Zen Hei" w:hAnsi="WenQuanYi Zen Hei" w:eastAsia="WenQuanYi Zen He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WenQuanYi Zen Hei" w:hAnsi="WenQuanYi Zen Hei" w:eastAsia="WenQuanYi Zen 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STARCORE R25 最终施工蓝图</dc:title>
  <dc:subject>持续训练 策略创造 验证与安卓交付</dc:subject>
  <dc:creator>STARCORE 工程规划</dc:creator>
  <cp:keywords/>
  <dc:description>generated by python-docx</dc:description>
  <cp:lastModifiedBy/>
  <cp:revision>1</cp:revision>
  <dcterms:created xsi:type="dcterms:W3CDTF">2013-12-23T23:15:00Z</dcterms:created>
  <dcterms:modified xsi:type="dcterms:W3CDTF">2013-12-23T23:15:00Z</dcterms:modified>
  <cp:category/>
</cp:coreProperties>
</file>