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0456F" w14:textId="08D28651" w:rsidR="00811C8F" w:rsidRPr="00811C8F" w:rsidRDefault="00A946C2" w:rsidP="00811C8F">
      <w:pPr>
        <w:rPr>
          <w:b/>
          <w:bCs/>
        </w:rPr>
      </w:pPr>
      <w:r w:rsidRPr="00811C8F">
        <w:rPr>
          <w:b/>
          <w:bCs/>
        </w:rPr>
        <w:t>7.1 #</w:t>
      </w:r>
      <w:r w:rsidR="00811C8F" w:rsidRPr="00811C8F">
        <w:rPr>
          <w:b/>
          <w:bCs/>
        </w:rPr>
        <w:t>1 — AI agents and agentic workflows</w:t>
      </w:r>
    </w:p>
    <w:tbl>
      <w:tblPr>
        <w:tblStyle w:val="TableGrid"/>
        <w:tblW w:w="10080" w:type="dxa"/>
        <w:jc w:val="center"/>
        <w:tblLayout w:type="fixed"/>
        <w:tblCellMar>
          <w:top w:w="70" w:type="dxa"/>
          <w:left w:w="80" w:type="dxa"/>
          <w:bottom w:w="70" w:type="dxa"/>
          <w:right w:w="80" w:type="dxa"/>
        </w:tblCellMar>
        <w:tblLook w:val="04A0" w:firstRow="1" w:lastRow="0" w:firstColumn="1" w:lastColumn="0" w:noHBand="0" w:noVBand="1"/>
      </w:tblPr>
      <w:tblGrid>
        <w:gridCol w:w="2016"/>
        <w:gridCol w:w="2016"/>
        <w:gridCol w:w="2016"/>
        <w:gridCol w:w="2016"/>
        <w:gridCol w:w="2016"/>
      </w:tblGrid>
      <w:tr w:rsidR="00811C8F" w:rsidRPr="00811C8F" w14:paraId="328CF161" w14:textId="77777777" w:rsidTr="00D40D09">
        <w:trPr>
          <w:cantSplit/>
          <w:tblHeader/>
          <w:jc w:val="center"/>
        </w:trPr>
        <w:tc>
          <w:tcPr>
            <w:tcW w:w="2016" w:type="dxa"/>
            <w:shd w:val="clear" w:color="auto" w:fill="2F5D8A"/>
            <w:vAlign w:val="center"/>
          </w:tcPr>
          <w:p w14:paraId="21B48992" w14:textId="77777777" w:rsidR="00811C8F" w:rsidRPr="00811C8F" w:rsidRDefault="00811C8F" w:rsidP="00811C8F">
            <w:pPr>
              <w:spacing w:after="160" w:line="278" w:lineRule="auto"/>
            </w:pPr>
            <w:r w:rsidRPr="00811C8F">
              <w:rPr>
                <w:b/>
              </w:rPr>
              <w:t>Type</w:t>
            </w:r>
          </w:p>
        </w:tc>
        <w:tc>
          <w:tcPr>
            <w:tcW w:w="2016" w:type="dxa"/>
            <w:shd w:val="clear" w:color="auto" w:fill="2F5D8A"/>
            <w:vAlign w:val="center"/>
          </w:tcPr>
          <w:p w14:paraId="260E5C24" w14:textId="77777777" w:rsidR="00811C8F" w:rsidRPr="00811C8F" w:rsidRDefault="00811C8F" w:rsidP="00811C8F">
            <w:pPr>
              <w:spacing w:after="160" w:line="278" w:lineRule="auto"/>
            </w:pPr>
            <w:r w:rsidRPr="00811C8F">
              <w:rPr>
                <w:b/>
              </w:rPr>
              <w:t>Classification</w:t>
            </w:r>
          </w:p>
        </w:tc>
        <w:tc>
          <w:tcPr>
            <w:tcW w:w="2016" w:type="dxa"/>
            <w:shd w:val="clear" w:color="auto" w:fill="2F5D8A"/>
            <w:vAlign w:val="center"/>
          </w:tcPr>
          <w:p w14:paraId="0FF18A1A" w14:textId="77777777" w:rsidR="00811C8F" w:rsidRPr="00811C8F" w:rsidRDefault="00811C8F" w:rsidP="00811C8F">
            <w:pPr>
              <w:spacing w:after="160" w:line="278" w:lineRule="auto"/>
            </w:pPr>
            <w:r w:rsidRPr="00811C8F">
              <w:rPr>
                <w:b/>
              </w:rPr>
              <w:t>Total Score</w:t>
            </w:r>
          </w:p>
        </w:tc>
        <w:tc>
          <w:tcPr>
            <w:tcW w:w="2016" w:type="dxa"/>
            <w:shd w:val="clear" w:color="auto" w:fill="2F5D8A"/>
            <w:vAlign w:val="center"/>
          </w:tcPr>
          <w:p w14:paraId="404BC3B0" w14:textId="77777777" w:rsidR="00811C8F" w:rsidRPr="00811C8F" w:rsidRDefault="00811C8F" w:rsidP="00811C8F">
            <w:pPr>
              <w:spacing w:after="160" w:line="278" w:lineRule="auto"/>
            </w:pPr>
            <w:r w:rsidRPr="00811C8F">
              <w:rPr>
                <w:b/>
              </w:rPr>
              <w:t>Confidence</w:t>
            </w:r>
          </w:p>
        </w:tc>
        <w:tc>
          <w:tcPr>
            <w:tcW w:w="2016" w:type="dxa"/>
            <w:shd w:val="clear" w:color="auto" w:fill="2F5D8A"/>
            <w:vAlign w:val="center"/>
          </w:tcPr>
          <w:p w14:paraId="359F1247" w14:textId="77777777" w:rsidR="00811C8F" w:rsidRPr="00811C8F" w:rsidRDefault="00811C8F" w:rsidP="00811C8F">
            <w:pPr>
              <w:spacing w:after="160" w:line="278" w:lineRule="auto"/>
            </w:pPr>
            <w:r w:rsidRPr="00811C8F">
              <w:rPr>
                <w:b/>
              </w:rPr>
              <w:t>Evidence</w:t>
            </w:r>
          </w:p>
        </w:tc>
      </w:tr>
      <w:tr w:rsidR="00811C8F" w:rsidRPr="00811C8F" w14:paraId="75E37930" w14:textId="77777777" w:rsidTr="00D40D09">
        <w:trPr>
          <w:cantSplit/>
          <w:jc w:val="center"/>
        </w:trPr>
        <w:tc>
          <w:tcPr>
            <w:tcW w:w="2016" w:type="dxa"/>
            <w:vAlign w:val="center"/>
          </w:tcPr>
          <w:p w14:paraId="6414E9EE" w14:textId="77777777" w:rsidR="00811C8F" w:rsidRPr="00811C8F" w:rsidRDefault="00811C8F" w:rsidP="00811C8F">
            <w:pPr>
              <w:spacing w:after="160" w:line="278" w:lineRule="auto"/>
            </w:pPr>
            <w:r w:rsidRPr="00811C8F">
              <w:t>Concept / operating model</w:t>
            </w:r>
          </w:p>
        </w:tc>
        <w:tc>
          <w:tcPr>
            <w:tcW w:w="2016" w:type="dxa"/>
            <w:vAlign w:val="center"/>
          </w:tcPr>
          <w:p w14:paraId="115F4B8C" w14:textId="77777777" w:rsidR="00811C8F" w:rsidRPr="00811C8F" w:rsidRDefault="00811C8F" w:rsidP="00811C8F">
            <w:pPr>
              <w:spacing w:after="160" w:line="278" w:lineRule="auto"/>
            </w:pPr>
            <w:r w:rsidRPr="00811C8F">
              <w:t>Current + Emerging</w:t>
            </w:r>
          </w:p>
        </w:tc>
        <w:tc>
          <w:tcPr>
            <w:tcW w:w="2016" w:type="dxa"/>
            <w:vAlign w:val="center"/>
          </w:tcPr>
          <w:p w14:paraId="0FE1E58C" w14:textId="77777777" w:rsidR="00811C8F" w:rsidRPr="00811C8F" w:rsidRDefault="00811C8F" w:rsidP="00811C8F">
            <w:pPr>
              <w:spacing w:after="160" w:line="278" w:lineRule="auto"/>
            </w:pPr>
            <w:r w:rsidRPr="00811C8F">
              <w:t>96</w:t>
            </w:r>
          </w:p>
        </w:tc>
        <w:tc>
          <w:tcPr>
            <w:tcW w:w="2016" w:type="dxa"/>
            <w:vAlign w:val="center"/>
          </w:tcPr>
          <w:p w14:paraId="682FDB5D" w14:textId="77777777" w:rsidR="00811C8F" w:rsidRPr="00811C8F" w:rsidRDefault="00811C8F" w:rsidP="00811C8F">
            <w:pPr>
              <w:spacing w:after="160" w:line="278" w:lineRule="auto"/>
            </w:pPr>
            <w:r w:rsidRPr="00811C8F">
              <w:t>High</w:t>
            </w:r>
          </w:p>
        </w:tc>
        <w:tc>
          <w:tcPr>
            <w:tcW w:w="2016" w:type="dxa"/>
            <w:vAlign w:val="center"/>
          </w:tcPr>
          <w:p w14:paraId="0EFF5EC6" w14:textId="77777777" w:rsidR="00811C8F" w:rsidRPr="00811C8F" w:rsidRDefault="00811C8F" w:rsidP="00811C8F">
            <w:pPr>
              <w:spacing w:after="160" w:line="278" w:lineRule="auto"/>
            </w:pPr>
            <w:r w:rsidRPr="00811C8F">
              <w:t>[2], [13], [14], [15], [33]</w:t>
            </w:r>
          </w:p>
        </w:tc>
      </w:tr>
    </w:tbl>
    <w:p w14:paraId="32AD2D89" w14:textId="77777777" w:rsidR="00811C8F" w:rsidRPr="00811C8F" w:rsidRDefault="00811C8F" w:rsidP="00811C8F">
      <w:r w:rsidRPr="00811C8F">
        <w:rPr>
          <w:b/>
        </w:rPr>
        <w:t xml:space="preserve">Plain-language definition: </w:t>
      </w:r>
      <w:r w:rsidRPr="00811C8F">
        <w:t>AI agents are systems that pursue a goal through multiple steps, select or call tools, interact with software or data, evaluate intermediate results, and continue until they complete a task or reach a stopping condition. Agentic workflows range from tightly scripted sequences to more autonomous systems.</w:t>
      </w:r>
    </w:p>
    <w:p w14:paraId="38B8A76D" w14:textId="77777777" w:rsidR="00811C8F" w:rsidRPr="00811C8F" w:rsidRDefault="00811C8F" w:rsidP="00811C8F">
      <w:r w:rsidRPr="00811C8F">
        <w:rPr>
          <w:b/>
        </w:rPr>
        <w:t xml:space="preserve">Why it matters to senior leaders: </w:t>
      </w:r>
      <w:r w:rsidRPr="00811C8F">
        <w:t>Agents change investment decisions from buying a conversational tool to redesigning processes, permissions, controls, and accountability. Leaders must decide which workflows may be delegated, what approvals remain human, and how agent performance and cost will be measured.</w:t>
      </w:r>
    </w:p>
    <w:p w14:paraId="1EFBE574" w14:textId="77777777" w:rsidR="00811C8F" w:rsidRPr="00811C8F" w:rsidRDefault="00811C8F" w:rsidP="00811C8F">
      <w:r w:rsidRPr="00811C8F">
        <w:rPr>
          <w:b/>
        </w:rPr>
        <w:t xml:space="preserve">Why it matters to knowledge workers: </w:t>
      </w:r>
      <w:r w:rsidRPr="00811C8F">
        <w:t>Knowledge workers increasingly supervise, brief, review, and correct AI systems that can perform longer tasks across documents, applications, and communication channels. The differentiating skill becomes task framing, judgment, exception handling, and quality assurance.</w:t>
      </w:r>
    </w:p>
    <w:p w14:paraId="409E5959" w14:textId="77777777" w:rsidR="00811C8F" w:rsidRPr="00811C8F" w:rsidRDefault="00811C8F" w:rsidP="00811C8F">
      <w:r w:rsidRPr="00811C8F">
        <w:rPr>
          <w:b/>
        </w:rPr>
        <w:t xml:space="preserve">Practical organizational example: </w:t>
      </w:r>
      <w:r w:rsidRPr="00811C8F">
        <w:t>A finance agent gathers approved source data, updates a forecast workbook, prepares variance commentary, flags anomalies, and routes the package to a controller for approval rather than sending it automatically.</w:t>
      </w:r>
    </w:p>
    <w:p w14:paraId="15D68CBE" w14:textId="77777777" w:rsidR="00811C8F" w:rsidRPr="00811C8F" w:rsidRDefault="00811C8F" w:rsidP="00811C8F">
      <w:r w:rsidRPr="00811C8F">
        <w:rPr>
          <w:b/>
        </w:rPr>
        <w:t xml:space="preserve">Key opportunities: </w:t>
      </w:r>
      <w:r w:rsidRPr="00811C8F">
        <w:t>End-to-end cycle-time reduction; scalable execution of repeatable work; consistent process adherence; broader access to specialized expertise; faster research, analysis, coding, and operations.</w:t>
      </w:r>
    </w:p>
    <w:p w14:paraId="62E20D98" w14:textId="77777777" w:rsidR="00811C8F" w:rsidRPr="00811C8F" w:rsidRDefault="00811C8F" w:rsidP="00811C8F">
      <w:r w:rsidRPr="00811C8F">
        <w:rPr>
          <w:b/>
        </w:rPr>
        <w:t xml:space="preserve">Principal risks or limitations: </w:t>
      </w:r>
      <w:r w:rsidRPr="00811C8F">
        <w:t>Excessive permissions, hidden compounding errors, prompt injection, weak auditability, runaway cost, inappropriate autonomous actions, and unclear responsibility when the system causes harm.</w:t>
      </w:r>
    </w:p>
    <w:p w14:paraId="15305F61" w14:textId="77777777" w:rsidR="00811C8F" w:rsidRPr="00811C8F" w:rsidRDefault="00811C8F" w:rsidP="00811C8F">
      <w:r w:rsidRPr="00811C8F">
        <w:rPr>
          <w:b/>
        </w:rPr>
        <w:t xml:space="preserve">Common misconception: </w:t>
      </w:r>
      <w:r w:rsidRPr="00811C8F">
        <w:t>An agent is not simply a chatbot with a new label. The defining difference is persistent goal-directed execution through tools, state, and multiple steps.</w:t>
      </w:r>
    </w:p>
    <w:p w14:paraId="7BC7D9F0" w14:textId="77777777" w:rsidR="00811C8F" w:rsidRPr="00811C8F" w:rsidRDefault="00811C8F" w:rsidP="00811C8F">
      <w:r w:rsidRPr="00811C8F">
        <w:rPr>
          <w:b/>
        </w:rPr>
        <w:t xml:space="preserve">What to monitor next: </w:t>
      </w:r>
      <w:r w:rsidRPr="00811C8F">
        <w:t>Task-completion reliability, approval-gate design, agent activity logging, cost per successful task, standardized interoperability, and evidence that agents produce measurable business outcomes rather than impressive demonstrations. Evidence: [2], [13], [14], [15], [33].</w:t>
      </w:r>
    </w:p>
    <w:p w14:paraId="3343B7BA" w14:textId="77777777" w:rsidR="001A04F1" w:rsidRDefault="001A04F1"/>
    <w:sectPr w:rsidR="001A04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CD9"/>
    <w:rsid w:val="001A04F1"/>
    <w:rsid w:val="0061705A"/>
    <w:rsid w:val="00811C8F"/>
    <w:rsid w:val="00A946C2"/>
    <w:rsid w:val="00EB4CD9"/>
    <w:rsid w:val="00F56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60191"/>
  <w15:chartTrackingRefBased/>
  <w15:docId w15:val="{832E9DE7-4908-46C9-8B86-C7A9857FE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4C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4C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4C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4C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4C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4C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C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C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C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C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4C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4C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4C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4C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4C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C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C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CD9"/>
    <w:rPr>
      <w:rFonts w:eastAsiaTheme="majorEastAsia" w:cstheme="majorBidi"/>
      <w:color w:val="272727" w:themeColor="text1" w:themeTint="D8"/>
    </w:rPr>
  </w:style>
  <w:style w:type="paragraph" w:styleId="Title">
    <w:name w:val="Title"/>
    <w:basedOn w:val="Normal"/>
    <w:next w:val="Normal"/>
    <w:link w:val="TitleChar"/>
    <w:uiPriority w:val="10"/>
    <w:qFormat/>
    <w:rsid w:val="00EB4C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C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C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C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CD9"/>
    <w:pPr>
      <w:spacing w:before="160"/>
      <w:jc w:val="center"/>
    </w:pPr>
    <w:rPr>
      <w:i/>
      <w:iCs/>
      <w:color w:val="404040" w:themeColor="text1" w:themeTint="BF"/>
    </w:rPr>
  </w:style>
  <w:style w:type="character" w:customStyle="1" w:styleId="QuoteChar">
    <w:name w:val="Quote Char"/>
    <w:basedOn w:val="DefaultParagraphFont"/>
    <w:link w:val="Quote"/>
    <w:uiPriority w:val="29"/>
    <w:rsid w:val="00EB4CD9"/>
    <w:rPr>
      <w:i/>
      <w:iCs/>
      <w:color w:val="404040" w:themeColor="text1" w:themeTint="BF"/>
    </w:rPr>
  </w:style>
  <w:style w:type="paragraph" w:styleId="ListParagraph">
    <w:name w:val="List Paragraph"/>
    <w:basedOn w:val="Normal"/>
    <w:uiPriority w:val="34"/>
    <w:qFormat/>
    <w:rsid w:val="00EB4CD9"/>
    <w:pPr>
      <w:ind w:left="720"/>
      <w:contextualSpacing/>
    </w:pPr>
  </w:style>
  <w:style w:type="character" w:styleId="IntenseEmphasis">
    <w:name w:val="Intense Emphasis"/>
    <w:basedOn w:val="DefaultParagraphFont"/>
    <w:uiPriority w:val="21"/>
    <w:qFormat/>
    <w:rsid w:val="00EB4CD9"/>
    <w:rPr>
      <w:i/>
      <w:iCs/>
      <w:color w:val="0F4761" w:themeColor="accent1" w:themeShade="BF"/>
    </w:rPr>
  </w:style>
  <w:style w:type="paragraph" w:styleId="IntenseQuote">
    <w:name w:val="Intense Quote"/>
    <w:basedOn w:val="Normal"/>
    <w:next w:val="Normal"/>
    <w:link w:val="IntenseQuoteChar"/>
    <w:uiPriority w:val="30"/>
    <w:qFormat/>
    <w:rsid w:val="00EB4C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4CD9"/>
    <w:rPr>
      <w:i/>
      <w:iCs/>
      <w:color w:val="0F4761" w:themeColor="accent1" w:themeShade="BF"/>
    </w:rPr>
  </w:style>
  <w:style w:type="character" w:styleId="IntenseReference">
    <w:name w:val="Intense Reference"/>
    <w:basedOn w:val="DefaultParagraphFont"/>
    <w:uiPriority w:val="32"/>
    <w:qFormat/>
    <w:rsid w:val="00EB4CD9"/>
    <w:rPr>
      <w:b/>
      <w:bCs/>
      <w:smallCaps/>
      <w:color w:val="0F4761" w:themeColor="accent1" w:themeShade="BF"/>
      <w:spacing w:val="5"/>
    </w:rPr>
  </w:style>
  <w:style w:type="table" w:styleId="TableGrid">
    <w:name w:val="Table Grid"/>
    <w:basedOn w:val="TableNormal"/>
    <w:uiPriority w:val="39"/>
    <w:rsid w:val="00811C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340</Words>
  <Characters>1938</Characters>
  <Application>Microsoft Office Word</Application>
  <DocSecurity>0</DocSecurity>
  <Lines>16</Lines>
  <Paragraphs>4</Paragraphs>
  <ScaleCrop>false</ScaleCrop>
  <Company/>
  <LinksUpToDate>false</LinksUpToDate>
  <CharactersWithSpaces>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Tome</dc:creator>
  <cp:keywords/>
  <dc:description/>
  <cp:lastModifiedBy>George Tome</cp:lastModifiedBy>
  <cp:revision>3</cp:revision>
  <dcterms:created xsi:type="dcterms:W3CDTF">2026-07-22T02:47:00Z</dcterms:created>
  <dcterms:modified xsi:type="dcterms:W3CDTF">2026-07-22T04:20:00Z</dcterms:modified>
</cp:coreProperties>
</file>