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15869" w14:textId="77777777" w:rsidR="00344081" w:rsidRPr="00344081" w:rsidRDefault="00344081" w:rsidP="00344081">
      <w:pPr>
        <w:keepNext/>
        <w:keepLines/>
        <w:suppressAutoHyphens/>
        <w:spacing w:before="200" w:after="80" w:line="252" w:lineRule="auto"/>
        <w:outlineLvl w:val="1"/>
        <w:rPr>
          <w:rFonts w:ascii="Calibri" w:eastAsia="MS Gothic" w:hAnsi="Calibri" w:cs="Calibri"/>
          <w:b/>
          <w:bCs/>
          <w:color w:val="2F5D8A"/>
          <w:kern w:val="0"/>
          <w:sz w:val="26"/>
          <w:szCs w:val="26"/>
          <w14:ligatures w14:val="none"/>
        </w:rPr>
      </w:pPr>
      <w:r w:rsidRPr="00344081">
        <w:rPr>
          <w:rFonts w:ascii="Calibri" w:eastAsia="MS Gothic" w:hAnsi="Calibri" w:cs="Calibri"/>
          <w:b/>
          <w:bCs/>
          <w:color w:val="2F5D8A"/>
          <w:kern w:val="0"/>
          <w:sz w:val="26"/>
          <w:szCs w:val="26"/>
          <w14:ligatures w14:val="none"/>
        </w:rPr>
        <w:t>AI governance, risk management, and compliance</w:t>
      </w:r>
    </w:p>
    <w:tbl>
      <w:tblPr>
        <w:tblStyle w:val="TableGrid1"/>
        <w:tblW w:w="10080" w:type="dxa"/>
        <w:jc w:val="center"/>
        <w:tblLayout w:type="fixed"/>
        <w:tblCellMar>
          <w:top w:w="70" w:type="dxa"/>
          <w:left w:w="80" w:type="dxa"/>
          <w:bottom w:w="70" w:type="dxa"/>
          <w:right w:w="80" w:type="dxa"/>
        </w:tblCellMar>
        <w:tblLook w:val="04A0" w:firstRow="1" w:lastRow="0" w:firstColumn="1" w:lastColumn="0" w:noHBand="0" w:noVBand="1"/>
      </w:tblPr>
      <w:tblGrid>
        <w:gridCol w:w="2016"/>
        <w:gridCol w:w="2016"/>
        <w:gridCol w:w="2016"/>
        <w:gridCol w:w="2016"/>
        <w:gridCol w:w="2016"/>
      </w:tblGrid>
      <w:tr w:rsidR="00344081" w:rsidRPr="00344081" w14:paraId="49FD4AC2" w14:textId="77777777" w:rsidTr="000941B9">
        <w:trPr>
          <w:cantSplit/>
          <w:tblHeader/>
          <w:jc w:val="center"/>
        </w:trPr>
        <w:tc>
          <w:tcPr>
            <w:tcW w:w="2016" w:type="dxa"/>
            <w:shd w:val="clear" w:color="auto" w:fill="2F5D8A"/>
            <w:vAlign w:val="center"/>
          </w:tcPr>
          <w:p w14:paraId="04F9764F" w14:textId="77777777" w:rsidR="00344081" w:rsidRPr="00344081" w:rsidRDefault="00344081" w:rsidP="00344081">
            <w:pPr>
              <w:spacing w:line="252" w:lineRule="auto"/>
              <w:jc w:val="center"/>
              <w:rPr>
                <w:rFonts w:ascii="Aptos" w:eastAsia="Aptos" w:hAnsi="Aptos" w:cs="Cambria"/>
                <w:color w:val="1F2D3D"/>
                <w:sz w:val="19"/>
              </w:rPr>
            </w:pPr>
            <w:r w:rsidRPr="00344081">
              <w:rPr>
                <w:rFonts w:ascii="Aptos" w:eastAsia="Aptos" w:hAnsi="Aptos" w:cs="Cambria"/>
                <w:b/>
                <w:color w:val="FFFFFF"/>
                <w:sz w:val="15"/>
              </w:rPr>
              <w:t>Type</w:t>
            </w:r>
          </w:p>
        </w:tc>
        <w:tc>
          <w:tcPr>
            <w:tcW w:w="2016" w:type="dxa"/>
            <w:shd w:val="clear" w:color="auto" w:fill="2F5D8A"/>
            <w:vAlign w:val="center"/>
          </w:tcPr>
          <w:p w14:paraId="713C7715" w14:textId="77777777" w:rsidR="00344081" w:rsidRPr="00344081" w:rsidRDefault="00344081" w:rsidP="00344081">
            <w:pPr>
              <w:spacing w:line="252" w:lineRule="auto"/>
              <w:jc w:val="center"/>
              <w:rPr>
                <w:rFonts w:ascii="Aptos" w:eastAsia="Aptos" w:hAnsi="Aptos" w:cs="Cambria"/>
                <w:color w:val="1F2D3D"/>
                <w:sz w:val="19"/>
              </w:rPr>
            </w:pPr>
            <w:r w:rsidRPr="00344081">
              <w:rPr>
                <w:rFonts w:ascii="Aptos" w:eastAsia="Aptos" w:hAnsi="Aptos" w:cs="Cambria"/>
                <w:b/>
                <w:color w:val="FFFFFF"/>
                <w:sz w:val="15"/>
              </w:rPr>
              <w:t>Classification</w:t>
            </w:r>
          </w:p>
        </w:tc>
        <w:tc>
          <w:tcPr>
            <w:tcW w:w="2016" w:type="dxa"/>
            <w:shd w:val="clear" w:color="auto" w:fill="2F5D8A"/>
            <w:vAlign w:val="center"/>
          </w:tcPr>
          <w:p w14:paraId="37B15E49" w14:textId="77777777" w:rsidR="00344081" w:rsidRPr="00344081" w:rsidRDefault="00344081" w:rsidP="00344081">
            <w:pPr>
              <w:spacing w:line="252" w:lineRule="auto"/>
              <w:jc w:val="center"/>
              <w:rPr>
                <w:rFonts w:ascii="Aptos" w:eastAsia="Aptos" w:hAnsi="Aptos" w:cs="Cambria"/>
                <w:color w:val="1F2D3D"/>
                <w:sz w:val="19"/>
              </w:rPr>
            </w:pPr>
            <w:r w:rsidRPr="00344081">
              <w:rPr>
                <w:rFonts w:ascii="Aptos" w:eastAsia="Aptos" w:hAnsi="Aptos" w:cs="Cambria"/>
                <w:b/>
                <w:color w:val="FFFFFF"/>
                <w:sz w:val="15"/>
              </w:rPr>
              <w:t>Total Score</w:t>
            </w:r>
          </w:p>
        </w:tc>
        <w:tc>
          <w:tcPr>
            <w:tcW w:w="2016" w:type="dxa"/>
            <w:shd w:val="clear" w:color="auto" w:fill="2F5D8A"/>
            <w:vAlign w:val="center"/>
          </w:tcPr>
          <w:p w14:paraId="2A7AE186" w14:textId="77777777" w:rsidR="00344081" w:rsidRPr="00344081" w:rsidRDefault="00344081" w:rsidP="00344081">
            <w:pPr>
              <w:spacing w:line="252" w:lineRule="auto"/>
              <w:jc w:val="center"/>
              <w:rPr>
                <w:rFonts w:ascii="Aptos" w:eastAsia="Aptos" w:hAnsi="Aptos" w:cs="Cambria"/>
                <w:color w:val="1F2D3D"/>
                <w:sz w:val="19"/>
              </w:rPr>
            </w:pPr>
            <w:r w:rsidRPr="00344081">
              <w:rPr>
                <w:rFonts w:ascii="Aptos" w:eastAsia="Aptos" w:hAnsi="Aptos" w:cs="Cambria"/>
                <w:b/>
                <w:color w:val="FFFFFF"/>
                <w:sz w:val="15"/>
              </w:rPr>
              <w:t>Confidence</w:t>
            </w:r>
          </w:p>
        </w:tc>
        <w:tc>
          <w:tcPr>
            <w:tcW w:w="2016" w:type="dxa"/>
            <w:shd w:val="clear" w:color="auto" w:fill="2F5D8A"/>
            <w:vAlign w:val="center"/>
          </w:tcPr>
          <w:p w14:paraId="472AA4B3" w14:textId="77777777" w:rsidR="00344081" w:rsidRPr="00344081" w:rsidRDefault="00344081" w:rsidP="00344081">
            <w:pPr>
              <w:spacing w:line="252" w:lineRule="auto"/>
              <w:jc w:val="center"/>
              <w:rPr>
                <w:rFonts w:ascii="Aptos" w:eastAsia="Aptos" w:hAnsi="Aptos" w:cs="Cambria"/>
                <w:color w:val="1F2D3D"/>
                <w:sz w:val="19"/>
              </w:rPr>
            </w:pPr>
            <w:r w:rsidRPr="00344081">
              <w:rPr>
                <w:rFonts w:ascii="Aptos" w:eastAsia="Aptos" w:hAnsi="Aptos" w:cs="Cambria"/>
                <w:b/>
                <w:color w:val="FFFFFF"/>
                <w:sz w:val="15"/>
              </w:rPr>
              <w:t>Evidence</w:t>
            </w:r>
          </w:p>
        </w:tc>
      </w:tr>
      <w:tr w:rsidR="00344081" w:rsidRPr="00344081" w14:paraId="3C4BD250" w14:textId="77777777" w:rsidTr="000941B9">
        <w:trPr>
          <w:cantSplit/>
          <w:jc w:val="center"/>
        </w:trPr>
        <w:tc>
          <w:tcPr>
            <w:tcW w:w="2016" w:type="dxa"/>
            <w:vAlign w:val="center"/>
          </w:tcPr>
          <w:p w14:paraId="1529C541" w14:textId="77777777" w:rsidR="00344081" w:rsidRPr="00344081" w:rsidRDefault="00344081" w:rsidP="00344081">
            <w:pPr>
              <w:spacing w:line="252" w:lineRule="auto"/>
              <w:jc w:val="center"/>
              <w:rPr>
                <w:rFonts w:ascii="Aptos" w:eastAsia="Aptos" w:hAnsi="Aptos" w:cs="Cambria"/>
                <w:color w:val="1F2D3D"/>
                <w:sz w:val="19"/>
              </w:rPr>
            </w:pPr>
            <w:r w:rsidRPr="00344081">
              <w:rPr>
                <w:rFonts w:ascii="Aptos" w:eastAsia="Aptos" w:hAnsi="Aptos" w:cs="Cambria"/>
                <w:color w:val="1F2D3D"/>
                <w:sz w:val="15"/>
              </w:rPr>
              <w:t>Management discipline / control system</w:t>
            </w:r>
          </w:p>
        </w:tc>
        <w:tc>
          <w:tcPr>
            <w:tcW w:w="2016" w:type="dxa"/>
            <w:vAlign w:val="center"/>
          </w:tcPr>
          <w:p w14:paraId="7E80FABE" w14:textId="77777777" w:rsidR="00344081" w:rsidRPr="00344081" w:rsidRDefault="00344081" w:rsidP="00344081">
            <w:pPr>
              <w:spacing w:line="252" w:lineRule="auto"/>
              <w:jc w:val="center"/>
              <w:rPr>
                <w:rFonts w:ascii="Aptos" w:eastAsia="Aptos" w:hAnsi="Aptos" w:cs="Cambria"/>
                <w:color w:val="1F2D3D"/>
                <w:sz w:val="19"/>
              </w:rPr>
            </w:pPr>
            <w:r w:rsidRPr="00344081">
              <w:rPr>
                <w:rFonts w:ascii="Aptos" w:eastAsia="Aptos" w:hAnsi="Aptos" w:cs="Cambria"/>
                <w:color w:val="1F2D3D"/>
                <w:sz w:val="15"/>
              </w:rPr>
              <w:t>Foundational + Current</w:t>
            </w:r>
          </w:p>
        </w:tc>
        <w:tc>
          <w:tcPr>
            <w:tcW w:w="2016" w:type="dxa"/>
            <w:vAlign w:val="center"/>
          </w:tcPr>
          <w:p w14:paraId="35204AB4" w14:textId="77777777" w:rsidR="00344081" w:rsidRPr="00344081" w:rsidRDefault="00344081" w:rsidP="00344081">
            <w:pPr>
              <w:spacing w:line="252" w:lineRule="auto"/>
              <w:jc w:val="center"/>
              <w:rPr>
                <w:rFonts w:ascii="Aptos" w:eastAsia="Aptos" w:hAnsi="Aptos" w:cs="Cambria"/>
                <w:color w:val="1F2D3D"/>
                <w:sz w:val="19"/>
              </w:rPr>
            </w:pPr>
            <w:r w:rsidRPr="00344081">
              <w:rPr>
                <w:rFonts w:ascii="Aptos" w:eastAsia="Aptos" w:hAnsi="Aptos" w:cs="Cambria"/>
                <w:color w:val="1F2D3D"/>
                <w:sz w:val="15"/>
              </w:rPr>
              <w:t>95</w:t>
            </w:r>
          </w:p>
        </w:tc>
        <w:tc>
          <w:tcPr>
            <w:tcW w:w="2016" w:type="dxa"/>
            <w:vAlign w:val="center"/>
          </w:tcPr>
          <w:p w14:paraId="32DEA2A6" w14:textId="77777777" w:rsidR="00344081" w:rsidRPr="00344081" w:rsidRDefault="00344081" w:rsidP="00344081">
            <w:pPr>
              <w:spacing w:line="252" w:lineRule="auto"/>
              <w:jc w:val="center"/>
              <w:rPr>
                <w:rFonts w:ascii="Aptos" w:eastAsia="Aptos" w:hAnsi="Aptos" w:cs="Cambria"/>
                <w:color w:val="1F2D3D"/>
                <w:sz w:val="19"/>
              </w:rPr>
            </w:pPr>
            <w:r w:rsidRPr="00344081">
              <w:rPr>
                <w:rFonts w:ascii="Aptos" w:eastAsia="Aptos" w:hAnsi="Aptos" w:cs="Cambria"/>
                <w:color w:val="1F2D3D"/>
                <w:sz w:val="15"/>
              </w:rPr>
              <w:t>High</w:t>
            </w:r>
          </w:p>
        </w:tc>
        <w:tc>
          <w:tcPr>
            <w:tcW w:w="2016" w:type="dxa"/>
            <w:vAlign w:val="center"/>
          </w:tcPr>
          <w:p w14:paraId="22128A2E" w14:textId="77777777" w:rsidR="00344081" w:rsidRPr="00344081" w:rsidRDefault="00344081" w:rsidP="00344081">
            <w:pPr>
              <w:spacing w:line="252" w:lineRule="auto"/>
              <w:jc w:val="center"/>
              <w:rPr>
                <w:rFonts w:ascii="Aptos" w:eastAsia="Aptos" w:hAnsi="Aptos" w:cs="Cambria"/>
                <w:color w:val="1F2D3D"/>
                <w:sz w:val="19"/>
              </w:rPr>
            </w:pPr>
            <w:r w:rsidRPr="00344081">
              <w:rPr>
                <w:rFonts w:ascii="Aptos" w:eastAsia="Aptos" w:hAnsi="Aptos" w:cs="Cambria"/>
                <w:color w:val="1F2D3D"/>
                <w:sz w:val="15"/>
              </w:rPr>
              <w:t>[3], [7], [8], [9]</w:t>
            </w:r>
          </w:p>
        </w:tc>
      </w:tr>
    </w:tbl>
    <w:p w14:paraId="43D02B77" w14:textId="77777777" w:rsidR="00344081" w:rsidRPr="00344081" w:rsidRDefault="00344081" w:rsidP="00344081">
      <w:pPr>
        <w:keepLines/>
        <w:suppressAutoHyphens/>
        <w:spacing w:after="80" w:line="259" w:lineRule="auto"/>
        <w:rPr>
          <w:rFonts w:ascii="Cambria" w:eastAsia="MS Mincho" w:hAnsi="Cambria" w:cs="Cambria"/>
          <w:kern w:val="0"/>
          <w:sz w:val="22"/>
          <w:szCs w:val="22"/>
          <w14:ligatures w14:val="none"/>
        </w:rPr>
      </w:pPr>
      <w:r w:rsidRPr="00344081">
        <w:rPr>
          <w:rFonts w:ascii="Cambria" w:eastAsia="MS Mincho" w:hAnsi="Cambria" w:cs="Cambria"/>
          <w:b/>
          <w:color w:val="17365D"/>
          <w:kern w:val="0"/>
          <w:sz w:val="22"/>
          <w:szCs w:val="22"/>
          <w14:ligatures w14:val="none"/>
        </w:rPr>
        <w:t xml:space="preserve">Plain-language definition: </w:t>
      </w:r>
      <w:r w:rsidRPr="00344081">
        <w:rPr>
          <w:rFonts w:ascii="Cambria" w:eastAsia="MS Mincho" w:hAnsi="Cambria" w:cs="Cambria"/>
          <w:kern w:val="0"/>
          <w:sz w:val="22"/>
          <w:szCs w:val="22"/>
          <w14:ligatures w14:val="none"/>
        </w:rPr>
        <w:t>AI governance is the system of policies, roles, decision rights, risk assessments, documentation, controls, and monitoring used to ensure that AI is developed and used consistently with organizational objectives, legal duties, security requirements, and acceptable risk.</w:t>
      </w:r>
    </w:p>
    <w:p w14:paraId="24205D5B" w14:textId="77777777" w:rsidR="00344081" w:rsidRPr="00344081" w:rsidRDefault="00344081" w:rsidP="00344081">
      <w:pPr>
        <w:keepLines/>
        <w:suppressAutoHyphens/>
        <w:spacing w:after="80" w:line="259" w:lineRule="auto"/>
        <w:rPr>
          <w:rFonts w:ascii="Cambria" w:eastAsia="MS Mincho" w:hAnsi="Cambria" w:cs="Cambria"/>
          <w:kern w:val="0"/>
          <w:sz w:val="22"/>
          <w:szCs w:val="22"/>
          <w14:ligatures w14:val="none"/>
        </w:rPr>
      </w:pPr>
      <w:r w:rsidRPr="00344081">
        <w:rPr>
          <w:rFonts w:ascii="Cambria" w:eastAsia="MS Mincho" w:hAnsi="Cambria" w:cs="Cambria"/>
          <w:b/>
          <w:color w:val="17365D"/>
          <w:kern w:val="0"/>
          <w:sz w:val="22"/>
          <w:szCs w:val="22"/>
          <w14:ligatures w14:val="none"/>
        </w:rPr>
        <w:t xml:space="preserve">Why it matters to senior leaders: </w:t>
      </w:r>
      <w:r w:rsidRPr="00344081">
        <w:rPr>
          <w:rFonts w:ascii="Cambria" w:eastAsia="MS Mincho" w:hAnsi="Cambria" w:cs="Cambria"/>
          <w:kern w:val="0"/>
          <w:sz w:val="22"/>
          <w:szCs w:val="22"/>
          <w14:ligatures w14:val="none"/>
        </w:rPr>
        <w:t>Governance determines who may approve AI use cases, how risk tiers are assigned, what evidence is required before deployment, and who remains accountable. It is necessary for scaling AI beyond isolated experiments without creating uncontrolled legal, operational, or reputational exposure.</w:t>
      </w:r>
    </w:p>
    <w:p w14:paraId="08AA3FD5" w14:textId="77777777" w:rsidR="00344081" w:rsidRPr="00344081" w:rsidRDefault="00344081" w:rsidP="00344081">
      <w:pPr>
        <w:keepLines/>
        <w:suppressAutoHyphens/>
        <w:spacing w:after="80" w:line="259" w:lineRule="auto"/>
        <w:rPr>
          <w:rFonts w:ascii="Cambria" w:eastAsia="MS Mincho" w:hAnsi="Cambria" w:cs="Cambria"/>
          <w:kern w:val="0"/>
          <w:sz w:val="22"/>
          <w:szCs w:val="22"/>
          <w14:ligatures w14:val="none"/>
        </w:rPr>
      </w:pPr>
      <w:r w:rsidRPr="00344081">
        <w:rPr>
          <w:rFonts w:ascii="Cambria" w:eastAsia="MS Mincho" w:hAnsi="Cambria" w:cs="Cambria"/>
          <w:b/>
          <w:color w:val="17365D"/>
          <w:kern w:val="0"/>
          <w:sz w:val="22"/>
          <w:szCs w:val="22"/>
          <w14:ligatures w14:val="none"/>
        </w:rPr>
        <w:t xml:space="preserve">Why it matters to knowledge workers: </w:t>
      </w:r>
      <w:r w:rsidRPr="00344081">
        <w:rPr>
          <w:rFonts w:ascii="Cambria" w:eastAsia="MS Mincho" w:hAnsi="Cambria" w:cs="Cambria"/>
          <w:kern w:val="0"/>
          <w:sz w:val="22"/>
          <w:szCs w:val="22"/>
          <w14:ligatures w14:val="none"/>
        </w:rPr>
        <w:t>Employees need clear rules for approved tools, confidential data, human review, disclosure, recordkeeping, and escalation. Good governance should enable safe use rather than reduce the policy to a blanket prohibition.</w:t>
      </w:r>
    </w:p>
    <w:p w14:paraId="065F84B5" w14:textId="77777777" w:rsidR="00344081" w:rsidRPr="00344081" w:rsidRDefault="00344081" w:rsidP="00344081">
      <w:pPr>
        <w:keepLines/>
        <w:suppressAutoHyphens/>
        <w:spacing w:after="80" w:line="259" w:lineRule="auto"/>
        <w:rPr>
          <w:rFonts w:ascii="Cambria" w:eastAsia="MS Mincho" w:hAnsi="Cambria" w:cs="Cambria"/>
          <w:kern w:val="0"/>
          <w:sz w:val="22"/>
          <w:szCs w:val="22"/>
          <w14:ligatures w14:val="none"/>
        </w:rPr>
      </w:pPr>
      <w:r w:rsidRPr="00344081">
        <w:rPr>
          <w:rFonts w:ascii="Cambria" w:eastAsia="MS Mincho" w:hAnsi="Cambria" w:cs="Cambria"/>
          <w:b/>
          <w:color w:val="17365D"/>
          <w:kern w:val="0"/>
          <w:sz w:val="22"/>
          <w:szCs w:val="22"/>
          <w14:ligatures w14:val="none"/>
        </w:rPr>
        <w:t xml:space="preserve">Practical organizational example: </w:t>
      </w:r>
      <w:r w:rsidRPr="00344081">
        <w:rPr>
          <w:rFonts w:ascii="Cambria" w:eastAsia="MS Mincho" w:hAnsi="Cambria" w:cs="Cambria"/>
          <w:kern w:val="0"/>
          <w:sz w:val="22"/>
          <w:szCs w:val="22"/>
          <w14:ligatures w14:val="none"/>
        </w:rPr>
        <w:t>An organization classifies use cases as low, medium, or high risk. A low-risk drafting assistant receives streamlined approval, while a customer-credit recommendation requires validation, bias testing, legal review, monitoring, and documented human decision authority.</w:t>
      </w:r>
    </w:p>
    <w:p w14:paraId="1972BB52" w14:textId="77777777" w:rsidR="00344081" w:rsidRPr="00344081" w:rsidRDefault="00344081" w:rsidP="00344081">
      <w:pPr>
        <w:keepLines/>
        <w:suppressAutoHyphens/>
        <w:spacing w:after="80" w:line="259" w:lineRule="auto"/>
        <w:rPr>
          <w:rFonts w:ascii="Cambria" w:eastAsia="MS Mincho" w:hAnsi="Cambria" w:cs="Cambria"/>
          <w:kern w:val="0"/>
          <w:sz w:val="22"/>
          <w:szCs w:val="22"/>
          <w14:ligatures w14:val="none"/>
        </w:rPr>
      </w:pPr>
      <w:r w:rsidRPr="00344081">
        <w:rPr>
          <w:rFonts w:ascii="Cambria" w:eastAsia="MS Mincho" w:hAnsi="Cambria" w:cs="Cambria"/>
          <w:b/>
          <w:color w:val="17365D"/>
          <w:kern w:val="0"/>
          <w:sz w:val="22"/>
          <w:szCs w:val="22"/>
          <w14:ligatures w14:val="none"/>
        </w:rPr>
        <w:t xml:space="preserve">Key opportunities: </w:t>
      </w:r>
      <w:r w:rsidRPr="00344081">
        <w:rPr>
          <w:rFonts w:ascii="Cambria" w:eastAsia="MS Mincho" w:hAnsi="Cambria" w:cs="Cambria"/>
          <w:kern w:val="0"/>
          <w:sz w:val="22"/>
          <w:szCs w:val="22"/>
          <w14:ligatures w14:val="none"/>
        </w:rPr>
        <w:t>Faster repeatable approvals; clearer accountability; better vendor management; reduced duplication; stronger audit readiness; greater confidence among customers, regulators, and employees.</w:t>
      </w:r>
    </w:p>
    <w:p w14:paraId="6188E8AB" w14:textId="77777777" w:rsidR="00344081" w:rsidRPr="00344081" w:rsidRDefault="00344081" w:rsidP="00344081">
      <w:pPr>
        <w:keepLines/>
        <w:suppressAutoHyphens/>
        <w:spacing w:after="80" w:line="259" w:lineRule="auto"/>
        <w:rPr>
          <w:rFonts w:ascii="Cambria" w:eastAsia="MS Mincho" w:hAnsi="Cambria" w:cs="Cambria"/>
          <w:kern w:val="0"/>
          <w:sz w:val="22"/>
          <w:szCs w:val="22"/>
          <w14:ligatures w14:val="none"/>
        </w:rPr>
      </w:pPr>
      <w:r w:rsidRPr="00344081">
        <w:rPr>
          <w:rFonts w:ascii="Cambria" w:eastAsia="MS Mincho" w:hAnsi="Cambria" w:cs="Cambria"/>
          <w:b/>
          <w:color w:val="17365D"/>
          <w:kern w:val="0"/>
          <w:sz w:val="22"/>
          <w:szCs w:val="22"/>
          <w14:ligatures w14:val="none"/>
        </w:rPr>
        <w:t xml:space="preserve">Principal risks or limitations: </w:t>
      </w:r>
      <w:r w:rsidRPr="00344081">
        <w:rPr>
          <w:rFonts w:ascii="Cambria" w:eastAsia="MS Mincho" w:hAnsi="Cambria" w:cs="Cambria"/>
          <w:kern w:val="0"/>
          <w:sz w:val="22"/>
          <w:szCs w:val="22"/>
          <w14:ligatures w14:val="none"/>
        </w:rPr>
        <w:t>Governance theater, excessive bureaucracy, policies disconnected from technical reality, unclear ownership, incomplete inventories, and controls that exist on paper but are not tested in production.</w:t>
      </w:r>
    </w:p>
    <w:p w14:paraId="5C52C495" w14:textId="77777777" w:rsidR="00344081" w:rsidRPr="00344081" w:rsidRDefault="00344081" w:rsidP="00344081">
      <w:pPr>
        <w:keepLines/>
        <w:suppressAutoHyphens/>
        <w:spacing w:after="80" w:line="259" w:lineRule="auto"/>
        <w:rPr>
          <w:rFonts w:ascii="Cambria" w:eastAsia="MS Mincho" w:hAnsi="Cambria" w:cs="Cambria"/>
          <w:kern w:val="0"/>
          <w:sz w:val="22"/>
          <w:szCs w:val="22"/>
          <w14:ligatures w14:val="none"/>
        </w:rPr>
      </w:pPr>
      <w:r w:rsidRPr="00344081">
        <w:rPr>
          <w:rFonts w:ascii="Cambria" w:eastAsia="MS Mincho" w:hAnsi="Cambria" w:cs="Cambria"/>
          <w:b/>
          <w:color w:val="17365D"/>
          <w:kern w:val="0"/>
          <w:sz w:val="22"/>
          <w:szCs w:val="22"/>
          <w14:ligatures w14:val="none"/>
        </w:rPr>
        <w:t xml:space="preserve">Common misconception: </w:t>
      </w:r>
      <w:r w:rsidRPr="00344081">
        <w:rPr>
          <w:rFonts w:ascii="Cambria" w:eastAsia="MS Mincho" w:hAnsi="Cambria" w:cs="Cambria"/>
          <w:kern w:val="0"/>
          <w:sz w:val="22"/>
          <w:szCs w:val="22"/>
          <w14:ligatures w14:val="none"/>
        </w:rPr>
        <w:t>Governance is not the same as slowing innovation. A mature control system can accelerate lower-risk deployments by making requirements predictable.</w:t>
      </w:r>
    </w:p>
    <w:p w14:paraId="6E4C6783" w14:textId="77777777" w:rsidR="00344081" w:rsidRPr="00344081" w:rsidRDefault="00344081" w:rsidP="00344081">
      <w:pPr>
        <w:keepLines/>
        <w:suppressAutoHyphens/>
        <w:spacing w:after="80" w:line="259" w:lineRule="auto"/>
        <w:rPr>
          <w:rFonts w:ascii="Cambria" w:eastAsia="MS Mincho" w:hAnsi="Cambria" w:cs="Cambria"/>
          <w:kern w:val="0"/>
          <w:sz w:val="22"/>
          <w:szCs w:val="22"/>
          <w14:ligatures w14:val="none"/>
        </w:rPr>
      </w:pPr>
      <w:r w:rsidRPr="00344081">
        <w:rPr>
          <w:rFonts w:ascii="Cambria" w:eastAsia="MS Mincho" w:hAnsi="Cambria" w:cs="Cambria"/>
          <w:b/>
          <w:color w:val="17365D"/>
          <w:kern w:val="0"/>
          <w:sz w:val="22"/>
          <w:szCs w:val="22"/>
          <w14:ligatures w14:val="none"/>
        </w:rPr>
        <w:t xml:space="preserve">What to monitor next: </w:t>
      </w:r>
      <w:r w:rsidRPr="00344081">
        <w:rPr>
          <w:rFonts w:ascii="Cambria" w:eastAsia="MS Mincho" w:hAnsi="Cambria" w:cs="Cambria"/>
          <w:kern w:val="0"/>
          <w:sz w:val="22"/>
          <w:szCs w:val="22"/>
          <w14:ligatures w14:val="none"/>
        </w:rPr>
        <w:t xml:space="preserve">Revisions to NIST guidance, adoption of ISO/IEC 42001, sector-specific rules, model and use-case inventories, AI incident reporting, and whether governance metrics measure outcomes rather than policy completion. </w:t>
      </w:r>
      <w:r w:rsidRPr="00344081">
        <w:rPr>
          <w:rFonts w:ascii="Cambria" w:eastAsia="MS Mincho" w:hAnsi="Cambria" w:cs="Cambria"/>
          <w:color w:val="5F6973"/>
          <w:kern w:val="0"/>
          <w:sz w:val="17"/>
          <w:szCs w:val="22"/>
          <w14:ligatures w14:val="none"/>
        </w:rPr>
        <w:t>Evidence: [3], [7], [8], [9].</w:t>
      </w:r>
    </w:p>
    <w:tbl>
      <w:tblPr>
        <w:tblStyle w:val="TableGrid1"/>
        <w:tblW w:w="10080" w:type="dxa"/>
        <w:jc w:val="center"/>
        <w:tblLayout w:type="fixed"/>
        <w:tblCellMar>
          <w:top w:w="70" w:type="dxa"/>
          <w:left w:w="80" w:type="dxa"/>
          <w:bottom w:w="70" w:type="dxa"/>
          <w:right w:w="80" w:type="dxa"/>
        </w:tblCellMar>
        <w:tblLook w:val="04A0" w:firstRow="1" w:lastRow="0" w:firstColumn="1" w:lastColumn="0" w:noHBand="0" w:noVBand="1"/>
      </w:tblPr>
      <w:tblGrid>
        <w:gridCol w:w="1261"/>
        <w:gridCol w:w="1261"/>
        <w:gridCol w:w="1263"/>
        <w:gridCol w:w="1260"/>
        <w:gridCol w:w="1260"/>
        <w:gridCol w:w="1260"/>
        <w:gridCol w:w="1263"/>
        <w:gridCol w:w="1252"/>
      </w:tblGrid>
      <w:tr w:rsidR="00344081" w:rsidRPr="00344081" w14:paraId="2F675D52" w14:textId="77777777" w:rsidTr="000941B9">
        <w:trPr>
          <w:cantSplit/>
          <w:tblHeader/>
          <w:jc w:val="center"/>
        </w:trPr>
        <w:tc>
          <w:tcPr>
            <w:tcW w:w="1260" w:type="dxa"/>
            <w:shd w:val="clear" w:color="auto" w:fill="17365D"/>
            <w:vAlign w:val="center"/>
          </w:tcPr>
          <w:p w14:paraId="042BEF33" w14:textId="77777777" w:rsidR="00344081" w:rsidRPr="00344081" w:rsidRDefault="00344081" w:rsidP="00344081">
            <w:pPr>
              <w:spacing w:line="252" w:lineRule="auto"/>
              <w:jc w:val="center"/>
              <w:rPr>
                <w:rFonts w:ascii="Aptos" w:eastAsia="Aptos" w:hAnsi="Aptos" w:cs="Cambria"/>
                <w:color w:val="1F2D3D"/>
                <w:sz w:val="19"/>
              </w:rPr>
            </w:pPr>
            <w:r w:rsidRPr="00344081">
              <w:rPr>
                <w:rFonts w:ascii="Aptos" w:eastAsia="Aptos" w:hAnsi="Aptos" w:cs="Cambria"/>
                <w:b/>
                <w:color w:val="FFFFFF"/>
                <w:sz w:val="14"/>
              </w:rPr>
              <w:t>SDV</w:t>
            </w:r>
          </w:p>
        </w:tc>
        <w:tc>
          <w:tcPr>
            <w:tcW w:w="1260" w:type="dxa"/>
            <w:shd w:val="clear" w:color="auto" w:fill="17365D"/>
            <w:vAlign w:val="center"/>
          </w:tcPr>
          <w:p w14:paraId="24842C81" w14:textId="77777777" w:rsidR="00344081" w:rsidRPr="00344081" w:rsidRDefault="00344081" w:rsidP="00344081">
            <w:pPr>
              <w:spacing w:line="252" w:lineRule="auto"/>
              <w:jc w:val="center"/>
              <w:rPr>
                <w:rFonts w:ascii="Aptos" w:eastAsia="Aptos" w:hAnsi="Aptos" w:cs="Cambria"/>
                <w:color w:val="1F2D3D"/>
                <w:sz w:val="19"/>
              </w:rPr>
            </w:pPr>
            <w:r w:rsidRPr="00344081">
              <w:rPr>
                <w:rFonts w:ascii="Aptos" w:eastAsia="Aptos" w:hAnsi="Aptos" w:cs="Cambria"/>
                <w:b/>
                <w:color w:val="FFFFFF"/>
                <w:sz w:val="14"/>
              </w:rPr>
              <w:t>PWR</w:t>
            </w:r>
          </w:p>
        </w:tc>
        <w:tc>
          <w:tcPr>
            <w:tcW w:w="1263" w:type="dxa"/>
            <w:shd w:val="clear" w:color="auto" w:fill="17365D"/>
            <w:vAlign w:val="center"/>
          </w:tcPr>
          <w:p w14:paraId="7DAC1472" w14:textId="77777777" w:rsidR="00344081" w:rsidRPr="00344081" w:rsidRDefault="00344081" w:rsidP="00344081">
            <w:pPr>
              <w:spacing w:line="252" w:lineRule="auto"/>
              <w:jc w:val="center"/>
              <w:rPr>
                <w:rFonts w:ascii="Aptos" w:eastAsia="Aptos" w:hAnsi="Aptos" w:cs="Cambria"/>
                <w:color w:val="1F2D3D"/>
                <w:sz w:val="19"/>
              </w:rPr>
            </w:pPr>
            <w:r w:rsidRPr="00344081">
              <w:rPr>
                <w:rFonts w:ascii="Aptos" w:eastAsia="Aptos" w:hAnsi="Aptos" w:cs="Cambria"/>
                <w:b/>
                <w:color w:val="FFFFFF"/>
                <w:sz w:val="14"/>
              </w:rPr>
              <w:t>CUR</w:t>
            </w:r>
          </w:p>
        </w:tc>
        <w:tc>
          <w:tcPr>
            <w:tcW w:w="1260" w:type="dxa"/>
            <w:shd w:val="clear" w:color="auto" w:fill="17365D"/>
            <w:vAlign w:val="center"/>
          </w:tcPr>
          <w:p w14:paraId="4D995379" w14:textId="77777777" w:rsidR="00344081" w:rsidRPr="00344081" w:rsidRDefault="00344081" w:rsidP="00344081">
            <w:pPr>
              <w:spacing w:line="252" w:lineRule="auto"/>
              <w:jc w:val="center"/>
              <w:rPr>
                <w:rFonts w:ascii="Aptos" w:eastAsia="Aptos" w:hAnsi="Aptos" w:cs="Cambria"/>
                <w:color w:val="1F2D3D"/>
                <w:sz w:val="19"/>
              </w:rPr>
            </w:pPr>
            <w:r w:rsidRPr="00344081">
              <w:rPr>
                <w:rFonts w:ascii="Aptos" w:eastAsia="Aptos" w:hAnsi="Aptos" w:cs="Cambria"/>
                <w:b/>
                <w:color w:val="FFFFFF"/>
                <w:sz w:val="14"/>
              </w:rPr>
              <w:t>FUT</w:t>
            </w:r>
          </w:p>
        </w:tc>
        <w:tc>
          <w:tcPr>
            <w:tcW w:w="1260" w:type="dxa"/>
            <w:shd w:val="clear" w:color="auto" w:fill="17365D"/>
            <w:vAlign w:val="center"/>
          </w:tcPr>
          <w:p w14:paraId="0E241EC1" w14:textId="77777777" w:rsidR="00344081" w:rsidRPr="00344081" w:rsidRDefault="00344081" w:rsidP="00344081">
            <w:pPr>
              <w:spacing w:line="252" w:lineRule="auto"/>
              <w:jc w:val="center"/>
              <w:rPr>
                <w:rFonts w:ascii="Aptos" w:eastAsia="Aptos" w:hAnsi="Aptos" w:cs="Cambria"/>
                <w:color w:val="1F2D3D"/>
                <w:sz w:val="19"/>
              </w:rPr>
            </w:pPr>
            <w:r w:rsidRPr="00344081">
              <w:rPr>
                <w:rFonts w:ascii="Aptos" w:eastAsia="Aptos" w:hAnsi="Aptos" w:cs="Cambria"/>
                <w:b/>
                <w:color w:val="FFFFFF"/>
                <w:sz w:val="14"/>
              </w:rPr>
              <w:t>FDN</w:t>
            </w:r>
          </w:p>
        </w:tc>
        <w:tc>
          <w:tcPr>
            <w:tcW w:w="1260" w:type="dxa"/>
            <w:shd w:val="clear" w:color="auto" w:fill="17365D"/>
            <w:vAlign w:val="center"/>
          </w:tcPr>
          <w:p w14:paraId="1ABC84C4" w14:textId="77777777" w:rsidR="00344081" w:rsidRPr="00344081" w:rsidRDefault="00344081" w:rsidP="00344081">
            <w:pPr>
              <w:spacing w:line="252" w:lineRule="auto"/>
              <w:jc w:val="center"/>
              <w:rPr>
                <w:rFonts w:ascii="Aptos" w:eastAsia="Aptos" w:hAnsi="Aptos" w:cs="Cambria"/>
                <w:color w:val="1F2D3D"/>
                <w:sz w:val="19"/>
              </w:rPr>
            </w:pPr>
            <w:r w:rsidRPr="00344081">
              <w:rPr>
                <w:rFonts w:ascii="Aptos" w:eastAsia="Aptos" w:hAnsi="Aptos" w:cs="Cambria"/>
                <w:b/>
                <w:color w:val="FFFFFF"/>
                <w:sz w:val="14"/>
              </w:rPr>
              <w:t>BRD</w:t>
            </w:r>
          </w:p>
        </w:tc>
        <w:tc>
          <w:tcPr>
            <w:tcW w:w="1263" w:type="dxa"/>
            <w:shd w:val="clear" w:color="auto" w:fill="17365D"/>
            <w:vAlign w:val="center"/>
          </w:tcPr>
          <w:p w14:paraId="4D3E24F3" w14:textId="77777777" w:rsidR="00344081" w:rsidRPr="00344081" w:rsidRDefault="00344081" w:rsidP="00344081">
            <w:pPr>
              <w:spacing w:line="252" w:lineRule="auto"/>
              <w:jc w:val="center"/>
              <w:rPr>
                <w:rFonts w:ascii="Aptos" w:eastAsia="Aptos" w:hAnsi="Aptos" w:cs="Cambria"/>
                <w:color w:val="1F2D3D"/>
                <w:sz w:val="19"/>
              </w:rPr>
            </w:pPr>
            <w:r w:rsidRPr="00344081">
              <w:rPr>
                <w:rFonts w:ascii="Aptos" w:eastAsia="Aptos" w:hAnsi="Aptos" w:cs="Cambria"/>
                <w:b/>
                <w:color w:val="FFFFFF"/>
                <w:sz w:val="14"/>
              </w:rPr>
              <w:t>RGI</w:t>
            </w:r>
          </w:p>
        </w:tc>
        <w:tc>
          <w:tcPr>
            <w:tcW w:w="1252" w:type="dxa"/>
            <w:shd w:val="clear" w:color="auto" w:fill="17365D"/>
            <w:vAlign w:val="center"/>
          </w:tcPr>
          <w:p w14:paraId="641C5EA2" w14:textId="77777777" w:rsidR="00344081" w:rsidRPr="00344081" w:rsidRDefault="00344081" w:rsidP="00344081">
            <w:pPr>
              <w:spacing w:line="252" w:lineRule="auto"/>
              <w:jc w:val="center"/>
              <w:rPr>
                <w:rFonts w:ascii="Aptos" w:eastAsia="Aptos" w:hAnsi="Aptos" w:cs="Cambria"/>
                <w:color w:val="1F2D3D"/>
                <w:sz w:val="19"/>
              </w:rPr>
            </w:pPr>
            <w:r w:rsidRPr="00344081">
              <w:rPr>
                <w:rFonts w:ascii="Aptos" w:eastAsia="Aptos" w:hAnsi="Aptos" w:cs="Cambria"/>
                <w:b/>
                <w:color w:val="FFFFFF"/>
                <w:sz w:val="14"/>
              </w:rPr>
              <w:t>EVD</w:t>
            </w:r>
          </w:p>
        </w:tc>
      </w:tr>
      <w:tr w:rsidR="00344081" w:rsidRPr="00344081" w14:paraId="58719291" w14:textId="77777777" w:rsidTr="000941B9">
        <w:trPr>
          <w:cantSplit/>
          <w:jc w:val="center"/>
        </w:trPr>
        <w:tc>
          <w:tcPr>
            <w:tcW w:w="1260" w:type="dxa"/>
            <w:vAlign w:val="center"/>
          </w:tcPr>
          <w:p w14:paraId="2B73DEEB" w14:textId="77777777" w:rsidR="00344081" w:rsidRPr="00344081" w:rsidRDefault="00344081" w:rsidP="00344081">
            <w:pPr>
              <w:spacing w:line="252" w:lineRule="auto"/>
              <w:jc w:val="center"/>
              <w:rPr>
                <w:rFonts w:ascii="Aptos" w:eastAsia="Aptos" w:hAnsi="Aptos" w:cs="Cambria"/>
                <w:color w:val="1F2D3D"/>
                <w:sz w:val="19"/>
              </w:rPr>
            </w:pPr>
            <w:r w:rsidRPr="00344081">
              <w:rPr>
                <w:rFonts w:ascii="Aptos" w:eastAsia="Aptos" w:hAnsi="Aptos" w:cs="Cambria"/>
                <w:color w:val="1F2D3D"/>
                <w:sz w:val="14"/>
              </w:rPr>
              <w:t>20/20</w:t>
            </w:r>
          </w:p>
        </w:tc>
        <w:tc>
          <w:tcPr>
            <w:tcW w:w="1260" w:type="dxa"/>
            <w:vAlign w:val="center"/>
          </w:tcPr>
          <w:p w14:paraId="173BA5D4" w14:textId="77777777" w:rsidR="00344081" w:rsidRPr="00344081" w:rsidRDefault="00344081" w:rsidP="00344081">
            <w:pPr>
              <w:spacing w:line="252" w:lineRule="auto"/>
              <w:jc w:val="center"/>
              <w:rPr>
                <w:rFonts w:ascii="Aptos" w:eastAsia="Aptos" w:hAnsi="Aptos" w:cs="Cambria"/>
                <w:color w:val="1F2D3D"/>
                <w:sz w:val="19"/>
              </w:rPr>
            </w:pPr>
            <w:r w:rsidRPr="00344081">
              <w:rPr>
                <w:rFonts w:ascii="Aptos" w:eastAsia="Aptos" w:hAnsi="Aptos" w:cs="Cambria"/>
                <w:color w:val="1F2D3D"/>
                <w:sz w:val="14"/>
              </w:rPr>
              <w:t>13/15</w:t>
            </w:r>
          </w:p>
        </w:tc>
        <w:tc>
          <w:tcPr>
            <w:tcW w:w="1263" w:type="dxa"/>
            <w:vAlign w:val="center"/>
          </w:tcPr>
          <w:p w14:paraId="6655824A" w14:textId="77777777" w:rsidR="00344081" w:rsidRPr="00344081" w:rsidRDefault="00344081" w:rsidP="00344081">
            <w:pPr>
              <w:spacing w:line="252" w:lineRule="auto"/>
              <w:jc w:val="center"/>
              <w:rPr>
                <w:rFonts w:ascii="Aptos" w:eastAsia="Aptos" w:hAnsi="Aptos" w:cs="Cambria"/>
                <w:color w:val="1F2D3D"/>
                <w:sz w:val="19"/>
              </w:rPr>
            </w:pPr>
            <w:r w:rsidRPr="00344081">
              <w:rPr>
                <w:rFonts w:ascii="Aptos" w:eastAsia="Aptos" w:hAnsi="Aptos" w:cs="Cambria"/>
                <w:color w:val="1F2D3D"/>
                <w:sz w:val="14"/>
              </w:rPr>
              <w:t>15/15</w:t>
            </w:r>
          </w:p>
        </w:tc>
        <w:tc>
          <w:tcPr>
            <w:tcW w:w="1260" w:type="dxa"/>
            <w:vAlign w:val="center"/>
          </w:tcPr>
          <w:p w14:paraId="79744DA3" w14:textId="77777777" w:rsidR="00344081" w:rsidRPr="00344081" w:rsidRDefault="00344081" w:rsidP="00344081">
            <w:pPr>
              <w:spacing w:line="252" w:lineRule="auto"/>
              <w:jc w:val="center"/>
              <w:rPr>
                <w:rFonts w:ascii="Aptos" w:eastAsia="Aptos" w:hAnsi="Aptos" w:cs="Cambria"/>
                <w:color w:val="1F2D3D"/>
                <w:sz w:val="19"/>
              </w:rPr>
            </w:pPr>
            <w:r w:rsidRPr="00344081">
              <w:rPr>
                <w:rFonts w:ascii="Aptos" w:eastAsia="Aptos" w:hAnsi="Aptos" w:cs="Cambria"/>
                <w:color w:val="1F2D3D"/>
                <w:sz w:val="14"/>
              </w:rPr>
              <w:t>13/15</w:t>
            </w:r>
          </w:p>
        </w:tc>
        <w:tc>
          <w:tcPr>
            <w:tcW w:w="1260" w:type="dxa"/>
            <w:vAlign w:val="center"/>
          </w:tcPr>
          <w:p w14:paraId="7DD3509C" w14:textId="77777777" w:rsidR="00344081" w:rsidRPr="00344081" w:rsidRDefault="00344081" w:rsidP="00344081">
            <w:pPr>
              <w:spacing w:line="252" w:lineRule="auto"/>
              <w:jc w:val="center"/>
              <w:rPr>
                <w:rFonts w:ascii="Aptos" w:eastAsia="Aptos" w:hAnsi="Aptos" w:cs="Cambria"/>
                <w:color w:val="1F2D3D"/>
                <w:sz w:val="19"/>
              </w:rPr>
            </w:pPr>
            <w:r w:rsidRPr="00344081">
              <w:rPr>
                <w:rFonts w:ascii="Aptos" w:eastAsia="Aptos" w:hAnsi="Aptos" w:cs="Cambria"/>
                <w:color w:val="1F2D3D"/>
                <w:sz w:val="14"/>
              </w:rPr>
              <w:t>9/10</w:t>
            </w:r>
          </w:p>
        </w:tc>
        <w:tc>
          <w:tcPr>
            <w:tcW w:w="1260" w:type="dxa"/>
            <w:vAlign w:val="center"/>
          </w:tcPr>
          <w:p w14:paraId="2EC86E2E" w14:textId="77777777" w:rsidR="00344081" w:rsidRPr="00344081" w:rsidRDefault="00344081" w:rsidP="00344081">
            <w:pPr>
              <w:spacing w:line="252" w:lineRule="auto"/>
              <w:jc w:val="center"/>
              <w:rPr>
                <w:rFonts w:ascii="Aptos" w:eastAsia="Aptos" w:hAnsi="Aptos" w:cs="Cambria"/>
                <w:color w:val="1F2D3D"/>
                <w:sz w:val="19"/>
              </w:rPr>
            </w:pPr>
            <w:r w:rsidRPr="00344081">
              <w:rPr>
                <w:rFonts w:ascii="Aptos" w:eastAsia="Aptos" w:hAnsi="Aptos" w:cs="Cambria"/>
                <w:color w:val="1F2D3D"/>
                <w:sz w:val="14"/>
              </w:rPr>
              <w:t>10/10</w:t>
            </w:r>
          </w:p>
        </w:tc>
        <w:tc>
          <w:tcPr>
            <w:tcW w:w="1263" w:type="dxa"/>
            <w:vAlign w:val="center"/>
          </w:tcPr>
          <w:p w14:paraId="5A3797C7" w14:textId="77777777" w:rsidR="00344081" w:rsidRPr="00344081" w:rsidRDefault="00344081" w:rsidP="00344081">
            <w:pPr>
              <w:spacing w:line="252" w:lineRule="auto"/>
              <w:jc w:val="center"/>
              <w:rPr>
                <w:rFonts w:ascii="Aptos" w:eastAsia="Aptos" w:hAnsi="Aptos" w:cs="Cambria"/>
                <w:color w:val="1F2D3D"/>
                <w:sz w:val="19"/>
              </w:rPr>
            </w:pPr>
            <w:r w:rsidRPr="00344081">
              <w:rPr>
                <w:rFonts w:ascii="Aptos" w:eastAsia="Aptos" w:hAnsi="Aptos" w:cs="Cambria"/>
                <w:color w:val="1F2D3D"/>
                <w:sz w:val="14"/>
              </w:rPr>
              <w:t>10/10</w:t>
            </w:r>
          </w:p>
        </w:tc>
        <w:tc>
          <w:tcPr>
            <w:tcW w:w="1252" w:type="dxa"/>
            <w:vAlign w:val="center"/>
          </w:tcPr>
          <w:p w14:paraId="21C6888F" w14:textId="77777777" w:rsidR="00344081" w:rsidRPr="00344081" w:rsidRDefault="00344081" w:rsidP="00344081">
            <w:pPr>
              <w:spacing w:line="252" w:lineRule="auto"/>
              <w:jc w:val="center"/>
              <w:rPr>
                <w:rFonts w:ascii="Aptos" w:eastAsia="Aptos" w:hAnsi="Aptos" w:cs="Cambria"/>
                <w:color w:val="1F2D3D"/>
                <w:sz w:val="19"/>
              </w:rPr>
            </w:pPr>
            <w:r w:rsidRPr="00344081">
              <w:rPr>
                <w:rFonts w:ascii="Aptos" w:eastAsia="Aptos" w:hAnsi="Aptos" w:cs="Cambria"/>
                <w:color w:val="1F2D3D"/>
                <w:sz w:val="14"/>
              </w:rPr>
              <w:t>5/5</w:t>
            </w:r>
          </w:p>
        </w:tc>
      </w:tr>
    </w:tbl>
    <w:p w14:paraId="5EC94172" w14:textId="77777777" w:rsidR="001A04F1" w:rsidRDefault="001A04F1"/>
    <w:sectPr w:rsidR="001A04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081"/>
    <w:rsid w:val="001A04F1"/>
    <w:rsid w:val="00344081"/>
    <w:rsid w:val="00D141F2"/>
    <w:rsid w:val="00F561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B0EA8"/>
  <w15:chartTrackingRefBased/>
  <w15:docId w15:val="{2E7FE8DD-C945-4C98-85F5-2C91C2010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40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40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40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40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40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40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40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40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40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0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40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40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40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40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40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40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40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4081"/>
    <w:rPr>
      <w:rFonts w:eastAsiaTheme="majorEastAsia" w:cstheme="majorBidi"/>
      <w:color w:val="272727" w:themeColor="text1" w:themeTint="D8"/>
    </w:rPr>
  </w:style>
  <w:style w:type="paragraph" w:styleId="Title">
    <w:name w:val="Title"/>
    <w:basedOn w:val="Normal"/>
    <w:next w:val="Normal"/>
    <w:link w:val="TitleChar"/>
    <w:uiPriority w:val="10"/>
    <w:qFormat/>
    <w:rsid w:val="003440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40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40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40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4081"/>
    <w:pPr>
      <w:spacing w:before="160"/>
      <w:jc w:val="center"/>
    </w:pPr>
    <w:rPr>
      <w:i/>
      <w:iCs/>
      <w:color w:val="404040" w:themeColor="text1" w:themeTint="BF"/>
    </w:rPr>
  </w:style>
  <w:style w:type="character" w:customStyle="1" w:styleId="QuoteChar">
    <w:name w:val="Quote Char"/>
    <w:basedOn w:val="DefaultParagraphFont"/>
    <w:link w:val="Quote"/>
    <w:uiPriority w:val="29"/>
    <w:rsid w:val="00344081"/>
    <w:rPr>
      <w:i/>
      <w:iCs/>
      <w:color w:val="404040" w:themeColor="text1" w:themeTint="BF"/>
    </w:rPr>
  </w:style>
  <w:style w:type="paragraph" w:styleId="ListParagraph">
    <w:name w:val="List Paragraph"/>
    <w:basedOn w:val="Normal"/>
    <w:uiPriority w:val="34"/>
    <w:qFormat/>
    <w:rsid w:val="00344081"/>
    <w:pPr>
      <w:ind w:left="720"/>
      <w:contextualSpacing/>
    </w:pPr>
  </w:style>
  <w:style w:type="character" w:styleId="IntenseEmphasis">
    <w:name w:val="Intense Emphasis"/>
    <w:basedOn w:val="DefaultParagraphFont"/>
    <w:uiPriority w:val="21"/>
    <w:qFormat/>
    <w:rsid w:val="00344081"/>
    <w:rPr>
      <w:i/>
      <w:iCs/>
      <w:color w:val="0F4761" w:themeColor="accent1" w:themeShade="BF"/>
    </w:rPr>
  </w:style>
  <w:style w:type="paragraph" w:styleId="IntenseQuote">
    <w:name w:val="Intense Quote"/>
    <w:basedOn w:val="Normal"/>
    <w:next w:val="Normal"/>
    <w:link w:val="IntenseQuoteChar"/>
    <w:uiPriority w:val="30"/>
    <w:qFormat/>
    <w:rsid w:val="003440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4081"/>
    <w:rPr>
      <w:i/>
      <w:iCs/>
      <w:color w:val="0F4761" w:themeColor="accent1" w:themeShade="BF"/>
    </w:rPr>
  </w:style>
  <w:style w:type="character" w:styleId="IntenseReference">
    <w:name w:val="Intense Reference"/>
    <w:basedOn w:val="DefaultParagraphFont"/>
    <w:uiPriority w:val="32"/>
    <w:qFormat/>
    <w:rsid w:val="00344081"/>
    <w:rPr>
      <w:b/>
      <w:bCs/>
      <w:smallCaps/>
      <w:color w:val="0F4761" w:themeColor="accent1" w:themeShade="BF"/>
      <w:spacing w:val="5"/>
    </w:rPr>
  </w:style>
  <w:style w:type="table" w:customStyle="1" w:styleId="TableGrid1">
    <w:name w:val="Table Grid1"/>
    <w:basedOn w:val="TableNormal"/>
    <w:next w:val="TableGrid"/>
    <w:uiPriority w:val="59"/>
    <w:rsid w:val="00344081"/>
    <w:pPr>
      <w:suppressAutoHyphens/>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440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308</Words>
  <Characters>2010</Characters>
  <Application>Microsoft Office Word</Application>
  <DocSecurity>0</DocSecurity>
  <Lines>53</Lines>
  <Paragraphs>35</Paragraphs>
  <ScaleCrop>false</ScaleCrop>
  <Company/>
  <LinksUpToDate>false</LinksUpToDate>
  <CharactersWithSpaces>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Tome</dc:creator>
  <cp:keywords/>
  <dc:description/>
  <cp:lastModifiedBy>George Tome</cp:lastModifiedBy>
  <cp:revision>1</cp:revision>
  <dcterms:created xsi:type="dcterms:W3CDTF">2026-07-23T22:12:00Z</dcterms:created>
  <dcterms:modified xsi:type="dcterms:W3CDTF">2026-07-23T22:14:00Z</dcterms:modified>
</cp:coreProperties>
</file>