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00"/>
      </w:pPr>
      <w:r>
        <w:rPr>
          <w:rFonts w:ascii="Aptos" w:hAnsi="Aptos"/>
          <w:b/>
          <w:color w:val="D4AF37"/>
          <w:sz w:val="72"/>
        </w:rPr>
        <w:t>DF</w:t>
      </w:r>
      <w:r>
        <w:rPr>
          <w:rFonts w:ascii="Aptos" w:hAnsi="Aptos"/>
          <w:b/>
          <w:color w:val="1F2830"/>
          <w:sz w:val="26"/>
        </w:rPr>
        <w:t xml:space="preserve">   DATAFLOW</w:t>
      </w:r>
    </w:p>
    <w:p>
      <w:pPr>
        <w:spacing w:after="180"/>
      </w:pPr>
      <w:r>
        <w:rPr>
          <w:rFonts w:ascii="Aptos" w:hAnsi="Aptos"/>
          <w:b/>
          <w:color w:val="856B21"/>
          <w:sz w:val="20"/>
        </w:rPr>
        <w:t>BUSINESS INTELLIGENCE  /  FINANÇAS</w:t>
      </w:r>
    </w:p>
    <w:p>
      <w:pPr>
        <w:spacing w:after="200"/>
      </w:pPr>
      <w:r>
        <w:rPr>
          <w:rFonts w:ascii="Aptos" w:hAnsi="Aptos"/>
          <w:b/>
          <w:color w:val="1F2830"/>
          <w:sz w:val="62"/>
        </w:rPr>
        <w:t>DOCUMENTAÇÃO</w:t>
        <w:br/>
        <w:t>TÉCNICA DO PROJETO</w:t>
      </w:r>
    </w:p>
    <w:p>
      <w:pPr>
        <w:spacing w:after="200"/>
      </w:pPr>
      <w:r>
        <w:rPr>
          <w:rFonts w:ascii="Aptos" w:hAnsi="Aptos"/>
          <w:b/>
          <w:color w:val="856B21"/>
          <w:sz w:val="24"/>
        </w:rPr>
        <w:t>Painel Financeiro DataFlow  •  Microsoft Power BI</w:t>
      </w:r>
    </w:p>
    <w:p>
      <w:pPr>
        <w:spacing w:before="0" w:after="240"/>
      </w:pPr>
      <w:r>
        <w:rPr>
          <w:rFonts w:ascii="Aptos" w:hAnsi="Aptos"/>
          <w:b w:val="0"/>
          <w:color w:val="65717B"/>
          <w:sz w:val="20"/>
        </w:rPr>
        <w:t>Arquitetura de dados, regras de cálculo, validação, visualizações e roteiro de reprodução da solução.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63999" cy="3474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02441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7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40"/>
        <w:jc w:val="center"/>
      </w:pPr>
      <w:r>
        <w:rPr>
          <w:rFonts w:ascii="Aptos" w:hAnsi="Aptos"/>
          <w:b w:val="0"/>
          <w:color w:val="65717B"/>
          <w:sz w:val="15"/>
        </w:rPr>
        <w:t>Figura 1 — Captura do painel financeiro apresentada no projeto.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D4AF37"/>
                <w:sz w:val="15"/>
              </w:rPr>
              <w:t>RESPONSÁVEL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D4AF37"/>
                <w:sz w:val="15"/>
              </w:rPr>
              <w:t>VERSÃO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D4AF37"/>
                <w:sz w:val="15"/>
              </w:rPr>
              <w:t>DATA</w:t>
            </w:r>
          </w:p>
        </w:tc>
      </w:tr>
      <w:tr>
        <w:tc>
          <w:tcPr>
            <w:tcW w:type="dxa" w:w="3307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830"/>
                <w:sz w:val="16"/>
              </w:rPr>
              <w:t>Gustavo Leandro de Oliveira</w:t>
            </w:r>
          </w:p>
        </w:tc>
        <w:tc>
          <w:tcPr>
            <w:tcW w:type="dxa" w:w="3307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830"/>
                <w:sz w:val="16"/>
              </w:rPr>
              <w:t>1.0</w:t>
            </w:r>
          </w:p>
        </w:tc>
        <w:tc>
          <w:tcPr>
            <w:tcW w:type="dxa" w:w="3307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830"/>
                <w:sz w:val="16"/>
              </w:rPr>
              <w:t>Outubro / 2026</w:t>
            </w:r>
          </w:p>
        </w:tc>
      </w:tr>
    </w:tbl>
    <w:p>
      <w:pPr>
        <w:spacing w:before="300" w:after="120"/>
        <w:jc w:val="center"/>
      </w:pPr>
      <w:r>
        <w:rPr>
          <w:rFonts w:ascii="Aptos" w:hAnsi="Aptos"/>
          <w:b/>
          <w:color w:val="65717B"/>
          <w:sz w:val="16"/>
        </w:rPr>
        <w:t>PROJETO DE ESTUDO E PORTFÓLIO  |  DADOS FINANCEIROS DIDÁTICOS</w:t>
      </w: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01  </w:t>
      </w:r>
      <w:r>
        <w:rPr>
          <w:rFonts w:ascii="Aptos" w:hAnsi="Aptos"/>
          <w:b/>
          <w:color w:val="1F2830"/>
          <w:sz w:val="34"/>
        </w:rPr>
        <w:t>Visão geral e escopo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Proposta técnica, evidências verificadas e objetivos da solução.</w:t>
      </w:r>
    </w:p>
    <w:p>
      <w:pPr>
        <w:spacing w:before="0" w:after="240"/>
      </w:pPr>
      <w:r>
        <w:rPr>
          <w:rFonts w:ascii="Aptos" w:hAnsi="Aptos"/>
          <w:b w:val="0"/>
        </w:rPr>
        <w:t>O Painel Financeiro DataFlow consolida registros mensais de receitas e despesas para análise por tipo, componente e ano. A camada visual no Power BI reúne indicadores de resultado, comparativos de composição e uma matriz analítica por período.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Indicadores validados na base disponível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B1E22"/>
            <w:tcMar>
              <w:top w:w="160" w:type="dxa"/>
              <w:start w:w="130" w:type="dxa"/>
              <w:bottom w:w="155" w:type="dxa"/>
              <w:end w:w="130" w:type="dxa"/>
            </w:tcMar>
          </w:tcPr>
          <w:p>
            <w:r>
              <w:rPr>
                <w:rFonts w:ascii="Aptos" w:hAnsi="Aptos"/>
                <w:b/>
                <w:color w:val="F0C75A"/>
                <w:sz w:val="15"/>
              </w:rPr>
              <w:t>RECEITAS</w:t>
            </w:r>
          </w:p>
          <w:p>
            <w:pPr>
              <w:spacing w:before="80"/>
            </w:pPr>
            <w:r>
              <w:rPr>
                <w:rFonts w:ascii="Aptos" w:hAnsi="Aptos"/>
                <w:b/>
                <w:color w:val="FFFFFF"/>
                <w:sz w:val="20"/>
              </w:rPr>
              <w:t>R$ 1.920.089</w:t>
            </w:r>
          </w:p>
        </w:tc>
        <w:tc>
          <w:tcPr>
            <w:tcW w:type="dxa" w:w="2480"/>
            <w:shd w:fill="1B1E22"/>
            <w:tcMar>
              <w:top w:w="160" w:type="dxa"/>
              <w:start w:w="130" w:type="dxa"/>
              <w:bottom w:w="155" w:type="dxa"/>
              <w:end w:w="130" w:type="dxa"/>
            </w:tcMar>
          </w:tcPr>
          <w:p>
            <w:r>
              <w:rPr>
                <w:rFonts w:ascii="Aptos" w:hAnsi="Aptos"/>
                <w:b/>
                <w:color w:val="F0C75A"/>
                <w:sz w:val="15"/>
              </w:rPr>
              <w:t>DESPESAS</w:t>
            </w:r>
          </w:p>
          <w:p>
            <w:pPr>
              <w:spacing w:before="80"/>
            </w:pPr>
            <w:r>
              <w:rPr>
                <w:rFonts w:ascii="Aptos" w:hAnsi="Aptos"/>
                <w:b/>
                <w:color w:val="FFFFFF"/>
                <w:sz w:val="20"/>
              </w:rPr>
              <w:t>R$ 1.152.917</w:t>
            </w:r>
          </w:p>
        </w:tc>
        <w:tc>
          <w:tcPr>
            <w:tcW w:type="dxa" w:w="2480"/>
            <w:shd w:fill="1B1E22"/>
            <w:tcMar>
              <w:top w:w="160" w:type="dxa"/>
              <w:start w:w="130" w:type="dxa"/>
              <w:bottom w:w="155" w:type="dxa"/>
              <w:end w:w="130" w:type="dxa"/>
            </w:tcMar>
          </w:tcPr>
          <w:p>
            <w:r>
              <w:rPr>
                <w:rFonts w:ascii="Aptos" w:hAnsi="Aptos"/>
                <w:b/>
                <w:color w:val="F0C75A"/>
                <w:sz w:val="15"/>
              </w:rPr>
              <w:t>RESULTADO</w:t>
            </w:r>
          </w:p>
          <w:p>
            <w:pPr>
              <w:spacing w:before="80"/>
            </w:pPr>
            <w:r>
              <w:rPr>
                <w:rFonts w:ascii="Aptos" w:hAnsi="Aptos"/>
                <w:b/>
                <w:color w:val="FFFFFF"/>
                <w:sz w:val="20"/>
              </w:rPr>
              <w:t>R$ 767.172</w:t>
            </w:r>
          </w:p>
        </w:tc>
        <w:tc>
          <w:tcPr>
            <w:tcW w:type="dxa" w:w="2480"/>
            <w:shd w:fill="1B1E22"/>
            <w:tcMar>
              <w:top w:w="160" w:type="dxa"/>
              <w:start w:w="130" w:type="dxa"/>
              <w:bottom w:w="155" w:type="dxa"/>
              <w:end w:w="130" w:type="dxa"/>
            </w:tcMar>
          </w:tcPr>
          <w:p>
            <w:r>
              <w:rPr>
                <w:rFonts w:ascii="Aptos" w:hAnsi="Aptos"/>
                <w:b/>
                <w:color w:val="F0C75A"/>
                <w:sz w:val="15"/>
              </w:rPr>
              <w:t>MARGEM</w:t>
            </w:r>
          </w:p>
          <w:p>
            <w:pPr>
              <w:spacing w:before="80"/>
            </w:pPr>
            <w:r>
              <w:rPr>
                <w:rFonts w:ascii="Aptos" w:hAnsi="Aptos"/>
                <w:b/>
                <w:color w:val="FFFFFF"/>
                <w:sz w:val="20"/>
              </w:rPr>
              <w:t>39,96%</w:t>
            </w:r>
          </w:p>
        </w:tc>
      </w:tr>
    </w:tbl>
    <w:p>
      <w:pPr>
        <w:spacing w:before="160" w:after="200"/>
      </w:pPr>
      <w:r>
        <w:rPr>
          <w:rFonts w:ascii="Aptos" w:hAnsi="Aptos"/>
          <w:b w:val="0"/>
          <w:color w:val="65717B"/>
          <w:sz w:val="16"/>
        </w:rPr>
        <w:t>Universo de cálculo: 432 registros do CSV normalizado, considerando todos os anos disponíveis (2019, 2020 e 2022).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Objetivos técnicos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Unificar valores de receitas e despesas em uma única estrutura tabular para agregação e comparação.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Implementar medidas consistentes de resultado e margem, respeitando os filtros por categoria e período.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Entregar visualização executiva com indicadores, componentes, segmentos e matriz financeira.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Estabelecer verificações de reconciliação, completude e coerência dos dados importados.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Matriz de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757"/>
        <w:gridCol w:w="4649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Artefato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Situação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Tratamento documental</w:t>
            </w:r>
          </w:p>
        </w:tc>
      </w:tr>
      <w:tr>
        <w:tc>
          <w:tcPr>
            <w:tcW w:type="dxa" w:w="328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CSV DadosFinanceiros_Corrigido_PowerBI.csv</w:t>
            </w:r>
          </w:p>
        </w:tc>
        <w:tc>
          <w:tcPr>
            <w:tcW w:type="dxa" w:w="175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Disponível e auditado</w:t>
            </w:r>
          </w:p>
        </w:tc>
        <w:tc>
          <w:tcPr>
            <w:tcW w:type="dxa" w:w="464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Esquema, qualidade e totais apurados diretamente.</w:t>
            </w:r>
          </w:p>
        </w:tc>
      </w:tr>
      <w:tr>
        <w:tc>
          <w:tcPr>
            <w:tcW w:type="dxa" w:w="328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Captura final do dashboard</w:t>
            </w:r>
          </w:p>
        </w:tc>
        <w:tc>
          <w:tcPr>
            <w:tcW w:type="dxa" w:w="175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Disponível</w:t>
            </w:r>
          </w:p>
        </w:tc>
        <w:tc>
          <w:tcPr>
            <w:tcW w:type="dxa" w:w="464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Layout e visuais observados na imagem.</w:t>
            </w:r>
          </w:p>
        </w:tc>
      </w:tr>
      <w:tr>
        <w:tc>
          <w:tcPr>
            <w:tcW w:type="dxa" w:w="328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Relatório técnico anterior (PDF)</w:t>
            </w:r>
          </w:p>
        </w:tc>
        <w:tc>
          <w:tcPr>
            <w:tcW w:type="dxa" w:w="175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Disponível</w:t>
            </w:r>
          </w:p>
        </w:tc>
        <w:tc>
          <w:tcPr>
            <w:tcW w:type="dxa" w:w="464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Usado para histórico de origem e transformação.</w:t>
            </w:r>
          </w:p>
        </w:tc>
      </w:tr>
      <w:tr>
        <w:tc>
          <w:tcPr>
            <w:tcW w:type="dxa" w:w="328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PBIX, código M e DAX reais</w:t>
            </w:r>
          </w:p>
        </w:tc>
        <w:tc>
          <w:tcPr>
            <w:tcW w:type="dxa" w:w="175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Não disponibilizados</w:t>
            </w:r>
          </w:p>
        </w:tc>
        <w:tc>
          <w:tcPr>
            <w:tcW w:type="dxa" w:w="464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Trechos deste documento são modelos de implementação, não auditoria do PBIX.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FFF8E5"/>
            <w:tcMar>
              <w:top w:w="125" w:type="dxa"/>
              <w:start w:w="170" w:type="dxa"/>
              <w:bottom w:w="115" w:type="dxa"/>
              <w:end w:w="170" w:type="dxa"/>
            </w:tcMar>
            <w:tcBorders>
              <w:left w:val="single" w:color="D4AF37" w:sz="22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81620F"/>
                <w:sz w:val="16"/>
              </w:rPr>
              <w:t>OBSERVAÇÃO DE ESCOPO</w:t>
            </w:r>
          </w:p>
          <w:p>
            <w:pPr>
              <w:spacing w:after="0"/>
            </w:pPr>
            <w:r>
              <w:rPr>
                <w:rFonts w:ascii="Aptos" w:hAnsi="Aptos"/>
                <w:color w:val="1F2830"/>
                <w:sz w:val="18"/>
              </w:rPr>
              <w:t>A base representa registros mensais de uma empresa fictícia. O resultado calculado é gerencial; não equivale automaticamente a lucro líquido contábil, EBITDA nem fluxo de caixa realizado.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02  </w:t>
      </w:r>
      <w:r>
        <w:rPr>
          <w:rFonts w:ascii="Aptos" w:hAnsi="Aptos"/>
          <w:b/>
          <w:color w:val="1F2830"/>
          <w:sz w:val="34"/>
        </w:rPr>
        <w:t>Arquitetura e linhagem de dados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Do arquivo de origem ao consumo analítico no Power BI.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0000" cy="1047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000" cy="104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ptos" w:hAnsi="Aptos"/>
          <w:b w:val="0"/>
          <w:color w:val="65717B"/>
          <w:sz w:val="15"/>
        </w:rPr>
        <w:t>Figura 2 — Arquitetura lógica de referência. A configuração interna do PBIX requer confirmação no arquivo original.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Camadas da 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3515"/>
        <w:gridCol w:w="4450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Camada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Responsabilidade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Evidência / recomendação</w:t>
            </w:r>
          </w:p>
        </w:tc>
      </w:tr>
      <w:tr>
        <w:tc>
          <w:tcPr>
            <w:tcW w:type="dxa" w:w="172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Origem</w:t>
            </w:r>
          </w:p>
        </w:tc>
        <w:tc>
          <w:tcPr>
            <w:tcW w:type="dxa" w:w="351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Conter valores de receitas e despesas por componente e período.</w:t>
            </w:r>
          </w:p>
        </w:tc>
        <w:tc>
          <w:tcPr>
            <w:tcW w:type="dxa" w:w="445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Planilha Excel citada no relatório anterior; CSV normalizado disponível.</w:t>
            </w:r>
          </w:p>
        </w:tc>
      </w:tr>
      <w:tr>
        <w:tc>
          <w:tcPr>
            <w:tcW w:type="dxa" w:w="172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ETL / Power Query</w:t>
            </w:r>
          </w:p>
        </w:tc>
        <w:tc>
          <w:tcPr>
            <w:tcW w:type="dxa" w:w="351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Importação, tipagem, conformidade e tratamento de erros.</w:t>
            </w:r>
          </w:p>
        </w:tc>
        <w:tc>
          <w:tcPr>
            <w:tcW w:type="dxa" w:w="445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Processo de normalização registrado na documentação histórica; consulta atual não auditada.</w:t>
            </w:r>
          </w:p>
        </w:tc>
      </w:tr>
      <w:tr>
        <w:tc>
          <w:tcPr>
            <w:tcW w:type="dxa" w:w="172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Modelo semântico</w:t>
            </w:r>
          </w:p>
        </w:tc>
        <w:tc>
          <w:tcPr>
            <w:tcW w:type="dxa" w:w="351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Organizar fatos, calendário e relacionamento temporal.</w:t>
            </w:r>
          </w:p>
        </w:tc>
        <w:tc>
          <w:tcPr>
            <w:tcW w:type="dxa" w:w="445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Modelo Fato_Financeiro + Dim_Calendario recomendado.</w:t>
            </w:r>
          </w:p>
        </w:tc>
      </w:tr>
      <w:tr>
        <w:tc>
          <w:tcPr>
            <w:tcW w:type="dxa" w:w="172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DAX</w:t>
            </w:r>
          </w:p>
        </w:tc>
        <w:tc>
          <w:tcPr>
            <w:tcW w:type="dxa" w:w="351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Centralizar medidas e regras de negócio.</w:t>
            </w:r>
          </w:p>
        </w:tc>
        <w:tc>
          <w:tcPr>
            <w:tcW w:type="dxa" w:w="445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Fórmulas de referência nas páginas seguintes.</w:t>
            </w:r>
          </w:p>
        </w:tc>
      </w:tr>
      <w:tr>
        <w:tc>
          <w:tcPr>
            <w:tcW w:type="dxa" w:w="172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Apresentação</w:t>
            </w:r>
          </w:p>
        </w:tc>
        <w:tc>
          <w:tcPr>
            <w:tcW w:type="dxa" w:w="351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Exibir KPIs, gráficos e matriz financeira.</w:t>
            </w:r>
          </w:p>
        </w:tc>
        <w:tc>
          <w:tcPr>
            <w:tcW w:type="dxa" w:w="445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Captura de tela disponibilizada pelo autor.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Granularidade da tabela fato</w:t>
      </w:r>
    </w:p>
    <w:p>
      <w:pPr>
        <w:spacing w:before="0" w:after="200"/>
      </w:pPr>
      <w:r>
        <w:rPr>
          <w:rFonts w:ascii="Aptos" w:hAnsi="Aptos"/>
          <w:b w:val="0"/>
        </w:rPr>
        <w:t>Cada registro representa um valor monetário mensal para a combinação de Tipo + Componente + Data de referência. No CSV, as datas correspondem ao primeiro dia de cada mês. A chave lógica esperada é (Tipo, Componente, Data), sem duplicações identificadas na base verificada.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Entidades recomendadas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Fato_Financeiro: Tipo, Componente, Data, Valor.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Dim_Calendario: Data, Ano, Mês Nº, Nome do mês, AnoMês.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Relacionamento sugerido: Dim_Calendario[Data] (1) → Fato_Financeiro[Data] (*), filtro simples do calendário para a fato.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FFF8E5"/>
            <w:tcMar>
              <w:top w:w="125" w:type="dxa"/>
              <w:start w:w="170" w:type="dxa"/>
              <w:bottom w:w="115" w:type="dxa"/>
              <w:end w:w="170" w:type="dxa"/>
            </w:tcMar>
            <w:tcBorders>
              <w:left w:val="single" w:color="D4AF37" w:sz="22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81620F"/>
                <w:sz w:val="16"/>
              </w:rPr>
              <w:t>IMPORTANTE</w:t>
            </w:r>
          </w:p>
          <w:p>
            <w:pPr>
              <w:spacing w:after="0"/>
            </w:pPr>
            <w:r>
              <w:rPr>
                <w:rFonts w:ascii="Aptos" w:hAnsi="Aptos"/>
                <w:color w:val="1F2830"/>
                <w:sz w:val="18"/>
              </w:rPr>
              <w:t>A dimensão de calendário diária pode incluir 2021, mas a tabela fato não contém lançamentos daquele ano. Visualizações devem distinguir período sem dados de resultado financeiro igual a zero.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03  </w:t>
      </w:r>
      <w:r>
        <w:rPr>
          <w:rFonts w:ascii="Aptos" w:hAnsi="Aptos"/>
          <w:b/>
          <w:color w:val="1F2830"/>
          <w:sz w:val="34"/>
        </w:rPr>
        <w:t>Fonte e dicionário de dados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Características verificadas do conjunto de dados normalizado.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746"/>
      </w:tblGrid>
      <w:tr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Propriedade</w:t>
            </w:r>
          </w:p>
        </w:tc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Valor observado</w:t>
            </w:r>
          </w:p>
        </w:tc>
      </w:tr>
      <w:tr>
        <w:tc>
          <w:tcPr>
            <w:tcW w:type="dxa" w:w="294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Arquivo auditado</w:t>
            </w:r>
          </w:p>
        </w:tc>
        <w:tc>
          <w:tcPr>
            <w:tcW w:type="dxa" w:w="674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DadosFinanceiros_Corrigido_PowerBI.csv</w:t>
            </w:r>
          </w:p>
        </w:tc>
      </w:tr>
      <w:tr>
        <w:tc>
          <w:tcPr>
            <w:tcW w:type="dxa" w:w="294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Formato</w:t>
            </w:r>
          </w:p>
        </w:tc>
        <w:tc>
          <w:tcPr>
            <w:tcW w:type="dxa" w:w="674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CSV delimitado por ponto e vírgula (;), valores com vírgula decimal</w:t>
            </w:r>
          </w:p>
        </w:tc>
      </w:tr>
      <w:tr>
        <w:tc>
          <w:tcPr>
            <w:tcW w:type="dxa" w:w="294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Linhas / colunas</w:t>
            </w:r>
          </w:p>
        </w:tc>
        <w:tc>
          <w:tcPr>
            <w:tcW w:type="dxa" w:w="674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432 linhas, 4 campos</w:t>
            </w:r>
          </w:p>
        </w:tc>
      </w:tr>
      <w:tr>
        <w:tc>
          <w:tcPr>
            <w:tcW w:type="dxa" w:w="294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Tipos</w:t>
            </w:r>
          </w:p>
        </w:tc>
        <w:tc>
          <w:tcPr>
            <w:tcW w:type="dxa" w:w="674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2: Receitas e Despesas</w:t>
            </w:r>
          </w:p>
        </w:tc>
      </w:tr>
      <w:tr>
        <w:tc>
          <w:tcPr>
            <w:tcW w:type="dxa" w:w="294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Categorias</w:t>
            </w:r>
          </w:p>
        </w:tc>
        <w:tc>
          <w:tcPr>
            <w:tcW w:type="dxa" w:w="674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12 componentes: 6 de receitas e 6 de despesas</w:t>
            </w:r>
          </w:p>
        </w:tc>
      </w:tr>
      <w:tr>
        <w:tc>
          <w:tcPr>
            <w:tcW w:type="dxa" w:w="294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Períodos</w:t>
            </w:r>
          </w:p>
        </w:tc>
        <w:tc>
          <w:tcPr>
            <w:tcW w:type="dxa" w:w="674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36 meses: jan–dez/2019, jan–dez/2020 e jan–dez/2022</w:t>
            </w:r>
          </w:p>
        </w:tc>
      </w:tr>
      <w:tr>
        <w:tc>
          <w:tcPr>
            <w:tcW w:type="dxa" w:w="294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Ano não presente</w:t>
            </w:r>
          </w:p>
        </w:tc>
        <w:tc>
          <w:tcPr>
            <w:tcW w:type="dxa" w:w="674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2021</w:t>
            </w:r>
          </w:p>
        </w:tc>
      </w:tr>
      <w:tr>
        <w:tc>
          <w:tcPr>
            <w:tcW w:type="dxa" w:w="294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Período mínimo / máximo</w:t>
            </w:r>
          </w:p>
        </w:tc>
        <w:tc>
          <w:tcPr>
            <w:tcW w:type="dxa" w:w="674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01/01/2019 a 01/12/2022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Dicionário dos campos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814"/>
        <w:gridCol w:w="6094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Campo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Tipo lógico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Definição / regra</w:t>
            </w:r>
          </w:p>
        </w:tc>
      </w:tr>
      <w:tr>
        <w:tc>
          <w:tcPr>
            <w:tcW w:type="dxa" w:w="178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Tipo</w:t>
            </w:r>
          </w:p>
        </w:tc>
        <w:tc>
          <w:tcPr>
            <w:tcW w:type="dxa" w:w="181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Texto</w:t>
            </w:r>
          </w:p>
        </w:tc>
        <w:tc>
          <w:tcPr>
            <w:tcW w:type="dxa" w:w="609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Classe de movimento: “Receitas” ou “Despesas”.</w:t>
            </w:r>
          </w:p>
        </w:tc>
      </w:tr>
      <w:tr>
        <w:tc>
          <w:tcPr>
            <w:tcW w:type="dxa" w:w="178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Componente</w:t>
            </w:r>
          </w:p>
        </w:tc>
        <w:tc>
          <w:tcPr>
            <w:tcW w:type="dxa" w:w="181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Texto</w:t>
            </w:r>
          </w:p>
        </w:tc>
        <w:tc>
          <w:tcPr>
            <w:tcW w:type="dxa" w:w="609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Categoria financeira; ex.: Vendas, Tecnologia, Administrativo.</w:t>
            </w:r>
          </w:p>
        </w:tc>
      </w:tr>
      <w:tr>
        <w:tc>
          <w:tcPr>
            <w:tcW w:type="dxa" w:w="178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Data</w:t>
            </w:r>
          </w:p>
        </w:tc>
        <w:tc>
          <w:tcPr>
            <w:tcW w:type="dxa" w:w="181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Data</w:t>
            </w:r>
          </w:p>
        </w:tc>
        <w:tc>
          <w:tcPr>
            <w:tcW w:type="dxa" w:w="609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Competência mensal representada pelo primeiro dia do mês.</w:t>
            </w:r>
          </w:p>
        </w:tc>
      </w:tr>
      <w:tr>
        <w:tc>
          <w:tcPr>
            <w:tcW w:type="dxa" w:w="178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Valor</w:t>
            </w:r>
          </w:p>
        </w:tc>
        <w:tc>
          <w:tcPr>
            <w:tcW w:type="dxa" w:w="181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Número decimal</w:t>
            </w:r>
          </w:p>
        </w:tc>
        <w:tc>
          <w:tcPr>
            <w:tcW w:type="dxa" w:w="609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Montante nominal em reais; sinal da fonte deve ser preservado.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Componentes por classe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7"/>
              </w:rPr>
              <w:t>Receitas (6 componentes)</w:t>
            </w:r>
          </w:p>
        </w:tc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7"/>
              </w:rPr>
              <w:t>Despesas (6 componentes)</w:t>
            </w:r>
          </w:p>
        </w:tc>
      </w:tr>
      <w:tr>
        <w:tc>
          <w:tcPr>
            <w:tcW w:type="dxa" w:w="484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Vendas</w:t>
            </w:r>
          </w:p>
        </w:tc>
        <w:tc>
          <w:tcPr>
            <w:tcW w:type="dxa" w:w="484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Administrativo</w:t>
            </w:r>
          </w:p>
        </w:tc>
      </w:tr>
      <w:tr>
        <w:tc>
          <w:tcPr>
            <w:tcW w:type="dxa" w:w="484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Licenciamento</w:t>
            </w:r>
          </w:p>
        </w:tc>
        <w:tc>
          <w:tcPr>
            <w:tcW w:type="dxa" w:w="484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Tecnologia</w:t>
            </w:r>
          </w:p>
        </w:tc>
      </w:tr>
      <w:tr>
        <w:tc>
          <w:tcPr>
            <w:tcW w:type="dxa" w:w="484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Aluguéis</w:t>
            </w:r>
          </w:p>
        </w:tc>
        <w:tc>
          <w:tcPr>
            <w:tcW w:type="dxa" w:w="484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Salários</w:t>
            </w:r>
          </w:p>
        </w:tc>
      </w:tr>
      <w:tr>
        <w:tc>
          <w:tcPr>
            <w:tcW w:type="dxa" w:w="484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Publicidade</w:t>
            </w:r>
          </w:p>
        </w:tc>
        <w:tc>
          <w:tcPr>
            <w:tcW w:type="dxa" w:w="484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Impostos</w:t>
            </w:r>
          </w:p>
        </w:tc>
      </w:tr>
      <w:tr>
        <w:tc>
          <w:tcPr>
            <w:tcW w:type="dxa" w:w="484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Investimentos</w:t>
            </w:r>
          </w:p>
        </w:tc>
        <w:tc>
          <w:tcPr>
            <w:tcW w:type="dxa" w:w="4847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Segurança</w:t>
            </w:r>
          </w:p>
        </w:tc>
      </w:tr>
      <w:tr>
        <w:tc>
          <w:tcPr>
            <w:tcW w:type="dxa" w:w="484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Franquias</w:t>
            </w:r>
          </w:p>
        </w:tc>
        <w:tc>
          <w:tcPr>
            <w:tcW w:type="dxa" w:w="4847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Marketing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FFF8E5"/>
            <w:tcMar>
              <w:top w:w="125" w:type="dxa"/>
              <w:start w:w="170" w:type="dxa"/>
              <w:bottom w:w="115" w:type="dxa"/>
              <w:end w:w="170" w:type="dxa"/>
            </w:tcMar>
            <w:tcBorders>
              <w:left w:val="single" w:color="D4AF37" w:sz="22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81620F"/>
                <w:sz w:val="16"/>
              </w:rPr>
              <w:t>PRECISÃO E NATUREZA DOS DADOS</w:t>
            </w:r>
          </w:p>
          <w:p>
            <w:pPr>
              <w:spacing w:after="0"/>
            </w:pPr>
            <w:r>
              <w:rPr>
                <w:rFonts w:ascii="Aptos" w:hAnsi="Aptos"/>
                <w:color w:val="1F2830"/>
                <w:sz w:val="18"/>
              </w:rPr>
              <w:t>Os números são valores nominais do conjunto didático; não há documentação de regime contábil, impostos recuperáveis, correção monetária ou reconciliação bancária. A coluna Valor não deve ser reinterpretada como fluxo de caixa sem outra evidência.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04  </w:t>
      </w:r>
      <w:r>
        <w:rPr>
          <w:rFonts w:ascii="Aptos" w:hAnsi="Aptos"/>
          <w:b/>
          <w:color w:val="1F2830"/>
          <w:sz w:val="34"/>
        </w:rPr>
        <w:t>ETL e preparação no Power Query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Orientações reproduzíveis para carregar a base validada e tratar tipos.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Transformação histórica registrada</w:t>
      </w:r>
    </w:p>
    <w:p>
      <w:pPr>
        <w:spacing w:before="0" w:after="160"/>
      </w:pPr>
      <w:r>
        <w:rPr>
          <w:rFonts w:ascii="Aptos" w:hAnsi="Aptos"/>
          <w:b w:val="0"/>
        </w:rPr>
        <w:t>Segundo o documento anterior, o Excel original estava em formato largo, com 36 colunas mensais; sua normalização consistiu em aplicar “Anular dinamização de colunas” (Unpivot), gerando Tipo, Componente, Data e Valor. O arquivo CSV disponível já está em formato longo e não requer novo unpivot.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Importação do CSV — exemplo Power Query 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141A1F"/>
            <w:tcMar>
              <w:top w:w="150" w:type="dxa"/>
              <w:start w:w="160" w:type="dxa"/>
              <w:bottom w:w="155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let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Fonte = Csv.Document(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File.Contents(CaminhoCSV),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[Delimiter=";", Columns=4, Encoding=65001,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 QuoteStyle=QuoteStyle.Csv]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Cabecalhos = Table.PromoteHeaders(Fonte,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[PromoteAllScalars=true]),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Tipos = Table.TransformColumnTypes(Cabecalhos,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{{"Tipo", type text}, {"Componente", type text},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 {"Data", type date}, {"Valor", type number}},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"pt-BR"),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Resultado = Table.SelectRows(Tipos,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each [Tipo] &lt;&gt; null and [Data] &lt;&gt; null)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Resultado</w:t>
            </w:r>
          </w:p>
        </w:tc>
      </w:tr>
    </w:tbl>
    <w:p>
      <w:pPr>
        <w:spacing w:after="0"/>
      </w:pPr>
    </w:p>
    <w:p>
      <w:pPr>
        <w:spacing w:before="0" w:after="200"/>
      </w:pPr>
      <w:r>
        <w:rPr>
          <w:rFonts w:ascii="Aptos" w:hAnsi="Aptos"/>
          <w:b w:val="0"/>
          <w:color w:val="65717B"/>
          <w:sz w:val="16"/>
        </w:rPr>
        <w:t>Pré-requisito do exemplo: parâmetro de texto CaminhoCSV apontando para o arquivo local. O código serve como referência de reprodução, não como transcrição de uma consulta real do projeto.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Regras operacionais recomendadas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Aplicar localidade pt-BR ao converter Data (dd/mm/aaaa) e Valor (vírgula decimal).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Não substituir valores negativos automaticamente; registrar a ocorrência e validar o contexto contábil.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Verificar cabeçalhos obrigatórios e rejeitar a carga se Tipo, Componente, Data ou Valor estiver ausente.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Conferir que a soma importada coincide com o arquivo de origem e não há duplicidade da chave lógica.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Evitar caminhos pessoais fixos na distribuição; usar parâmetros ou origem no mesmo diretório do projeto.</w:t>
      </w: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05  </w:t>
      </w:r>
      <w:r>
        <w:rPr>
          <w:rFonts w:ascii="Aptos" w:hAnsi="Aptos"/>
          <w:b/>
          <w:color w:val="1F2830"/>
          <w:sz w:val="34"/>
        </w:rPr>
        <w:t>Medidas DAX e regras de negócio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Fórmulas propostas para revisão no modelo semântico do Power BI.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FFF8E5"/>
            <w:tcMar>
              <w:top w:w="125" w:type="dxa"/>
              <w:start w:w="170" w:type="dxa"/>
              <w:bottom w:w="115" w:type="dxa"/>
              <w:end w:w="170" w:type="dxa"/>
            </w:tcMar>
            <w:tcBorders>
              <w:left w:val="single" w:color="D4AF37" w:sz="22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81620F"/>
                <w:sz w:val="16"/>
              </w:rPr>
              <w:t>STATUS DAS FÓRMULAS</w:t>
            </w:r>
          </w:p>
          <w:p>
            <w:pPr>
              <w:spacing w:after="0"/>
            </w:pPr>
            <w:r>
              <w:rPr>
                <w:rFonts w:ascii="Aptos" w:hAnsi="Aptos"/>
                <w:color w:val="1F2830"/>
                <w:sz w:val="18"/>
              </w:rPr>
              <w:t>As medidas a seguir reproduzem matematicamente os indicadores conferidos no CSV. O código foi preparado como referência implementável; a definição efetivamente salva no PBIX não foi disponibilizada para auditoria.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Medidas de 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141A1F"/>
            <w:tcMar>
              <w:top w:w="150" w:type="dxa"/>
              <w:start w:w="160" w:type="dxa"/>
              <w:bottom w:w="155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Total de Receitas =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CALCULATE(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SUM(Fato_Financeiro[Valor]),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Fato_Financeiro[Tipo] = "Receitas"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Total de Despesas =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CALCULATE(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SUM(Fato_Financeiro[Valor]),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Fato_Financeiro[Tipo] = "Despesas"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Resultado e margem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141A1F"/>
            <w:tcMar>
              <w:top w:w="150" w:type="dxa"/>
              <w:start w:w="160" w:type="dxa"/>
              <w:bottom w:w="155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Resultado Financeiro =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[Total de Receitas] - [Total de Despesas]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Margem de Resultado (%) =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DIVIDE([Resultado Financeiro], [Total de Receitas])</w:t>
            </w:r>
          </w:p>
        </w:tc>
      </w:tr>
    </w:tbl>
    <w:p>
      <w:pPr>
        <w:spacing w:after="0"/>
      </w:pPr>
    </w:p>
    <w:p>
      <w:pPr>
        <w:spacing w:before="0" w:after="200"/>
      </w:pPr>
      <w:r>
        <w:rPr>
          <w:rFonts w:ascii="Aptos" w:hAnsi="Aptos"/>
          <w:b w:val="0"/>
        </w:rPr>
        <w:t>Formatação recomendada: medidas monetárias em R$ com duas casas decimais; margem no formato percentual com duas casas. A medida de margem deve ser exibida como “Margem de Lucro” somente quando essa nomenclatura gerencial estiver explicitamente definida.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Dimensão calendário — exemplo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141A1F"/>
            <w:tcMar>
              <w:top w:w="150" w:type="dxa"/>
              <w:start w:w="160" w:type="dxa"/>
              <w:bottom w:w="155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Dim_Calendario =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ADDCOLUMNS(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CALENDAR(MIN(Fato_Financeiro[Data]),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         MAX(Fato_Financeiro[Data])),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"Ano", YEAR([Date]),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"MesNumero", MONTH([Date]),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"MesNome", FORMAT([Date], "mmmm"),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  "AnoMes", FORMAT([Date], "yyyy-MM")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06  </w:t>
      </w:r>
      <w:r>
        <w:rPr>
          <w:rFonts w:ascii="Aptos" w:hAnsi="Aptos"/>
          <w:b/>
          <w:color w:val="1F2830"/>
          <w:sz w:val="34"/>
        </w:rPr>
        <w:t>Interface e especificação funcional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Organização visual observada na captura do painel fornecida.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38000" cy="3404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02441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000" cy="340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ptos" w:hAnsi="Aptos"/>
          <w:b w:val="0"/>
          <w:color w:val="65717B"/>
          <w:sz w:val="15"/>
        </w:rPr>
        <w:t>Figura 3 — Dashboard atual apresentado pelo autor: DataFlow | Painel Financeiro.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690"/>
      </w:tblGrid>
      <w:tr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Elemento</w:t>
            </w:r>
          </w:p>
        </w:tc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Finalidade e nível de detalhamento</w:t>
            </w:r>
          </w:p>
        </w:tc>
      </w:tr>
      <w:tr>
        <w:tc>
          <w:tcPr>
            <w:tcW w:type="dxa" w:w="300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4 cartões: Receitas, Despesas, Lucro, Margem</w:t>
            </w:r>
          </w:p>
        </w:tc>
        <w:tc>
          <w:tcPr>
            <w:tcW w:type="dxa" w:w="669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Leitura executiva; valor/percentual calculado no contexto de filtro.</w:t>
            </w:r>
          </w:p>
        </w:tc>
      </w:tr>
      <w:tr>
        <w:tc>
          <w:tcPr>
            <w:tcW w:type="dxa" w:w="300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Principais Segmentos</w:t>
            </w:r>
          </w:p>
        </w:tc>
        <w:tc>
          <w:tcPr>
            <w:tcW w:type="dxa" w:w="669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Comparar concentração por componente; gráfico grande para leitura de categorias.</w:t>
            </w:r>
          </w:p>
        </w:tc>
      </w:tr>
      <w:tr>
        <w:tc>
          <w:tcPr>
            <w:tcW w:type="dxa" w:w="300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 por Componente</w:t>
            </w:r>
          </w:p>
        </w:tc>
        <w:tc>
          <w:tcPr>
            <w:tcW w:type="dxa" w:w="669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Visual de barras horizontais para participação das fontes de entrada.</w:t>
            </w:r>
          </w:p>
        </w:tc>
      </w:tr>
      <w:tr>
        <w:tc>
          <w:tcPr>
            <w:tcW w:type="dxa" w:w="300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 por Componente</w:t>
            </w:r>
          </w:p>
        </w:tc>
        <w:tc>
          <w:tcPr>
            <w:tcW w:type="dxa" w:w="669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Gráfico para comparação de gastos por grupo financeiro.</w:t>
            </w:r>
          </w:p>
        </w:tc>
      </w:tr>
      <w:tr>
        <w:tc>
          <w:tcPr>
            <w:tcW w:type="dxa" w:w="300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Resumo Financeiro</w:t>
            </w:r>
          </w:p>
        </w:tc>
        <w:tc>
          <w:tcPr>
            <w:tcW w:type="dxa" w:w="669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Matriz ampliada: linhas por tipo/componente; colunas por ano; totais e subtotais.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FFF8E5"/>
            <w:tcMar>
              <w:top w:w="125" w:type="dxa"/>
              <w:start w:w="170" w:type="dxa"/>
              <w:bottom w:w="115" w:type="dxa"/>
              <w:end w:w="170" w:type="dxa"/>
            </w:tcMar>
            <w:tcBorders>
              <w:left w:val="single" w:color="D4AF37" w:sz="22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81620F"/>
                <w:sz w:val="16"/>
              </w:rPr>
              <w:t>DESIGN E USABILIDADE</w:t>
            </w:r>
          </w:p>
          <w:p>
            <w:pPr>
              <w:spacing w:after="0"/>
            </w:pPr>
            <w:r>
              <w:rPr>
                <w:rFonts w:ascii="Aptos" w:hAnsi="Aptos"/>
                <w:color w:val="1F2830"/>
                <w:sz w:val="18"/>
              </w:rPr>
              <w:t>Identidade visual preta e dourada da DataFlow. A matriz deve ter largura suficiente para exibir anos, valores e hierarquias sem sobreposição. Recomenda-se hierarquia tipográfica, contraste adequado e rolagem controlada em tabelas extensas.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07  </w:t>
      </w:r>
      <w:r>
        <w:rPr>
          <w:rFonts w:ascii="Aptos" w:hAnsi="Aptos"/>
          <w:b/>
          <w:color w:val="1F2830"/>
          <w:sz w:val="34"/>
        </w:rPr>
        <w:t>Reconciliação de resultados e testes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Apuração independente feita sobre a base CSV fornecida.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Totais por 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721"/>
        <w:gridCol w:w="2721"/>
        <w:gridCol w:w="2778"/>
      </w:tblGrid>
      <w:tr>
        <w:tc>
          <w:tcPr>
            <w:tcW w:type="dxa" w:w="2480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7"/>
              </w:rPr>
              <w:t>Ano</w:t>
            </w:r>
          </w:p>
        </w:tc>
        <w:tc>
          <w:tcPr>
            <w:tcW w:type="dxa" w:w="2480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7"/>
              </w:rPr>
              <w:t>Receitas</w:t>
            </w:r>
          </w:p>
        </w:tc>
        <w:tc>
          <w:tcPr>
            <w:tcW w:type="dxa" w:w="2480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7"/>
              </w:rPr>
              <w:t>Despesas</w:t>
            </w:r>
          </w:p>
        </w:tc>
        <w:tc>
          <w:tcPr>
            <w:tcW w:type="dxa" w:w="2480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7"/>
              </w:rPr>
              <w:t>Resultado</w:t>
            </w:r>
          </w:p>
        </w:tc>
      </w:tr>
      <w:tr>
        <w:tc>
          <w:tcPr>
            <w:tcW w:type="dxa" w:w="147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2019</w:t>
            </w:r>
          </w:p>
        </w:tc>
        <w:tc>
          <w:tcPr>
            <w:tcW w:type="dxa" w:w="272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R$ 560.462,00</w:t>
            </w:r>
          </w:p>
        </w:tc>
        <w:tc>
          <w:tcPr>
            <w:tcW w:type="dxa" w:w="272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R$ 287.500,00</w:t>
            </w:r>
          </w:p>
        </w:tc>
        <w:tc>
          <w:tcPr>
            <w:tcW w:type="dxa" w:w="277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R$ 272.962,00</w:t>
            </w:r>
          </w:p>
        </w:tc>
      </w:tr>
      <w:tr>
        <w:tc>
          <w:tcPr>
            <w:tcW w:type="dxa" w:w="147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2020</w:t>
            </w:r>
          </w:p>
        </w:tc>
        <w:tc>
          <w:tcPr>
            <w:tcW w:type="dxa" w:w="272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R$ 603.689,00</w:t>
            </w:r>
          </w:p>
        </w:tc>
        <w:tc>
          <w:tcPr>
            <w:tcW w:type="dxa" w:w="272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R$ 370.417,00</w:t>
            </w:r>
          </w:p>
        </w:tc>
        <w:tc>
          <w:tcPr>
            <w:tcW w:type="dxa" w:w="277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R$ 233.272,00</w:t>
            </w:r>
          </w:p>
        </w:tc>
      </w:tr>
      <w:tr>
        <w:tc>
          <w:tcPr>
            <w:tcW w:type="dxa" w:w="147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2022</w:t>
            </w:r>
          </w:p>
        </w:tc>
        <w:tc>
          <w:tcPr>
            <w:tcW w:type="dxa" w:w="272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R$ 755.938,00</w:t>
            </w:r>
          </w:p>
        </w:tc>
        <w:tc>
          <w:tcPr>
            <w:tcW w:type="dxa" w:w="272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R$ 495.000,00</w:t>
            </w:r>
          </w:p>
        </w:tc>
        <w:tc>
          <w:tcPr>
            <w:tcW w:type="dxa" w:w="277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R$ 260.938,00</w:t>
            </w:r>
          </w:p>
        </w:tc>
      </w:tr>
      <w:tr>
        <w:tc>
          <w:tcPr>
            <w:tcW w:type="dxa" w:w="147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TOTAL</w:t>
            </w:r>
          </w:p>
        </w:tc>
        <w:tc>
          <w:tcPr>
            <w:tcW w:type="dxa" w:w="272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R$ 1.920.089,00</w:t>
            </w:r>
          </w:p>
        </w:tc>
        <w:tc>
          <w:tcPr>
            <w:tcW w:type="dxa" w:w="272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R$ 1.152.917,00</w:t>
            </w:r>
          </w:p>
        </w:tc>
        <w:tc>
          <w:tcPr>
            <w:tcW w:type="dxa" w:w="277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7"/>
              </w:rPr>
              <w:t>R$ 767.172,00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Conferências da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4082"/>
        <w:gridCol w:w="1644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Teste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Resultado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Situação</w:t>
            </w:r>
          </w:p>
        </w:tc>
      </w:tr>
      <w:tr>
        <w:tc>
          <w:tcPr>
            <w:tcW w:type="dxa" w:w="396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Linhas lidas</w:t>
            </w:r>
          </w:p>
        </w:tc>
        <w:tc>
          <w:tcPr>
            <w:tcW w:type="dxa" w:w="4082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432</w:t>
            </w:r>
          </w:p>
        </w:tc>
        <w:tc>
          <w:tcPr>
            <w:tcW w:type="dxa" w:w="164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OK</w:t>
            </w:r>
          </w:p>
        </w:tc>
      </w:tr>
      <w:tr>
        <w:tc>
          <w:tcPr>
            <w:tcW w:type="dxa" w:w="396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Nulos nos 4 campos</w:t>
            </w:r>
          </w:p>
        </w:tc>
        <w:tc>
          <w:tcPr>
            <w:tcW w:type="dxa" w:w="4082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0</w:t>
            </w:r>
          </w:p>
        </w:tc>
        <w:tc>
          <w:tcPr>
            <w:tcW w:type="dxa" w:w="164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OK</w:t>
            </w:r>
          </w:p>
        </w:tc>
      </w:tr>
      <w:tr>
        <w:tc>
          <w:tcPr>
            <w:tcW w:type="dxa" w:w="396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Duplicidades de Tipo + Componente + Data</w:t>
            </w:r>
          </w:p>
        </w:tc>
        <w:tc>
          <w:tcPr>
            <w:tcW w:type="dxa" w:w="4082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0</w:t>
            </w:r>
          </w:p>
        </w:tc>
        <w:tc>
          <w:tcPr>
            <w:tcW w:type="dxa" w:w="164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OK</w:t>
            </w:r>
          </w:p>
        </w:tc>
      </w:tr>
      <w:tr>
        <w:tc>
          <w:tcPr>
            <w:tcW w:type="dxa" w:w="396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Componentes distintos</w:t>
            </w:r>
          </w:p>
        </w:tc>
        <w:tc>
          <w:tcPr>
            <w:tcW w:type="dxa" w:w="4082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12 (6 receitas, 6 despesas)</w:t>
            </w:r>
          </w:p>
        </w:tc>
        <w:tc>
          <w:tcPr>
            <w:tcW w:type="dxa" w:w="164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OK</w:t>
            </w:r>
          </w:p>
        </w:tc>
      </w:tr>
      <w:tr>
        <w:tc>
          <w:tcPr>
            <w:tcW w:type="dxa" w:w="396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Períodos com lançamento</w:t>
            </w:r>
          </w:p>
        </w:tc>
        <w:tc>
          <w:tcPr>
            <w:tcW w:type="dxa" w:w="4082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36 meses</w:t>
            </w:r>
          </w:p>
        </w:tc>
        <w:tc>
          <w:tcPr>
            <w:tcW w:type="dxa" w:w="164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OK</w:t>
            </w:r>
          </w:p>
        </w:tc>
      </w:tr>
      <w:tr>
        <w:tc>
          <w:tcPr>
            <w:tcW w:type="dxa" w:w="3969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Valores negativos</w:t>
            </w:r>
          </w:p>
        </w:tc>
        <w:tc>
          <w:tcPr>
            <w:tcW w:type="dxa" w:w="4082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3, todos em Receitas / Publicidade (2020)</w:t>
            </w:r>
          </w:p>
        </w:tc>
        <w:tc>
          <w:tcPr>
            <w:tcW w:type="dxa" w:w="1644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Atenção</w:t>
            </w:r>
          </w:p>
        </w:tc>
      </w:tr>
      <w:tr>
        <w:tc>
          <w:tcPr>
            <w:tcW w:type="dxa" w:w="3969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Cobertura cronológica</w:t>
            </w:r>
          </w:p>
        </w:tc>
        <w:tc>
          <w:tcPr>
            <w:tcW w:type="dxa" w:w="4082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2019, 2020, 2022; 2021 ausente</w:t>
            </w:r>
          </w:p>
        </w:tc>
        <w:tc>
          <w:tcPr>
            <w:tcW w:type="dxa" w:w="164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Atenção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Registros negativos identificados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381"/>
        <w:gridCol w:w="3628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Componente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Mês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Valor</w:t>
            </w:r>
          </w:p>
        </w:tc>
      </w:tr>
      <w:tr>
        <w:tc>
          <w:tcPr>
            <w:tcW w:type="dxa" w:w="368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Publicidade / Receitas</w:t>
            </w:r>
          </w:p>
        </w:tc>
        <w:tc>
          <w:tcPr>
            <w:tcW w:type="dxa" w:w="238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05/2020</w:t>
            </w:r>
          </w:p>
        </w:tc>
        <w:tc>
          <w:tcPr>
            <w:tcW w:type="dxa" w:w="362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R$ -800,00</w:t>
            </w:r>
          </w:p>
        </w:tc>
      </w:tr>
      <w:tr>
        <w:tc>
          <w:tcPr>
            <w:tcW w:type="dxa" w:w="368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Publicidade / Receitas</w:t>
            </w:r>
          </w:p>
        </w:tc>
        <w:tc>
          <w:tcPr>
            <w:tcW w:type="dxa" w:w="238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07/2020</w:t>
            </w:r>
          </w:p>
        </w:tc>
        <w:tc>
          <w:tcPr>
            <w:tcW w:type="dxa" w:w="362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R$ -1.300,00</w:t>
            </w:r>
          </w:p>
        </w:tc>
      </w:tr>
      <w:tr>
        <w:tc>
          <w:tcPr>
            <w:tcW w:type="dxa" w:w="368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Publicidade / Receitas</w:t>
            </w:r>
          </w:p>
        </w:tc>
        <w:tc>
          <w:tcPr>
            <w:tcW w:type="dxa" w:w="238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08/2020</w:t>
            </w:r>
          </w:p>
        </w:tc>
        <w:tc>
          <w:tcPr>
            <w:tcW w:type="dxa" w:w="362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R$ -300,00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rFonts w:ascii="Aptos" w:hAnsi="Aptos"/>
          <w:b w:val="0"/>
          <w:color w:val="65717B"/>
          <w:sz w:val="16"/>
        </w:rPr>
        <w:t>Os valores negativos foram preservados e devem ser investigados apenas se o objetivo for conciliação formal. Em projeto didático, não há base para removê-los como erro.</w:t>
      </w: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08  </w:t>
      </w:r>
      <w:r>
        <w:rPr>
          <w:rFonts w:ascii="Aptos" w:hAnsi="Aptos"/>
          <w:b/>
          <w:color w:val="1F2830"/>
          <w:sz w:val="34"/>
        </w:rPr>
        <w:t>Regras de qualidade e limitações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Critérios de aceitação, lacunas analíticas e riscos de interpretação.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Critérios de aceite para o relatório Power BI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Soma de Receitas no Power BI igual a R$ 1.920.089,00 no contexto geral.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Soma de Despesas igual a R$ 1.152.917,00; Resultado igual a R$ 767.172,00.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Margem geral igual a 39,96% quando formatada com duas casas decimais.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Na matriz: subtotais anuais devem reconciliar com 2019, 2020 e 2022.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Drill-down por tipo e componente sem categorias duplicadas ou soma de subtotais em dobro.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Itens de 2021 não podem ser confundidos com meses medidos que apresentaram saldo zero.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Ajuste do tamanho da matriz para não cortar colunas relevantes nem sobrepor os gráficos.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Limitações do conjunto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236"/>
      </w:tblGrid>
      <w:tr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Limitação</w:t>
            </w:r>
          </w:p>
        </w:tc>
        <w:tc>
          <w:tcPr>
            <w:tcW w:type="dxa" w:w="4961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Implicação</w:t>
            </w:r>
          </w:p>
        </w:tc>
      </w:tr>
      <w:tr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Ausência de ano de 2021</w:t>
            </w:r>
          </w:p>
        </w:tc>
        <w:tc>
          <w:tcPr>
            <w:tcW w:type="dxa" w:w="623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Não há crescimento anual direto 2021→2022; indicar lacuna temporal.</w:t>
            </w:r>
          </w:p>
        </w:tc>
      </w:tr>
      <w:tr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Sem identificadores de transação</w:t>
            </w:r>
          </w:p>
        </w:tc>
        <w:tc>
          <w:tcPr>
            <w:tcW w:type="dxa" w:w="623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Não permite auditoria de lançamento individual.</w:t>
            </w:r>
          </w:p>
        </w:tc>
      </w:tr>
      <w:tr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Sem saldos bancários e pagamentos</w:t>
            </w:r>
          </w:p>
        </w:tc>
        <w:tc>
          <w:tcPr>
            <w:tcW w:type="dxa" w:w="623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Não permite fluxo de caixa realizado.</w:t>
            </w:r>
          </w:p>
        </w:tc>
      </w:tr>
      <w:tr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Sem balanço patrimonial</w:t>
            </w:r>
          </w:p>
        </w:tc>
        <w:tc>
          <w:tcPr>
            <w:tcW w:type="dxa" w:w="623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ROI, liquidez e endividamento não podem ser calculados com segurança.</w:t>
            </w:r>
          </w:p>
        </w:tc>
      </w:tr>
      <w:tr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Sem plano de contas e critérios contábeis</w:t>
            </w:r>
          </w:p>
        </w:tc>
        <w:tc>
          <w:tcPr>
            <w:tcW w:type="dxa" w:w="6236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O “Lucro” exibido é resultado gerencial, não lucro líquido auditado.</w:t>
            </w:r>
          </w:p>
        </w:tc>
      </w:tr>
      <w:tr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PBIX não fornecido</w:t>
            </w:r>
          </w:p>
        </w:tc>
        <w:tc>
          <w:tcPr>
            <w:tcW w:type="dxa" w:w="6236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Relacionamentos físicos, medidas e performance não foram inspecionados diretamente.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FFF8E5"/>
            <w:tcMar>
              <w:top w:w="125" w:type="dxa"/>
              <w:start w:w="170" w:type="dxa"/>
              <w:bottom w:w="115" w:type="dxa"/>
              <w:end w:w="170" w:type="dxa"/>
            </w:tcMar>
            <w:tcBorders>
              <w:left w:val="single" w:color="D4AF37" w:sz="22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81620F"/>
                <w:sz w:val="16"/>
              </w:rPr>
              <w:t>CUIDADOS DE INTERPRETAÇÃO</w:t>
            </w:r>
          </w:p>
          <w:p>
            <w:pPr>
              <w:spacing w:after="0"/>
            </w:pPr>
            <w:r>
              <w:rPr>
                <w:rFonts w:ascii="Aptos" w:hAnsi="Aptos"/>
                <w:color w:val="1F2830"/>
                <w:sz w:val="18"/>
              </w:rPr>
              <w:t>Investimentos classificados como “Receitas” são uma classificação presente na base, não evidência de faturamento operacional. A nomenclatura deve ser explicitada antes de qualquer uso gerencial externo.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09  </w:t>
      </w:r>
      <w:r>
        <w:rPr>
          <w:rFonts w:ascii="Aptos" w:hAnsi="Aptos"/>
          <w:b/>
          <w:color w:val="1F2830"/>
          <w:sz w:val="34"/>
        </w:rPr>
        <w:t>Reprodução, versionamento e evolução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Orientações para manutenção do projeto como portfólio técnico.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Passo a passo de reprodução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01.  </w:t>
      </w:r>
      <w:r>
        <w:rPr>
          <w:rFonts w:ascii="Aptos" w:hAnsi="Aptos"/>
          <w:color w:val="1F2830"/>
          <w:sz w:val="18"/>
        </w:rPr>
        <w:t>Criar arquivo PBIX vazio e estabelecer idioma/localidade compatíveis com pt-BR.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02.  </w:t>
      </w:r>
      <w:r>
        <w:rPr>
          <w:rFonts w:ascii="Aptos" w:hAnsi="Aptos"/>
          <w:color w:val="1F2830"/>
          <w:sz w:val="18"/>
        </w:rPr>
        <w:t>Importar DadosFinanceiros_Corrigido_PowerBI.csv com delimitador “;” e tipos corretos.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03.  </w:t>
      </w:r>
      <w:r>
        <w:rPr>
          <w:rFonts w:ascii="Aptos" w:hAnsi="Aptos"/>
          <w:color w:val="1F2830"/>
          <w:sz w:val="18"/>
        </w:rPr>
        <w:t>Renomear a tabela de lançamentos para Fato_Financeiro.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04.  </w:t>
      </w:r>
      <w:r>
        <w:rPr>
          <w:rFonts w:ascii="Aptos" w:hAnsi="Aptos"/>
          <w:color w:val="1F2830"/>
          <w:sz w:val="18"/>
        </w:rPr>
        <w:t>Criar Dim_Calendario, configurar relacionamento 1:* e validar a análise por ano.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05.  </w:t>
      </w:r>
      <w:r>
        <w:rPr>
          <w:rFonts w:ascii="Aptos" w:hAnsi="Aptos"/>
          <w:color w:val="1F2830"/>
          <w:sz w:val="18"/>
        </w:rPr>
        <w:t>Criar/validar as quatro medidas DAX e comparar com os totais de referência.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06.  </w:t>
      </w:r>
      <w:r>
        <w:rPr>
          <w:rFonts w:ascii="Aptos" w:hAnsi="Aptos"/>
          <w:color w:val="1F2830"/>
          <w:sz w:val="18"/>
        </w:rPr>
        <w:t>Montar quatro KPIs, os três gráficos de componentes/segmentos e a matriz analítica.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07.  </w:t>
      </w:r>
      <w:r>
        <w:rPr>
          <w:rFonts w:ascii="Aptos" w:hAnsi="Aptos"/>
          <w:color w:val="1F2830"/>
          <w:sz w:val="18"/>
        </w:rPr>
        <w:t>Aplicar tema preto/dourado e inspecionar legibilidade, rolagem e tamanho dos visuais.</w:t>
      </w:r>
    </w:p>
    <w:p>
      <w:pPr>
        <w:spacing w:after="100"/>
      </w:pPr>
      <w:r>
        <w:rPr>
          <w:rFonts w:ascii="Aptos" w:hAnsi="Aptos"/>
          <w:b/>
          <w:color w:val="99751F"/>
          <w:sz w:val="18"/>
        </w:rPr>
        <w:t xml:space="preserve">08.  </w:t>
      </w:r>
      <w:r>
        <w:rPr>
          <w:rFonts w:ascii="Aptos" w:hAnsi="Aptos"/>
          <w:color w:val="1F2830"/>
          <w:sz w:val="18"/>
        </w:rPr>
        <w:t>Validar os resultados e documentar o PBIX publicado com sua versão.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Estrutura sugerida para publicação no GitHub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22"/>
            <w:shd w:fill="141A1F"/>
            <w:tcMar>
              <w:top w:w="150" w:type="dxa"/>
              <w:start w:w="160" w:type="dxa"/>
              <w:bottom w:w="155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>dataflow-painel-financeiro-powerbi/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README.md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docs/Documentacao_Tecnica_DataFlow.docx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dashboard/             # PBIX se autorizado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dados/                  # CSV fictício publicável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imagens/dashboard.png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medidas/                 # DAX verificado no PBIX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F3DE98"/>
                <w:sz w:val="14"/>
              </w:rPr>
              <w:t xml:space="preserve">  consultas/               # M verificado no PBIX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Backlog de melhoria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Exibir data de atualização e período coberto pelo painel.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Implementar parâmetros de origem e reduzir dependência de caminhos locais.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Criar página de qualidade de dados e monitoramento de atualização.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Padronizar métricas e seus nomes em dicionário semântico.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Adicionar indicadores contábeis somente após ampliar as fontes com informações necessárias.</w:t>
      </w:r>
    </w:p>
    <w:p>
      <w:r>
        <w:br w:type="page"/>
      </w:r>
    </w:p>
    <w:p>
      <w:pPr>
        <w:pStyle w:val="Heading1"/>
        <w:spacing w:before="200" w:after="180"/>
      </w:pPr>
      <w:r>
        <w:rPr>
          <w:rFonts w:ascii="Aptos" w:hAnsi="Aptos"/>
          <w:b/>
          <w:color w:val="D4AF37"/>
          <w:sz w:val="26"/>
        </w:rPr>
        <w:t xml:space="preserve">10  </w:t>
      </w:r>
      <w:r>
        <w:rPr>
          <w:rFonts w:ascii="Aptos" w:hAnsi="Aptos"/>
          <w:b/>
          <w:color w:val="1F2830"/>
          <w:sz w:val="34"/>
        </w:rPr>
        <w:t>Apêndice, fontes e controle de alterações</w:t>
      </w:r>
    </w:p>
    <w:p>
      <w:pPr>
        <w:spacing w:before="0" w:after="260"/>
      </w:pPr>
      <w:r>
        <w:rPr>
          <w:rFonts w:ascii="Aptos" w:hAnsi="Aptos"/>
          <w:b w:val="0"/>
          <w:color w:val="65717B"/>
          <w:sz w:val="18"/>
        </w:rPr>
        <w:t>Referências documentais e pontos pendentes para uma auditoria completa.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Totais financeiros por componente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365"/>
        <w:gridCol w:w="3458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Classe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Componente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Total (R$)</w:t>
            </w:r>
          </w:p>
        </w:tc>
      </w:tr>
      <w:tr>
        <w:tc>
          <w:tcPr>
            <w:tcW w:type="dxa" w:w="187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</w:t>
            </w:r>
          </w:p>
        </w:tc>
        <w:tc>
          <w:tcPr>
            <w:tcW w:type="dxa" w:w="436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Vendas</w:t>
            </w:r>
          </w:p>
        </w:tc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1.359.336,00</w:t>
            </w:r>
          </w:p>
        </w:tc>
      </w:tr>
      <w:tr>
        <w:tc>
          <w:tcPr>
            <w:tcW w:type="dxa" w:w="187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</w:t>
            </w:r>
          </w:p>
        </w:tc>
        <w:tc>
          <w:tcPr>
            <w:tcW w:type="dxa" w:w="436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Licenciamento</w:t>
            </w:r>
          </w:p>
        </w:tc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232.200,00</w:t>
            </w:r>
          </w:p>
        </w:tc>
      </w:tr>
      <w:tr>
        <w:tc>
          <w:tcPr>
            <w:tcW w:type="dxa" w:w="187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</w:t>
            </w:r>
          </w:p>
        </w:tc>
        <w:tc>
          <w:tcPr>
            <w:tcW w:type="dxa" w:w="436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Aluguéis</w:t>
            </w:r>
          </w:p>
        </w:tc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119.175,00</w:t>
            </w:r>
          </w:p>
        </w:tc>
      </w:tr>
      <w:tr>
        <w:tc>
          <w:tcPr>
            <w:tcW w:type="dxa" w:w="187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</w:t>
            </w:r>
          </w:p>
        </w:tc>
        <w:tc>
          <w:tcPr>
            <w:tcW w:type="dxa" w:w="436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Publicidade</w:t>
            </w:r>
          </w:p>
        </w:tc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78.978,00</w:t>
            </w:r>
          </w:p>
        </w:tc>
      </w:tr>
      <w:tr>
        <w:tc>
          <w:tcPr>
            <w:tcW w:type="dxa" w:w="187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</w:t>
            </w:r>
          </w:p>
        </w:tc>
        <w:tc>
          <w:tcPr>
            <w:tcW w:type="dxa" w:w="436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Investimentos</w:t>
            </w:r>
          </w:p>
        </w:tc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68.800,00</w:t>
            </w:r>
          </w:p>
        </w:tc>
      </w:tr>
      <w:tr>
        <w:tc>
          <w:tcPr>
            <w:tcW w:type="dxa" w:w="187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Receitas</w:t>
            </w:r>
          </w:p>
        </w:tc>
        <w:tc>
          <w:tcPr>
            <w:tcW w:type="dxa" w:w="436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Franquias</w:t>
            </w:r>
          </w:p>
        </w:tc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61.600,00</w:t>
            </w:r>
          </w:p>
        </w:tc>
      </w:tr>
      <w:tr>
        <w:tc>
          <w:tcPr>
            <w:tcW w:type="dxa" w:w="187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</w:t>
            </w:r>
          </w:p>
        </w:tc>
        <w:tc>
          <w:tcPr>
            <w:tcW w:type="dxa" w:w="436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Administrativo</w:t>
            </w:r>
          </w:p>
        </w:tc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462.000,00</w:t>
            </w:r>
          </w:p>
        </w:tc>
      </w:tr>
      <w:tr>
        <w:tc>
          <w:tcPr>
            <w:tcW w:type="dxa" w:w="187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</w:t>
            </w:r>
          </w:p>
        </w:tc>
        <w:tc>
          <w:tcPr>
            <w:tcW w:type="dxa" w:w="436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Tecnologia</w:t>
            </w:r>
          </w:p>
        </w:tc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277.000,00</w:t>
            </w:r>
          </w:p>
        </w:tc>
      </w:tr>
      <w:tr>
        <w:tc>
          <w:tcPr>
            <w:tcW w:type="dxa" w:w="187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</w:t>
            </w:r>
          </w:p>
        </w:tc>
        <w:tc>
          <w:tcPr>
            <w:tcW w:type="dxa" w:w="436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Salários</w:t>
            </w:r>
          </w:p>
        </w:tc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241.000,00</w:t>
            </w:r>
          </w:p>
        </w:tc>
      </w:tr>
      <w:tr>
        <w:tc>
          <w:tcPr>
            <w:tcW w:type="dxa" w:w="187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</w:t>
            </w:r>
          </w:p>
        </w:tc>
        <w:tc>
          <w:tcPr>
            <w:tcW w:type="dxa" w:w="436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Impostos</w:t>
            </w:r>
          </w:p>
        </w:tc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70.000,00</w:t>
            </w:r>
          </w:p>
        </w:tc>
      </w:tr>
      <w:tr>
        <w:tc>
          <w:tcPr>
            <w:tcW w:type="dxa" w:w="187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</w:t>
            </w:r>
          </w:p>
        </w:tc>
        <w:tc>
          <w:tcPr>
            <w:tcW w:type="dxa" w:w="4365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Segurança</w:t>
            </w:r>
          </w:p>
        </w:tc>
        <w:tc>
          <w:tcPr>
            <w:tcW w:type="dxa" w:w="3458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51.600,00</w:t>
            </w:r>
          </w:p>
        </w:tc>
      </w:tr>
      <w:tr>
        <w:tc>
          <w:tcPr>
            <w:tcW w:type="dxa" w:w="1871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Despesas</w:t>
            </w:r>
          </w:p>
        </w:tc>
        <w:tc>
          <w:tcPr>
            <w:tcW w:type="dxa" w:w="4365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Marketing</w:t>
            </w:r>
          </w:p>
        </w:tc>
        <w:tc>
          <w:tcPr>
            <w:tcW w:type="dxa" w:w="3458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51.317,00</w:t>
            </w:r>
          </w:p>
        </w:tc>
      </w:tr>
    </w:tbl>
    <w:p>
      <w:pPr>
        <w:spacing w:after="0"/>
      </w:pP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Arquivos e documentos consultados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DadosFinanceiros_Corrigido_PowerBI.csv — arquivo normalizado, fonte dos totais e dos testes.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Documentacao_Projeto_Analise_Financeira.pdf — histórico de transformação e escopo de origem.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Captura do Painel Financeiro DataFlow — referência visual fornecida na conversa.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Materiais didáticos citados no projeto: Data Science Academy, “Qual a Função da Área de Finanças de Uma Empresa?” e “Quais São os Principais KPIs da Área de Finanças?”.</w:t>
      </w:r>
    </w:p>
    <w:p>
      <w:pPr>
        <w:pStyle w:val="Heading2"/>
        <w:spacing w:before="220" w:after="120"/>
      </w:pPr>
      <w:r>
        <w:rPr>
          <w:rFonts w:ascii="Aptos" w:hAnsi="Aptos"/>
          <w:b/>
          <w:color w:val="1F2830"/>
          <w:sz w:val="22"/>
        </w:rPr>
        <w:t>Itens pendentes de comprovação no ambiente Power BI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Arquivo .pbix atual e sua versão de publicação.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Código de todas as consultas Power Query (M) efetivamente utilizadas.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Definições DAX efetivas, metadados e relacionamentos físicos.</w:t>
      </w:r>
    </w:p>
    <w:p>
      <w:pPr>
        <w:pStyle w:val="ListBullet"/>
        <w:spacing w:after="60"/>
      </w:pPr>
      <w:r>
        <w:rPr>
          <w:rFonts w:ascii="Aptos" w:hAnsi="Aptos"/>
          <w:color w:val="1F2830"/>
          <w:sz w:val="18"/>
        </w:rPr>
        <w:t>Tema JSON, configurações de atualização e eventuais credenciais (nunca publicar segredos).</w:t>
      </w:r>
    </w:p>
    <w:p>
      <w:pPr>
        <w:spacing w:before="240" w:after="140"/>
      </w:pPr>
      <w:r>
        <w:rPr>
          <w:rFonts w:ascii="Aptos" w:hAnsi="Aptos"/>
          <w:b/>
          <w:color w:val="856B21"/>
          <w:sz w:val="17"/>
        </w:rPr>
        <w:t>CONTROLE DE VERSÃO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984"/>
        <w:gridCol w:w="6350"/>
      </w:tblGrid>
      <w:tr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Versão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Data</w:t>
            </w:r>
          </w:p>
        </w:tc>
        <w:tc>
          <w:tcPr>
            <w:tcW w:type="dxa" w:w="3307"/>
            <w:shd w:fill="1B1E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0C75A"/>
                <w:sz w:val="16"/>
              </w:rPr>
              <w:t>Descrição</w:t>
            </w:r>
          </w:p>
        </w:tc>
      </w:tr>
      <w:tr>
        <w:tc>
          <w:tcPr>
            <w:tcW w:type="dxa" w:w="1361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1.0</w:t>
            </w:r>
          </w:p>
        </w:tc>
        <w:tc>
          <w:tcPr>
            <w:tcW w:type="dxa" w:w="1984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11/10/2026</w:t>
            </w:r>
          </w:p>
        </w:tc>
        <w:tc>
          <w:tcPr>
            <w:tcW w:type="dxa" w:w="6350"/>
            <w:shd w:fill="F6F7F8"/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color w:val="1F2830"/>
                <w:sz w:val="16"/>
              </w:rPr>
              <w:t>Documento técnico consolidado a partir da base normalizada, do relatório anterior e do dashboard apresentado.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92" w:bottom="879" w:left="992" w:header="408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17B"/>
        <w:sz w:val="14"/>
      </w:rPr>
      <w:t xml:space="preserve">DATAFLOW  •  PROJETO FINANCEIRO      |  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Aptos" w:hAnsi="Aptos"/>
        <w:b/>
        <w:color w:val="D4AF37"/>
        <w:sz w:val="16"/>
      </w:rPr>
      <w:t>DF  /  DATAFLOW</w:t>
    </w:r>
    <w:r>
      <w:rPr>
        <w:rFonts w:ascii="Aptos" w:hAnsi="Aptos"/>
        <w:color w:val="65717B"/>
        <w:sz w:val="15"/>
      </w:rPr>
      <w:t xml:space="preserve">    |  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F28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8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8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| Painel Financeiro DataFlow</dc:title>
  <dc:subject>Projeto de Business Intelligence para análise financeira no Power BI</dc:subject>
  <dc:creator>DataFlow | Gustavo Leandro de Oliveira</dc:creator>
  <cp:keywords>Power BI, DAX, Power Query, ETL, BI, Financeiro, DataFlow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