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0"/>
        </w:rPr>
        <w:t>HERALD — Milestone 2 Progress Report</w:t>
      </w:r>
    </w:p>
    <w:p>
      <w:pPr>
        <w:jc w:val="center"/>
      </w:pPr>
      <w:r>
        <w:rPr>
          <w:i/>
          <w:color w:val="555555"/>
          <w:sz w:val="24"/>
        </w:rPr>
        <w:t>Hierarchical Escalating Retrieval and LLM Disagreement Pipeline</w:t>
      </w:r>
    </w:p>
    <w:p>
      <w:pPr>
        <w:jc w:val="center"/>
      </w:pPr>
      <w:r>
        <w:rPr>
          <w:color w:val="555555"/>
          <w:sz w:val="22"/>
        </w:rPr>
        <w:t>Data Preparation &amp; Initial Agent Implementation  |  2026-03-15</w:t>
      </w:r>
    </w:p>
    <w:p>
      <w:pPr>
        <w:pBdr>
          <w:bottom w:val="single" w:sz="6" w:color="CCCCCC"/>
        </w:pBdr>
        <w:spacing w:before="80" w:after="80"/>
      </w:pPr>
    </w:p>
    <w:p>
      <w:pPr>
        <w:pStyle w:val="Heading1"/>
        <w:spacing w:before="320" w:after="80"/>
      </w:pPr>
      <w:r>
        <w:rPr>
          <w:color w:val="2C3E50"/>
          <w:sz w:val="32"/>
        </w:rPr>
        <w:t>1. What HERALD Does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HERALD validates outputs from economics research LLM agents before they enter reports or downstream reasoning. Claims are routed through progressively expensive validators — stopping as soon as any tier is confident — balancing cost, latency, and accuracy.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Five checkpoint types are validated: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CP</w:t>
            </w:r>
          </w:p>
        </w:tc>
        <w:tc>
          <w:tcPr>
            <w:tcW w:type="dxa" w:w="312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is checked</w:t>
            </w:r>
          </w:p>
        </w:tc>
      </w:tr>
      <w:tr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Retrieval</w:t>
            </w:r>
          </w:p>
        </w:tc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Retrieved document is topically relevant to the query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Claim Extraction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Extracted claim directly entailed by source; numbers exact</w:t>
            </w:r>
          </w:p>
        </w:tc>
      </w:tr>
      <w:tr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Synthesis</w:t>
            </w:r>
          </w:p>
        </w:tc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Paragraph faithfully represents all contributing claims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Numerical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Numbers within accepted rounding; direction correct</w:t>
            </w:r>
          </w:p>
        </w:tc>
      </w:tr>
      <w:tr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Causal</w:t>
            </w:r>
          </w:p>
        </w:tc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Causal language does not overstate source's evidence strength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hAnsi="Calibri"/>
          <w:b w:val="0"/>
          <w:i/>
          <w:color w:val="555555"/>
          <w:sz w:val="22"/>
        </w:rPr>
        <w:t>Verdicts: VALID / INVALID / UNCERTAIN (→ human review).</w:t>
      </w:r>
    </w:p>
    <w:p>
      <w:pPr>
        <w:pStyle w:val="Heading1"/>
        <w:spacing w:before="320" w:after="80"/>
      </w:pPr>
      <w:r>
        <w:rPr>
          <w:color w:val="2C3E50"/>
          <w:sz w:val="32"/>
        </w:rPr>
        <w:t>2. System Architecture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87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8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9"/>
        </w:rPr>
        <w:t>Figure 1 — HERALD four-tier escalation pipeline. Each tier runs only if the previous tier's confidence falls below its threshold.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Every case returns a complete EscalationPacket with verdicts, confidence scores, and reasoning from every tier that ran — providing a full audit trail. Thresholds T1 = 0.70 and T2 = 0.80 are configurable in configs/default.yaml without code changes.</w:t>
      </w:r>
    </w:p>
    <w:p>
      <w:pPr>
        <w:pStyle w:val="Heading1"/>
        <w:spacing w:before="320" w:after="80"/>
      </w:pPr>
      <w:r>
        <w:rPr>
          <w:color w:val="2C3E50"/>
          <w:sz w:val="32"/>
        </w:rPr>
        <w:t>3. Data Pipeline</w:t>
      </w:r>
    </w:p>
    <w:p>
      <w:pPr>
        <w:pStyle w:val="Heading2"/>
        <w:spacing w:before="280" w:after="60"/>
      </w:pPr>
      <w:r>
        <w:rPr>
          <w:color w:val="4A90D9"/>
          <w:sz w:val="26"/>
        </w:rPr>
        <w:t>3.1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312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Cases</w:t>
            </w:r>
          </w:p>
        </w:tc>
        <w:tc>
          <w:tcPr>
            <w:tcW w:type="dxa" w:w="312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sample_cases.json</w:t>
            </w:r>
          </w:p>
        </w:tc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Labeled eval set (ground truth)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feasibility_samples.json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Expanded NLI feasibility / smoke-test set</w:t>
            </w:r>
          </w:p>
        </w:tc>
      </w:tr>
      <w:tr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unlabeled_pairs.json</w:t>
            </w:r>
          </w:p>
        </w:tc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312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Source/claim pairs for Groq labeling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weak_labeled.json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~40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Groq-generated weak labels for fine-tuning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 cases are grounded in U.S. macroeconomics (Fed policy, inflation, housing, labor markets) with three-way labels: valid / invalid / ambiguous. Validity criteria for each checkpoint type are precisely defined — for example, CP4 (Numerical) allows ±1 unit of rounding ('1.08M' from source '1.078M' is valid; '5% decline' from '3.2%' is not).</w:t>
      </w:r>
    </w:p>
    <w:p>
      <w:pPr>
        <w:pStyle w:val="Heading2"/>
        <w:spacing w:before="280" w:after="60"/>
      </w:pPr>
      <w:r>
        <w:rPr>
          <w:color w:val="4A90D9"/>
          <w:sz w:val="26"/>
        </w:rPr>
        <w:t>3.2 Feasibility Gate — NLI Signal Verification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Before building the full pipeline, a GO/NO-GO gate verified that the base DeBERTa model produces meaningful discriminative signal on economics data without any fine-tuning.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426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i_sepa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26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9"/>
        </w:rPr>
        <w:t>Figure 2 — DeBERTa entailment/contradiction scores by label (40 cases). The 0.545 entailment gap confirms Tier 1 can discriminate without fine-tuning.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Gate passed. Fine-tuning (script notebooks/finetune_tier1.py is ready) is repositioned as a Phase 2 improvement once 500+ weak-labeled pairs exist — not a Phase 1 prerequisite. This unblocked the pipeline 2–3 weeks earlier than planned.</w:t>
      </w:r>
    </w:p>
    <w:p>
      <w:pPr>
        <w:pStyle w:val="Heading1"/>
        <w:spacing w:before="320" w:after="80"/>
      </w:pPr>
      <w:r>
        <w:rPr>
          <w:color w:val="2C3E50"/>
          <w:sz w:val="32"/>
        </w:rPr>
        <w:t>4. Agent Implementation</w:t>
      </w:r>
    </w:p>
    <w:p>
      <w:pPr>
        <w:pStyle w:val="Heading2"/>
        <w:spacing w:before="280" w:after="60"/>
      </w:pPr>
      <w:r>
        <w:rPr>
          <w:color w:val="4A90D9"/>
          <w:sz w:val="26"/>
        </w:rPr>
        <w:t>Tier 1 — NLI Classifier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Runs locally on CPU; zero cost. Source context is the NLI premise, agent output is the hypothesis. DeBERTa produces entailment / contradiction / neutral probabilities; the highest-scoring class becomes the verdict subject to the T1 threshold (0.70). For multi-source checkpoints (CP1, CP3), three aggregation strategies are supported: max_entailment, max_contradiction, and mean.</w:t>
      </w:r>
    </w:p>
    <w:p>
      <w:pPr>
        <w:pStyle w:val="Heading2"/>
        <w:spacing w:before="280" w:after="60"/>
      </w:pPr>
      <w:r>
        <w:rPr>
          <w:color w:val="4A90D9"/>
          <w:sz w:val="26"/>
        </w:rPr>
        <w:t>Tier 2 — LLM Judge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Single Groq call to llama-3.3-70b-versatile (free tier, temp=0.1). The judge receives the output text, source context, and Tier 1's raw NLI scores. It returns structured JSON { verdict, confidence, reasoning, key_issues } enforced via Groq's json_object response format. If stated confidence is below T2 (0.80), the verdict is overridden to UNCERTAIN and the case escalates. Three-attempt retry with 2s backoff handles rate limits.</w:t>
      </w:r>
    </w:p>
    <w:p>
      <w:pPr>
        <w:pStyle w:val="Heading2"/>
        <w:spacing w:before="280" w:after="60"/>
      </w:pPr>
      <w:r>
        <w:rPr>
          <w:color w:val="4A90D9"/>
          <w:sz w:val="26"/>
        </w:rPr>
        <w:t>Tier 3 — Multi-Agent Debate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Three sequential Groq calls (~6s total). The Advocate builds the strongest case the output is valid (temp=0.3); the Critic argues it is not (temp=0.3); the Judge rules on source evidence — not rhetorical quality — and returns a structured JSON verdict (temp=0.1). Both advocate and critic receive the full prior analysis (Tier 1 scores + Tier 2 reasoning), targeting the debate at exactly the point of disagreement.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2"/>
        </w:rPr>
        <w:t>Design note: the 0.3 / 0.1 temperature split was added after testing showed near-zero temperature produces near-identical advocate/critic arguments, collapsing the debate.</w:t>
      </w:r>
    </w:p>
    <w:p>
      <w:pPr>
        <w:pStyle w:val="Heading2"/>
        <w:spacing w:before="280" w:after="60"/>
      </w:pPr>
      <w:r>
        <w:rPr>
          <w:color w:val="4A90D9"/>
          <w:sz w:val="26"/>
        </w:rPr>
        <w:t>Tier 4 — Human Review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When all automated tiers remain uncertain, the pipeline generates a structured JSON review packet: full reasoning trace from all prior tiers, a framed question tailored to the source of uncertainty, and all context needed for review. Packet generation is complete; a web portal for verdict submission is the primary remaining gap (see Risks).</w:t>
      </w:r>
    </w:p>
    <w:p>
      <w:pPr>
        <w:pStyle w:val="Heading1"/>
        <w:spacing w:before="320" w:after="80"/>
      </w:pPr>
      <w:r>
        <w:rPr>
          <w:color w:val="2C3E50"/>
          <w:sz w:val="32"/>
        </w:rPr>
        <w:t>5. Results</w:t>
      </w:r>
    </w:p>
    <w:p>
      <w:pPr>
        <w:pStyle w:val="Heading2"/>
        <w:spacing w:before="280" w:after="60"/>
      </w:pPr>
      <w:r>
        <w:rPr>
          <w:color w:val="4A90D9"/>
          <w:sz w:val="26"/>
        </w:rPr>
        <w:t>5.1 Summary — 10 Labeled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Overall accuracy</w:t>
            </w:r>
          </w:p>
        </w:tc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90% (9/10)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Resolved at Tier 1 (NLI only)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 cases — 85.7% accuracy</w:t>
            </w:r>
          </w:p>
        </w:tc>
      </w:tr>
      <w:tr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Resolved at Tier 2 (LLM judge)</w:t>
            </w:r>
          </w:p>
        </w:tc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2 cases — 100% accuracy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Resolved at Tier 3 (debate)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 case  — 100% accuracy</w:t>
            </w:r>
          </w:p>
        </w:tc>
      </w:tr>
      <w:tr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Human review required</w:t>
            </w:r>
          </w:p>
        </w:tc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0 cases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Total cost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</w:tbl>
    <w:p>
      <w:pPr>
        <w:spacing w:after="120"/>
      </w:pPr>
    </w:p>
    <w:p>
      <w:pPr>
        <w:pStyle w:val="Heading2"/>
        <w:spacing w:before="280" w:after="60"/>
      </w:pPr>
      <w:r>
        <w:rPr>
          <w:color w:val="4A90D9"/>
          <w:sz w:val="26"/>
        </w:rPr>
        <w:t>5.2 Escalation Profile and Error Analysis — 40-Case Run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2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2_escalation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9"/>
        </w:rPr>
        <w:t>Figure 3 — Escalation profile by checkpoint type. Numerical resolves 71% at Tier 1; synthesis and causal consistently require Tier 2 or Tier 3.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30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4_confusion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9"/>
        </w:rPr>
        <w:t>Figure 4 — Confusion matrix and per-checkpoint error rate. The single misclassification is the ambiguous test case, mis-resolved at Tier 1 with 0.832 confidence.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confusion matrix shows HERALD never outputs UNCERTAIN on this test set, meaning the ambiguous case receives a confident wrong verdict at Tier 1 rather than escalating. This is the expected failure mode and drives the risk mitigations below.</w:t>
      </w:r>
    </w:p>
    <w:p>
      <w:pPr>
        <w:pStyle w:val="Heading1"/>
        <w:spacing w:before="320" w:after="80"/>
      </w:pPr>
      <w:r>
        <w:rPr>
          <w:color w:val="2C3E50"/>
          <w:sz w:val="32"/>
        </w:rPr>
        <w:t>6. Architecture Updates from Early Learnings</w:t>
      </w:r>
    </w:p>
    <w:p>
      <w:pPr>
        <w:pStyle w:val="ListBullet"/>
        <w:spacing w:after="60"/>
      </w:pPr>
      <w:r>
        <w:rPr>
          <w:b/>
          <w:sz w:val="22"/>
        </w:rPr>
        <w:t xml:space="preserve">Base DeBERTa is strong enough to defer fine-tuning. </w:t>
      </w:r>
      <w:r>
        <w:rPr>
          <w:sz w:val="22"/>
        </w:rPr>
        <w:t>The feasibility gate showed a 0.545 entailment gap without domain adaptation. Fine-tuning is now a Phase 2 improvement, unblocking the pipeline 2–3 weeks early.</w:t>
      </w:r>
    </w:p>
    <w:p>
      <w:pPr>
        <w:pStyle w:val="ListBullet"/>
        <w:spacing w:after="60"/>
      </w:pPr>
      <w:r>
        <w:rPr>
          <w:b/>
          <w:sz w:val="22"/>
        </w:rPr>
        <w:t xml:space="preserve">Synthesis and causal checkpoints need a dedicated high-confidence path. </w:t>
      </w:r>
      <w:r>
        <w:rPr>
          <w:sz w:val="22"/>
        </w:rPr>
        <w:t>The escalation profile confirms 50–57% of CP3/CP5 cases route through Tier 2 or Tier 3 (vs. 29% for numerical). Tier 3 debate is now designed as the expected resolution path for these types, not a rare fallback.</w:t>
      </w:r>
    </w:p>
    <w:p>
      <w:pPr>
        <w:pStyle w:val="ListBullet"/>
        <w:spacing w:after="60"/>
      </w:pPr>
      <w:r>
        <w:rPr>
          <w:b/>
          <w:sz w:val="22"/>
        </w:rPr>
        <w:t xml:space="preserve">Debate quality requires temperature differentiation. </w:t>
      </w:r>
      <w:r>
        <w:rPr>
          <w:sz w:val="22"/>
        </w:rPr>
        <w:t>Advocate and critic run at temp=0.3 to produce meaningfully opposed arguments; the judge uses temp=0.1 for consistent verdicts.</w:t>
      </w:r>
    </w:p>
    <w:p>
      <w:pPr>
        <w:pStyle w:val="Heading1"/>
        <w:spacing w:before="320" w:after="80"/>
      </w:pPr>
      <w:r>
        <w:rPr>
          <w:color w:val="2C3E50"/>
          <w:sz w:val="32"/>
        </w:rPr>
        <w:t>7. Risks and Mitigation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312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12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120"/>
            <w:vAlign w:val="center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Groq rate limits interrupt multi-case runs</w:t>
            </w:r>
          </w:p>
        </w:tc>
        <w:tc>
          <w:tcPr>
            <w:tcW w:type="dxa" w:w="3120"/>
            <w:vAlign w:val="center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type="dxa" w:w="3120"/>
            <w:vAlign w:val="center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Two of four deliverable plots failed mid-run due to 429 errors. Retry logic (3 attempts, 2s backoff) is in place. Additional: result caching by checkpoint hash, configurable inter-request delay, Groq paid tier as fallback (~$5 for full 40-case sweep).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DeBERTa confidence miscalibrated for ambiguous cases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The ambiguous test case resolved at Tier 1 with 0.832 confidence instead of escalating. Mitigation: run calibration_analysis.py to compute ECE; consider checkpoint-type-specific thresholds (lower T1 for CP3/CP5) to force borderline cases through higher tiers.</w:t>
            </w:r>
          </w:p>
        </w:tc>
      </w:tr>
      <w:tr>
        <w:tc>
          <w:tcPr>
            <w:tcW w:type="dxa" w:w="3120"/>
            <w:vAlign w:val="center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No Tier 4 review portal</w:t>
            </w:r>
          </w:p>
        </w:tc>
        <w:tc>
          <w:tcPr>
            <w:tcW w:type="dxa" w:w="3120"/>
            <w:vAlign w:val="center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type="dxa" w:w="3120"/>
            <w:vAlign w:val="center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The 0% human review rate reflects a mostly clear-cut test set. Synthesis/causal cases in production will require review. Packet generation is done; a minimal Streamlit or Flask form is the next build priority.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Weak label quality contaminates fine-tuning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LLM-generated labels may be systematically wrong for subtle causal overstatement. Mitigation: filter to confidence ≥ 0.85 before training; A/B evaluate fine-tuned vs. base model on the hand-labeled 10-case set before deploying.</w:t>
            </w:r>
          </w:p>
        </w:tc>
      </w:tr>
    </w:tbl>
    <w:p>
      <w:pPr>
        <w:spacing w:after="120"/>
      </w:pPr>
    </w:p>
    <w:p>
      <w:pPr>
        <w:pStyle w:val="Heading1"/>
        <w:spacing w:before="320" w:after="80"/>
      </w:pPr>
      <w:r>
        <w:rPr>
          <w:color w:val="2C3E50"/>
          <w:sz w:val="32"/>
        </w:rPr>
        <w:t>8.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vAlign w:val="center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Full 4-tier escalation pipeline</w:t>
            </w:r>
          </w:p>
        </w:tc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Tier 1 NLI classifier (DeBERTa, local)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Tier 2 LLM judge (Groq)</w:t>
            </w:r>
          </w:p>
        </w:tc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Tier 3 multi-agent debate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Tier 4 human review packet generation</w:t>
            </w:r>
          </w:p>
        </w:tc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Labeled datasets (50 cases total)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Weak label generation</w:t>
            </w:r>
          </w:p>
        </w:tc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Evaluation framework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Threshold sweep / baseline comparison</w:t>
            </w:r>
          </w:p>
        </w:tc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DeBERTa fine-tuning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Pending (script ready; needs 500+ pairs)</w:t>
            </w:r>
          </w:p>
        </w:tc>
      </w:tr>
      <w:tr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Tier 4 review portal UI</w:t>
            </w:r>
          </w:p>
        </w:tc>
        <w:tc>
          <w:tcPr>
            <w:tcW w:type="dxa" w:w="4680"/>
            <w:vAlign w:val="center"/>
            <w:shd w:val="clear" w:color="auto" w:fill="EAF2FB"/>
          </w:tcPr>
          <w:p>
            <w:pPr>
              <w:jc w:val="center"/>
            </w:pPr>
            <w:r>
              <w:rPr>
                <w:sz w:val="20"/>
              </w:rPr>
              <w:t>Not started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 remaining deliverable plots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Blocked by Groq rate limits</w:t>
            </w:r>
          </w:p>
        </w:tc>
      </w:tr>
    </w:tbl>
    <w:p>
      <w:pPr>
        <w:spacing w:after="120"/>
      </w:pPr>
    </w:p>
    <w:p>
      <w:pPr>
        <w:pBdr>
          <w:bottom w:val="single" w:sz="6" w:color="CCCCCC"/>
        </w:pBdr>
        <w:spacing w:before="80" w:after="80"/>
      </w:pPr>
    </w:p>
    <w:p>
      <w:pPr>
        <w:jc w:val="center"/>
      </w:pPr>
      <w:r>
        <w:rPr>
          <w:i/>
          <w:color w:val="555555"/>
          <w:sz w:val="18"/>
        </w:rPr>
        <w:t>Branch: manav-dev  |  Commit: b35bf2d  |  Herald v1.1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