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szCs w:val="21"/>
        </w:rPr>
      </w:pPr>
      <w:r>
        <w:rPr>
          <w:rFonts w:hint="eastAsia"/>
          <w:szCs w:val="21"/>
        </w:rPr>
        <w:t xml:space="preserve">                            </w:t>
      </w:r>
      <w:r>
        <w:rPr>
          <w:rFonts w:hint="eastAsia"/>
          <w:szCs w:val="21"/>
        </w:rPr>
        <w:t>工程管理概论复习</w:t>
      </w:r>
    </w:p>
    <w:p>
      <w:pPr>
        <w:pStyle w:val="style179"/>
        <w:numPr>
          <w:ilvl w:val="0"/>
          <w:numId w:val="5"/>
        </w:numPr>
        <w:ind w:firstLineChars="0"/>
        <w:rPr>
          <w:szCs w:val="21"/>
        </w:rPr>
      </w:pPr>
      <w:r>
        <w:rPr>
          <w:szCs w:val="21"/>
        </w:rPr>
        <w:t>建设法律体系：</w:t>
      </w:r>
      <w:r>
        <w:rPr>
          <w:szCs w:val="21"/>
        </w:rPr>
        <w:t>建设法规体系是指国家立法机关或其授权的行政机关制定的，并由国家强制力保证实施的，调整国家行政机关、法人、法人以外的其他组织、公民在工程建设活动（包括新建、改建、扩建和拆除等</w:t>
      </w:r>
      <w:r>
        <w:rPr>
          <w:rFonts w:hint="eastAsia"/>
          <w:szCs w:val="21"/>
        </w:rPr>
        <w:t>）</w:t>
      </w:r>
      <w:r>
        <w:rPr>
          <w:szCs w:val="21"/>
        </w:rPr>
        <w:t>中发生的各种社会关系的法律法规系统，</w:t>
      </w:r>
      <w:r>
        <w:rPr>
          <w:szCs w:val="21"/>
        </w:rPr>
        <w:t>这些法律法规形成一个相互联系、相互补充、相互协调的完整统一的体系。</w:t>
      </w:r>
    </w:p>
    <w:p>
      <w:pPr>
        <w:pStyle w:val="style179"/>
        <w:numPr>
          <w:ilvl w:val="0"/>
          <w:numId w:val="8"/>
        </w:numPr>
        <w:ind w:firstLineChars="0"/>
        <w:rPr>
          <w:szCs w:val="21"/>
        </w:rPr>
      </w:pPr>
      <w:r>
        <w:rPr>
          <w:szCs w:val="21"/>
        </w:rPr>
        <w:t>定义：建设法规是调整国家行政机关、法人、</w:t>
      </w:r>
      <w:r>
        <w:rPr>
          <w:szCs w:val="21"/>
        </w:rPr>
        <w:t>法人以外的其他组织、公民在建设活动中产生的社会关系的法律规范的总称。属经济法的组成部分。</w:t>
      </w:r>
    </w:p>
    <w:p>
      <w:pPr>
        <w:pStyle w:val="style179"/>
        <w:numPr>
          <w:ilvl w:val="0"/>
          <w:numId w:val="8"/>
        </w:numPr>
        <w:ind w:firstLineChars="0"/>
        <w:rPr>
          <w:szCs w:val="21"/>
        </w:rPr>
      </w:pPr>
      <w:r>
        <w:rPr>
          <w:rFonts w:hint="eastAsia"/>
          <w:szCs w:val="21"/>
        </w:rPr>
        <w:t>调整对象：建设监督行政管理关系、建设民事法律关系、建设关系主体内部管理关系。</w:t>
      </w:r>
    </w:p>
    <w:p>
      <w:pPr>
        <w:pStyle w:val="style179"/>
        <w:numPr>
          <w:ilvl w:val="0"/>
          <w:numId w:val="8"/>
        </w:numPr>
        <w:ind w:firstLineChars="0"/>
        <w:rPr>
          <w:szCs w:val="21"/>
        </w:rPr>
      </w:pPr>
      <w:r>
        <w:rPr>
          <w:szCs w:val="21"/>
        </w:rPr>
        <w:t>构成：</w:t>
      </w: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法律</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szCs w:val="21"/>
        </w:rPr>
        <w:t>行政法规</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Pr>
          <w:szCs w:val="21"/>
        </w:rPr>
        <w:t>部门宪章</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noProof/>
          <w:szCs w:val="21"/>
        </w:rPr>
        <w:t>④</w:t>
      </w:r>
      <w:r>
        <w:rPr>
          <w:szCs w:val="21"/>
        </w:rPr>
        <w:fldChar w:fldCharType="end"/>
      </w:r>
      <w:r>
        <w:rPr>
          <w:szCs w:val="21"/>
        </w:rPr>
        <w:t>地方性法规、自治条例、单行条例</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noProof/>
          <w:szCs w:val="21"/>
        </w:rPr>
        <w:t>⑤</w:t>
      </w:r>
      <w:r>
        <w:rPr>
          <w:szCs w:val="21"/>
        </w:rPr>
        <w:fldChar w:fldCharType="end"/>
      </w:r>
      <w:r>
        <w:rPr>
          <w:szCs w:val="21"/>
        </w:rPr>
        <w:t>地方规章</w:t>
      </w:r>
    </w:p>
    <w:p>
      <w:pPr>
        <w:pStyle w:val="style179"/>
        <w:numPr>
          <w:ilvl w:val="0"/>
          <w:numId w:val="5"/>
        </w:numPr>
        <w:ind w:firstLineChars="0"/>
        <w:rPr>
          <w:szCs w:val="21"/>
        </w:rPr>
      </w:pPr>
      <w:r>
        <w:rPr>
          <w:szCs w:val="21"/>
        </w:rPr>
        <w:t>建设工程五方：</w:t>
      </w:r>
    </w:p>
    <w:p>
      <w:pPr>
        <w:pStyle w:val="style179"/>
        <w:numPr>
          <w:ilvl w:val="0"/>
          <w:numId w:val="3"/>
        </w:numPr>
        <w:ind w:firstLineChars="0"/>
        <w:rPr>
          <w:szCs w:val="21"/>
        </w:rPr>
      </w:pPr>
      <w:r>
        <w:rPr>
          <w:szCs w:val="21"/>
        </w:rPr>
        <w:t>业主方。目标：</w:t>
      </w:r>
      <w:r>
        <w:rPr>
          <w:szCs w:val="21"/>
        </w:rPr>
        <w:t>项目的</w:t>
      </w:r>
      <w:r>
        <w:rPr>
          <w:szCs w:val="21"/>
        </w:rPr>
        <w:t>投资目标</w:t>
      </w:r>
      <w:r>
        <w:rPr>
          <w:szCs w:val="21"/>
        </w:rPr>
        <w:t>、</w:t>
      </w:r>
      <w:r>
        <w:rPr>
          <w:szCs w:val="21"/>
        </w:rPr>
        <w:t>进度目标</w:t>
      </w:r>
      <w:r>
        <w:rPr>
          <w:szCs w:val="21"/>
        </w:rPr>
        <w:t>和</w:t>
      </w:r>
      <w:r>
        <w:rPr>
          <w:szCs w:val="21"/>
        </w:rPr>
        <w:t>质量目标。</w:t>
      </w:r>
      <w:r>
        <w:rPr>
          <w:szCs w:val="21"/>
        </w:rPr>
        <w:t>任务</w:t>
      </w:r>
      <w:r>
        <w:rPr>
          <w:szCs w:val="21"/>
        </w:rPr>
        <w:t>:</w:t>
      </w: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安全管理</w:t>
      </w:r>
      <w:r>
        <w:rPr>
          <w:rFonts w:hint="eastAsia"/>
          <w:szCs w:val="21"/>
        </w:rPr>
        <w:t>②投资</w:t>
      </w:r>
      <w:bookmarkStart w:id="0" w:name="_GoBack"/>
      <w:bookmarkEnd w:id="0"/>
      <w:r>
        <w:rPr>
          <w:rFonts w:hint="eastAsia"/>
          <w:szCs w:val="21"/>
        </w:rPr>
        <w:t>控制③进度控制④质量控制</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noProof/>
          <w:szCs w:val="21"/>
        </w:rPr>
        <w:t>⑤</w:t>
      </w:r>
      <w:r>
        <w:rPr>
          <w:szCs w:val="21"/>
        </w:rPr>
        <w:fldChar w:fldCharType="end"/>
      </w:r>
      <w:r>
        <w:rPr>
          <w:szCs w:val="21"/>
        </w:rPr>
        <w:t>合同管理</w:t>
      </w:r>
      <w:r>
        <w:rPr>
          <w:szCs w:val="21"/>
        </w:rPr>
        <w:fldChar w:fldCharType="begin"/>
      </w:r>
      <w:r>
        <w:rPr>
          <w:szCs w:val="21"/>
        </w:rPr>
        <w:instrText xml:space="preserve"> </w:instrText>
      </w:r>
      <w:r>
        <w:rPr>
          <w:rFonts w:hint="eastAsia"/>
          <w:szCs w:val="21"/>
        </w:rPr>
        <w:instrText>= 6 \* GB3</w:instrText>
      </w:r>
      <w:r>
        <w:rPr>
          <w:szCs w:val="21"/>
        </w:rPr>
        <w:instrText xml:space="preserve"> </w:instrText>
      </w:r>
      <w:r>
        <w:rPr>
          <w:szCs w:val="21"/>
        </w:rPr>
        <w:fldChar w:fldCharType="separate"/>
      </w:r>
      <w:r>
        <w:rPr>
          <w:rFonts w:hint="eastAsia"/>
          <w:noProof/>
          <w:szCs w:val="21"/>
        </w:rPr>
        <w:t>⑥</w:t>
      </w:r>
      <w:r>
        <w:rPr>
          <w:szCs w:val="21"/>
        </w:rPr>
        <w:fldChar w:fldCharType="end"/>
      </w:r>
      <w:r>
        <w:rPr>
          <w:szCs w:val="21"/>
        </w:rPr>
        <w:t>信息管理</w:t>
      </w:r>
      <w:r>
        <w:rPr>
          <w:szCs w:val="21"/>
        </w:rPr>
        <w:fldChar w:fldCharType="begin"/>
      </w:r>
      <w:r>
        <w:rPr>
          <w:szCs w:val="21"/>
        </w:rPr>
        <w:instrText xml:space="preserve"> </w:instrText>
      </w:r>
      <w:r>
        <w:rPr>
          <w:rFonts w:hint="eastAsia"/>
          <w:szCs w:val="21"/>
        </w:rPr>
        <w:instrText>= 7 \* GB3</w:instrText>
      </w:r>
      <w:r>
        <w:rPr>
          <w:szCs w:val="21"/>
        </w:rPr>
        <w:instrText xml:space="preserve"> </w:instrText>
      </w:r>
      <w:r>
        <w:rPr>
          <w:szCs w:val="21"/>
        </w:rPr>
        <w:fldChar w:fldCharType="separate"/>
      </w:r>
      <w:r>
        <w:rPr>
          <w:rFonts w:hint="eastAsia"/>
          <w:noProof/>
          <w:szCs w:val="21"/>
        </w:rPr>
        <w:t>⑦</w:t>
      </w:r>
      <w:r>
        <w:rPr>
          <w:szCs w:val="21"/>
        </w:rPr>
        <w:fldChar w:fldCharType="end"/>
      </w:r>
      <w:r>
        <w:rPr>
          <w:szCs w:val="21"/>
        </w:rPr>
        <w:t>组织和协调</w:t>
      </w:r>
    </w:p>
    <w:p>
      <w:pPr>
        <w:pStyle w:val="style179"/>
        <w:numPr>
          <w:ilvl w:val="0"/>
          <w:numId w:val="3"/>
        </w:numPr>
        <w:ind w:firstLineChars="0"/>
        <w:rPr>
          <w:szCs w:val="21"/>
        </w:rPr>
      </w:pPr>
      <w:r>
        <w:rPr>
          <w:szCs w:val="21"/>
        </w:rPr>
        <w:t>设计方。</w:t>
      </w:r>
      <w:r>
        <w:rPr>
          <w:szCs w:val="21"/>
        </w:rPr>
        <w:t>目标：</w:t>
      </w:r>
      <w:r>
        <w:rPr>
          <w:szCs w:val="21"/>
        </w:rPr>
        <w:t>设计的成本目标、进度目标、质量目标和投资目标；任务：与设计工作有关的安全管理、设计成本控制和与设计工作有关的工程造价控制、设计进度控制、设计质量控制、设计合同管理和设计信息管理、与设计工作有关的组织和协调。</w:t>
      </w:r>
    </w:p>
    <w:p>
      <w:pPr>
        <w:pStyle w:val="style179"/>
        <w:numPr>
          <w:ilvl w:val="0"/>
          <w:numId w:val="3"/>
        </w:numPr>
        <w:ind w:firstLineChars="0"/>
        <w:rPr>
          <w:szCs w:val="21"/>
        </w:rPr>
      </w:pPr>
      <w:r>
        <w:rPr>
          <w:szCs w:val="21"/>
        </w:rPr>
        <w:t>施工方。目标：施工的成本目标、进度目标和质量目标。任务：施工</w:t>
      </w:r>
      <w:r>
        <w:rPr>
          <w:rFonts w:hint="eastAsia"/>
          <w:szCs w:val="21"/>
        </w:rPr>
        <w:t>安全管理、施工成本控制、施工进度控制、施工质量控制、施工合同管理、施工信息管理、与施工有关的</w:t>
      </w:r>
      <w:r>
        <w:rPr>
          <w:rFonts w:hint="eastAsia"/>
          <w:szCs w:val="21"/>
        </w:rPr>
        <w:t>组织和协调</w:t>
      </w:r>
    </w:p>
    <w:p>
      <w:pPr>
        <w:pStyle w:val="style179"/>
        <w:numPr>
          <w:ilvl w:val="0"/>
          <w:numId w:val="3"/>
        </w:numPr>
        <w:ind w:firstLineChars="0"/>
        <w:rPr>
          <w:szCs w:val="21"/>
        </w:rPr>
      </w:pPr>
      <w:r>
        <w:rPr>
          <w:szCs w:val="21"/>
        </w:rPr>
        <w:t>材料供应方。目标：材料供应方的成本目标、材料供应的进度目标、材料供应的质量目标。任务：材料供应的安全管理、</w:t>
      </w:r>
      <w:r>
        <w:rPr>
          <w:szCs w:val="21"/>
        </w:rPr>
        <w:t>材料供应的成本控制、材料供应的进度控制、材料供应的质量控制、材料供应合同管理、材料供应信息管理、与材料供应有关的组织与协调。</w:t>
      </w:r>
    </w:p>
    <w:p>
      <w:pPr>
        <w:pStyle w:val="style179"/>
        <w:numPr>
          <w:ilvl w:val="0"/>
          <w:numId w:val="3"/>
        </w:numPr>
        <w:ind w:firstLineChars="0"/>
        <w:rPr>
          <w:szCs w:val="21"/>
        </w:rPr>
      </w:pPr>
      <w:r>
        <w:rPr>
          <w:szCs w:val="21"/>
        </w:rPr>
        <w:t>建设项目总承包方。</w:t>
      </w:r>
    </w:p>
    <w:p>
      <w:pPr>
        <w:pStyle w:val="style179"/>
        <w:numPr>
          <w:ilvl w:val="0"/>
          <w:numId w:val="5"/>
        </w:numPr>
        <w:ind w:firstLineChars="0"/>
        <w:rPr>
          <w:szCs w:val="21"/>
        </w:rPr>
      </w:pPr>
      <w:r>
        <w:rPr>
          <w:szCs w:val="21"/>
        </w:rPr>
        <w:t>合同类型、内容。</w:t>
      </w:r>
    </w:p>
    <w:p>
      <w:pPr>
        <w:pStyle w:val="style179"/>
        <w:numPr>
          <w:ilvl w:val="0"/>
          <w:numId w:val="4"/>
        </w:numPr>
        <w:ind w:firstLineChars="0"/>
        <w:rPr>
          <w:szCs w:val="21"/>
        </w:rPr>
      </w:pPr>
      <w:r>
        <w:rPr>
          <w:szCs w:val="21"/>
        </w:rPr>
        <w:t>勘察合同。工程勘察合同是发包人与勘察人之间为完成一定的勘察任务，明确相互权利</w:t>
      </w:r>
      <w:r>
        <w:rPr>
          <w:szCs w:val="21"/>
        </w:rPr>
        <w:t>和义务关系的协议。内容包括：合同当事人及合同定立目的、工程概括、发包人的权利和义务、勘察人的权利和义务、开工及提及勘察成果资料的时间、收费标准及付费方式、违约责任、合同争议的解决、合同的生效。</w:t>
      </w:r>
    </w:p>
    <w:p>
      <w:pPr>
        <w:pStyle w:val="style179"/>
        <w:numPr>
          <w:ilvl w:val="0"/>
          <w:numId w:val="4"/>
        </w:numPr>
        <w:ind w:firstLineChars="0"/>
        <w:rPr>
          <w:szCs w:val="21"/>
        </w:rPr>
      </w:pPr>
      <w:r>
        <w:rPr>
          <w:szCs w:val="21"/>
        </w:rPr>
        <w:t>设计合同。工程设计合同是发包人与设计人之间为完成一定的设计任务，明确相互权利和义务关系的协议。内容：合同订立的目的和依据、发包人的权利与义务、设计人的权利与义务</w:t>
      </w:r>
      <w:r>
        <w:rPr>
          <w:szCs w:val="21"/>
        </w:rPr>
        <w:t>、设计收费估算值及设计费支付、违约责任、合同争议的解决、合同的生效与</w:t>
      </w:r>
      <w:r>
        <w:rPr>
          <w:szCs w:val="21"/>
        </w:rPr>
        <w:t>鉴证</w:t>
      </w:r>
      <w:r>
        <w:rPr>
          <w:szCs w:val="21"/>
        </w:rPr>
        <w:t>及其他。</w:t>
      </w:r>
    </w:p>
    <w:p>
      <w:pPr>
        <w:pStyle w:val="style179"/>
        <w:numPr>
          <w:ilvl w:val="0"/>
          <w:numId w:val="4"/>
        </w:numPr>
        <w:ind w:firstLineChars="0"/>
        <w:rPr>
          <w:szCs w:val="21"/>
        </w:rPr>
      </w:pPr>
      <w:r>
        <w:rPr>
          <w:szCs w:val="21"/>
        </w:rPr>
        <w:t>工程施工合同。工程施工合同是发包人</w:t>
      </w:r>
      <w:r>
        <w:rPr>
          <w:szCs w:val="21"/>
        </w:rPr>
        <w:t>(</w:t>
      </w:r>
      <w:r>
        <w:rPr>
          <w:szCs w:val="21"/>
        </w:rPr>
        <w:t>建设单位、业主或总包单位</w:t>
      </w:r>
      <w:r>
        <w:rPr>
          <w:rFonts w:hint="eastAsia"/>
          <w:szCs w:val="21"/>
        </w:rPr>
        <w:t>)</w:t>
      </w:r>
      <w:r>
        <w:rPr>
          <w:rFonts w:hint="eastAsia"/>
          <w:szCs w:val="21"/>
        </w:rPr>
        <w:t>与承包人（施工单位）之间为完成商定的建设工程项目，确定双方权利和义务的协议。主要包括工程概括、工程承包范围、合同工期、质量标准、合同价款、</w:t>
      </w:r>
      <w:r>
        <w:rPr>
          <w:rFonts w:hint="eastAsia"/>
          <w:szCs w:val="21"/>
        </w:rPr>
        <w:t>组成合同文的件、词语定义、双方承诺、合同生效的内容。</w:t>
      </w:r>
    </w:p>
    <w:p>
      <w:pPr>
        <w:pStyle w:val="style179"/>
        <w:numPr>
          <w:ilvl w:val="0"/>
          <w:numId w:val="4"/>
        </w:numPr>
        <w:ind w:firstLineChars="0"/>
        <w:rPr>
          <w:szCs w:val="21"/>
        </w:rPr>
      </w:pPr>
      <w:r>
        <w:rPr>
          <w:szCs w:val="21"/>
        </w:rPr>
        <w:t>工程监理合同。工程监理合同是委托人与监理人之间为完成特定建设工程项目的监理任务，明确相互权利和义务关系的协议。内容包括：合同用词的定义、关于适用法律法规、合同使用的语言、监理人的权利和义务、委托人的权利和义务、监理合同</w:t>
      </w:r>
      <w:r>
        <w:rPr>
          <w:szCs w:val="21"/>
        </w:rPr>
        <w:t>的生效、变更与终止、监理报酬、合同争议的解决、其他约定。</w:t>
      </w:r>
    </w:p>
    <w:p>
      <w:pPr>
        <w:pStyle w:val="style179"/>
        <w:numPr>
          <w:ilvl w:val="0"/>
          <w:numId w:val="4"/>
        </w:numPr>
        <w:ind w:firstLineChars="0"/>
        <w:rPr>
          <w:szCs w:val="21"/>
        </w:rPr>
      </w:pPr>
      <w:r>
        <w:rPr>
          <w:szCs w:val="21"/>
        </w:rPr>
        <w:t>工程物资采购合同。</w:t>
      </w:r>
      <w:r>
        <w:rPr>
          <w:szCs w:val="21"/>
        </w:rPr>
        <w:t>工程物资采购合同是指具有平等主体的自然人、法人、其</w:t>
      </w:r>
      <w:r>
        <w:rPr>
          <w:szCs w:val="21"/>
        </w:rPr>
        <w:t>他组织之间为实现工程物资买卖，设立、变更、终止相互权利义务关系的协定。涉及物资设备采购合同和大型设备采购合同。</w:t>
      </w:r>
    </w:p>
    <w:p>
      <w:pPr>
        <w:pStyle w:val="style179"/>
        <w:numPr>
          <w:ilvl w:val="0"/>
          <w:numId w:val="5"/>
        </w:numPr>
        <w:ind w:firstLineChars="0"/>
        <w:rPr>
          <w:szCs w:val="21"/>
        </w:rPr>
      </w:pPr>
      <w:r>
        <w:rPr>
          <w:szCs w:val="21"/>
        </w:rPr>
        <w:t>项目风险管理</w:t>
      </w:r>
      <w:r>
        <w:rPr>
          <w:szCs w:val="21"/>
        </w:rPr>
        <w:t>流程。</w:t>
      </w:r>
    </w:p>
    <w:p>
      <w:pPr>
        <w:pStyle w:val="style179"/>
        <w:numPr>
          <w:ilvl w:val="0"/>
          <w:numId w:val="6"/>
        </w:numPr>
        <w:ind w:firstLineChars="0"/>
        <w:rPr>
          <w:szCs w:val="21"/>
        </w:rPr>
      </w:pPr>
      <w:r>
        <w:rPr>
          <w:rFonts w:hint="eastAsia"/>
          <w:szCs w:val="21"/>
        </w:rPr>
        <w:t>风险的存在是不以人的意志为转移的，无论是否认识到风险，</w:t>
      </w:r>
      <w:r>
        <w:rPr>
          <w:rFonts w:hint="eastAsia"/>
          <w:szCs w:val="21"/>
        </w:rPr>
        <w:t xml:space="preserve">  </w:t>
      </w:r>
      <w:r>
        <w:rPr>
          <w:rFonts w:hint="eastAsia"/>
          <w:szCs w:val="21"/>
        </w:rPr>
        <w:t>决定风险的因素是客观存在的，一旦条件成熟，风险事件就会发</w:t>
      </w:r>
      <w:r>
        <w:rPr>
          <w:rFonts w:hint="eastAsia"/>
          <w:szCs w:val="21"/>
        </w:rPr>
        <w:t xml:space="preserve"> </w:t>
      </w:r>
      <w:r>
        <w:rPr>
          <w:rFonts w:hint="eastAsia"/>
          <w:szCs w:val="21"/>
        </w:rPr>
        <w:t>生。通常用风险量来综合反映不确定的损失程度和损失发生的概率。</w:t>
      </w:r>
    </w:p>
    <w:p>
      <w:pPr>
        <w:pStyle w:val="style179"/>
        <w:numPr>
          <w:ilvl w:val="0"/>
          <w:numId w:val="6"/>
        </w:numPr>
        <w:ind w:firstLineChars="0"/>
        <w:rPr>
          <w:szCs w:val="21"/>
        </w:rPr>
      </w:pPr>
      <w:r>
        <w:rPr>
          <w:szCs w:val="21"/>
        </w:rPr>
        <w:t>风险管理。风险管理是一种综合性的管理活动，其理论与实践涉及多种学科，包括自然科学、社会科学、系统科学、管理科学、工程与技术科学。</w:t>
      </w:r>
    </w:p>
    <w:p>
      <w:pPr>
        <w:pStyle w:val="style179"/>
        <w:numPr>
          <w:ilvl w:val="0"/>
          <w:numId w:val="6"/>
        </w:numPr>
        <w:ind w:firstLineChars="0"/>
        <w:rPr>
          <w:szCs w:val="21"/>
        </w:rPr>
      </w:pPr>
      <w:r>
        <w:rPr>
          <w:szCs w:val="21"/>
        </w:rPr>
        <w:t>风险管理基本程序。识别损失风险、</w:t>
      </w:r>
      <w:r>
        <w:rPr>
          <w:szCs w:val="21"/>
        </w:rPr>
        <w:t>衡量与风险相关联的损失、考虑各种风险管理对策并就最佳对策组合</w:t>
      </w:r>
      <w:r>
        <w:rPr>
          <w:szCs w:val="21"/>
        </w:rPr>
        <w:t>作出</w:t>
      </w:r>
      <w:r>
        <w:rPr>
          <w:szCs w:val="21"/>
        </w:rPr>
        <w:t>决策、风险分析与管理实施过程的监督。</w:t>
      </w:r>
    </w:p>
    <w:p>
      <w:pPr>
        <w:pStyle w:val="style179"/>
        <w:numPr>
          <w:ilvl w:val="0"/>
          <w:numId w:val="6"/>
        </w:numPr>
        <w:ind w:firstLineChars="0"/>
        <w:rPr>
          <w:szCs w:val="21"/>
        </w:rPr>
      </w:pPr>
      <w:r>
        <w:rPr>
          <w:szCs w:val="21"/>
        </w:rPr>
        <w:t>风险类型。组织风险、经济与管理风险、工程环境风险、技术风险。</w:t>
      </w:r>
    </w:p>
    <w:p>
      <w:pPr>
        <w:pStyle w:val="style179"/>
        <w:numPr>
          <w:ilvl w:val="0"/>
          <w:numId w:val="6"/>
        </w:numPr>
        <w:ind w:firstLineChars="0"/>
        <w:rPr>
          <w:szCs w:val="21"/>
        </w:rPr>
      </w:pPr>
      <w:r>
        <w:rPr>
          <w:szCs w:val="21"/>
        </w:rPr>
        <w:t>工作流程。项目风险识别、项目风险评估、项目风险响应、项目风险控制。</w:t>
      </w:r>
    </w:p>
    <w:p>
      <w:pPr>
        <w:pStyle w:val="style179"/>
        <w:numPr>
          <w:ilvl w:val="0"/>
          <w:numId w:val="5"/>
        </w:numPr>
        <w:ind w:firstLineChars="0"/>
        <w:rPr>
          <w:szCs w:val="21"/>
        </w:rPr>
      </w:pPr>
      <w:r>
        <w:rPr>
          <w:szCs w:val="21"/>
        </w:rPr>
        <w:t>执业资格。</w:t>
      </w:r>
      <w:r>
        <w:rPr>
          <w:szCs w:val="21"/>
        </w:rPr>
        <w:t>执业资格是政府对某些责任较大，社会通用性强，关</w:t>
      </w:r>
      <w:r>
        <w:rPr>
          <w:rFonts w:hint="eastAsia"/>
          <w:szCs w:val="21"/>
        </w:rPr>
        <w:t xml:space="preserve">  </w:t>
      </w:r>
      <w:r>
        <w:rPr>
          <w:szCs w:val="21"/>
        </w:rPr>
        <w:t>系公共利益的专业技术工作实行的准入控制，是专业技术人员依法独立开业或从事某种专业技术工作学识、技术和能力的必备标准。（与建设工程管理有关的资格有：监理工程师、造价工程师、建造师、建筑师、注册结构工程师等勘察设计注册工程师）。</w:t>
      </w:r>
    </w:p>
    <w:p>
      <w:pPr>
        <w:pStyle w:val="style179"/>
        <w:numPr>
          <w:ilvl w:val="0"/>
          <w:numId w:val="5"/>
        </w:numPr>
        <w:ind w:firstLineChars="0"/>
        <w:rPr>
          <w:szCs w:val="21"/>
        </w:rPr>
      </w:pPr>
      <w:r>
        <w:rPr>
          <w:szCs w:val="21"/>
        </w:rPr>
        <w:t>工程管理内涵。</w:t>
      </w:r>
      <w:r>
        <w:rPr>
          <w:szCs w:val="21"/>
        </w:rPr>
        <w:t>建设工程管理是一项应有专业人士承担的专业性很强的管理工作，涉及工程管理的思想、组织、方法和手段。</w:t>
      </w:r>
      <w:r>
        <w:rPr>
          <w:szCs w:val="21"/>
        </w:rPr>
        <w:t>决策阶段的管理</w:t>
      </w:r>
      <w:r>
        <w:rPr>
          <w:szCs w:val="21"/>
        </w:rPr>
        <w:t>DM(</w:t>
      </w:r>
      <w:r>
        <w:rPr>
          <w:szCs w:val="21"/>
        </w:rPr>
        <w:t>项目前期的开发管理</w:t>
      </w:r>
      <w:r>
        <w:rPr>
          <w:rFonts w:hint="eastAsia"/>
          <w:szCs w:val="21"/>
        </w:rPr>
        <w:t>)</w:t>
      </w:r>
      <w:r>
        <w:rPr>
          <w:rFonts w:hint="eastAsia"/>
          <w:szCs w:val="21"/>
        </w:rPr>
        <w:t>、实施阶段的管理</w:t>
      </w:r>
      <w:r>
        <w:rPr>
          <w:rFonts w:hint="eastAsia"/>
          <w:szCs w:val="21"/>
        </w:rPr>
        <w:t>PM</w:t>
      </w:r>
      <w:r>
        <w:rPr>
          <w:rFonts w:hint="eastAsia"/>
          <w:szCs w:val="21"/>
        </w:rPr>
        <w:t>、使用阶段的管理</w:t>
      </w:r>
      <w:r>
        <w:rPr>
          <w:rFonts w:hint="eastAsia"/>
          <w:szCs w:val="21"/>
        </w:rPr>
        <w:t>FM</w:t>
      </w:r>
      <w:r>
        <w:rPr>
          <w:rFonts w:hint="eastAsia"/>
          <w:szCs w:val="21"/>
        </w:rPr>
        <w:t>即设施</w:t>
      </w:r>
      <w:r>
        <w:rPr>
          <w:rFonts w:hint="eastAsia"/>
          <w:szCs w:val="21"/>
        </w:rPr>
        <w:t>管理。</w:t>
      </w:r>
      <w:r>
        <w:rPr>
          <w:rFonts w:hint="eastAsia"/>
          <w:szCs w:val="21"/>
        </w:rPr>
        <w:t>E</w:t>
      </w:r>
      <w:r>
        <w:rPr>
          <w:rFonts w:hint="eastAsia"/>
          <w:szCs w:val="21"/>
        </w:rPr>
        <w:t>Ｍ</w:t>
      </w:r>
      <w:r>
        <w:rPr>
          <w:rFonts w:hint="eastAsia"/>
          <w:szCs w:val="21"/>
        </w:rPr>
        <w:t>=</w:t>
      </w:r>
      <w:r>
        <w:rPr>
          <w:rFonts w:hint="eastAsia"/>
          <w:szCs w:val="21"/>
        </w:rPr>
        <w:t>ＤＭ</w:t>
      </w:r>
      <w:r>
        <w:rPr>
          <w:rFonts w:hint="eastAsia"/>
          <w:szCs w:val="21"/>
        </w:rPr>
        <w:t>+</w:t>
      </w:r>
      <w:r>
        <w:rPr>
          <w:rFonts w:hint="eastAsia"/>
          <w:szCs w:val="21"/>
        </w:rPr>
        <w:t>ＰＭ＋ＦＭ</w:t>
      </w:r>
    </w:p>
    <w:p>
      <w:pPr>
        <w:pStyle w:val="style179"/>
        <w:numPr>
          <w:ilvl w:val="0"/>
          <w:numId w:val="5"/>
        </w:numPr>
        <w:ind w:firstLineChars="0"/>
        <w:rPr>
          <w:szCs w:val="21"/>
        </w:rPr>
      </w:pPr>
      <w:r>
        <w:rPr>
          <w:szCs w:val="21"/>
        </w:rPr>
        <w:t>项目管理。项目的管理者在有限的资源约束下，运用系统的观点、方法和理论，对项目涉及的全部工作进行有效地管理。即从项目的投资决策开始到项目结束的全过程进行计划、组织、指挥、协调、和评价，以实现项目的目标。</w:t>
      </w:r>
    </w:p>
    <w:p>
      <w:pPr>
        <w:pStyle w:val="style179"/>
        <w:numPr>
          <w:ilvl w:val="0"/>
          <w:numId w:val="5"/>
        </w:numPr>
        <w:ind w:firstLineChars="0"/>
        <w:rPr>
          <w:szCs w:val="21"/>
        </w:rPr>
      </w:pPr>
      <w:r>
        <w:rPr>
          <w:szCs w:val="21"/>
        </w:rPr>
        <w:t>项目采购。</w:t>
      </w:r>
    </w:p>
    <w:p>
      <w:pPr>
        <w:pStyle w:val="style179"/>
        <w:numPr>
          <w:ilvl w:val="0"/>
          <w:numId w:val="1"/>
        </w:numPr>
        <w:ind w:firstLineChars="0"/>
        <w:rPr>
          <w:szCs w:val="21"/>
        </w:rPr>
      </w:pPr>
      <w:r>
        <w:rPr>
          <w:szCs w:val="21"/>
        </w:rPr>
        <w:t>建设工程项目的采购是指采购人通过购买、租赁、委托、或雇佣等方法获得工程、货物或服务的行为。</w:t>
      </w:r>
    </w:p>
    <w:p>
      <w:pPr>
        <w:pStyle w:val="style179"/>
        <w:numPr>
          <w:ilvl w:val="0"/>
          <w:numId w:val="1"/>
        </w:numPr>
        <w:ind w:firstLineChars="0"/>
        <w:rPr>
          <w:szCs w:val="21"/>
        </w:rPr>
      </w:pPr>
      <w:r>
        <w:rPr>
          <w:szCs w:val="21"/>
        </w:rPr>
        <w:t>采购模式。</w:t>
      </w:r>
      <w:r>
        <w:rPr>
          <w:szCs w:val="21"/>
        </w:rPr>
        <w:t>DBB</w:t>
      </w:r>
      <w:r>
        <w:rPr>
          <w:szCs w:val="21"/>
        </w:rPr>
        <w:t>模式：</w:t>
      </w: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设计－招标－建造模式</w:t>
      </w:r>
    </w:p>
    <w:p>
      <w:pPr>
        <w:pStyle w:val="style0"/>
        <w:ind w:left="114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szCs w:val="21"/>
        </w:rPr>
        <w:t>DB</w:t>
      </w:r>
      <w:r>
        <w:rPr>
          <w:szCs w:val="21"/>
        </w:rPr>
        <w:t>模式：设计－建造模式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Pr>
          <w:szCs w:val="21"/>
        </w:rPr>
        <w:t>CM</w:t>
      </w:r>
      <w:r>
        <w:rPr>
          <w:szCs w:val="21"/>
        </w:rPr>
        <w:t>模式：建设管理模式</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noProof/>
          <w:szCs w:val="21"/>
        </w:rPr>
        <w:t>④</w:t>
      </w:r>
      <w:r>
        <w:rPr>
          <w:szCs w:val="21"/>
        </w:rPr>
        <w:fldChar w:fldCharType="end"/>
      </w:r>
      <w:r>
        <w:rPr>
          <w:szCs w:val="21"/>
        </w:rPr>
        <w:t>EPC</w:t>
      </w:r>
      <w:r>
        <w:rPr>
          <w:szCs w:val="21"/>
        </w:rPr>
        <w:t>模式：设计－采购－建设模式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noProof/>
          <w:szCs w:val="21"/>
        </w:rPr>
        <w:t>⑤</w:t>
      </w:r>
      <w:r>
        <w:rPr>
          <w:szCs w:val="21"/>
        </w:rPr>
        <w:fldChar w:fldCharType="end"/>
      </w:r>
      <w:r>
        <w:rPr>
          <w:szCs w:val="21"/>
        </w:rPr>
        <w:t>PM</w:t>
      </w:r>
      <w:r>
        <w:rPr>
          <w:szCs w:val="21"/>
        </w:rPr>
        <w:t>模式：</w:t>
      </w:r>
      <w:r>
        <w:rPr>
          <w:szCs w:val="21"/>
        </w:rPr>
        <w:t>项目管理模式</w:t>
      </w:r>
    </w:p>
    <w:p>
      <w:pPr>
        <w:pStyle w:val="style0"/>
        <w:ind w:left="422" w:hanging="422" w:hangingChars="200"/>
        <w:rPr>
          <w:szCs w:val="21"/>
        </w:rPr>
      </w:pPr>
      <w:r>
        <w:rPr>
          <w:b/>
          <w:color w:val="ff0000"/>
          <w:szCs w:val="21"/>
        </w:rPr>
        <w:t>９</w:t>
      </w:r>
      <w:r>
        <w:rPr>
          <w:color w:val="ff0000"/>
          <w:szCs w:val="21"/>
        </w:rPr>
        <w:t>.工程保险。</w:t>
      </w:r>
      <w:r>
        <w:rPr>
          <w:szCs w:val="21"/>
        </w:rPr>
        <w:t>工程保险是指以各类建设工程项目为承保的综合财产，是适应现代建筑业的发展，由火灾保险、意外伤害保险</w:t>
      </w:r>
      <w:r>
        <w:rPr>
          <w:szCs w:val="21"/>
        </w:rPr>
        <w:t>及责　　</w:t>
      </w:r>
      <w:r>
        <w:rPr>
          <w:szCs w:val="21"/>
        </w:rPr>
        <w:t>的一类综合性财产保险的险种，它承担着一切工程项目在工程期间乃至工程结束以后的一定时期的一切意外损失和赔偿责任。</w:t>
      </w:r>
    </w:p>
    <w:p>
      <w:pPr>
        <w:pStyle w:val="style0"/>
        <w:ind w:left="420" w:hanging="420" w:hangingChars="200"/>
        <w:rPr>
          <w:szCs w:val="21"/>
        </w:rPr>
      </w:pPr>
      <w:r>
        <w:rPr>
          <w:szCs w:val="21"/>
        </w:rPr>
        <w:t>10.</w:t>
      </w:r>
      <w:r>
        <w:rPr>
          <w:szCs w:val="21"/>
        </w:rPr>
        <w:t>工程担保。</w:t>
      </w:r>
    </w:p>
    <w:p>
      <w:pPr>
        <w:pStyle w:val="style0"/>
        <w:ind w:left="752" w:leftChars="158" w:hanging="420" w:hangingChars="200"/>
        <w:rPr>
          <w:szCs w:val="21"/>
        </w:rPr>
      </w:pPr>
      <w:r>
        <w:rPr>
          <w:szCs w:val="21"/>
        </w:rPr>
        <w:t>（</w:t>
      </w:r>
      <w:r>
        <w:rPr>
          <w:szCs w:val="21"/>
        </w:rPr>
        <w:t>1</w:t>
      </w:r>
      <w:r>
        <w:rPr>
          <w:szCs w:val="21"/>
        </w:rPr>
        <w:t>）工程保证担保是指经营保证担保业务的企业在事先评估工程承包商业绩和信用的基础上向业主保证承包商能够在中标后签署合同，按照合同规定条款完成工程，并及时向分包商和供货商付款的信用工具，它是工程风险管理的主要手段和途径。</w:t>
      </w:r>
    </w:p>
    <w:p>
      <w:pPr>
        <w:pStyle w:val="style0"/>
        <w:ind w:left="752" w:leftChars="158" w:hanging="420" w:hangingChars="200"/>
        <w:rPr>
          <w:szCs w:val="21"/>
        </w:rPr>
      </w:pPr>
      <w:r>
        <w:rPr>
          <w:rFonts w:hint="eastAsia"/>
          <w:szCs w:val="21"/>
        </w:rPr>
        <w:t xml:space="preserve"> (2)</w:t>
      </w:r>
      <w:r>
        <w:rPr>
          <w:szCs w:val="21"/>
        </w:rPr>
        <w:t xml:space="preserve"> </w:t>
      </w:r>
      <w:r>
        <w:rPr>
          <w:rFonts w:hint="eastAsia"/>
          <w:szCs w:val="21"/>
        </w:rPr>
        <w:t>工程保证担保是指保证人</w:t>
      </w:r>
      <w:r>
        <w:rPr>
          <w:rFonts w:hint="eastAsia"/>
          <w:szCs w:val="21"/>
        </w:rPr>
        <w:t>应工程</w:t>
      </w:r>
      <w:r>
        <w:rPr>
          <w:rFonts w:hint="eastAsia"/>
          <w:szCs w:val="21"/>
        </w:rPr>
        <w:t>合同一方（被保证人）的要求</w:t>
      </w:r>
      <w:r>
        <w:rPr>
          <w:rFonts w:hint="eastAsia"/>
          <w:szCs w:val="21"/>
        </w:rPr>
        <w:t>向另一方权利人</w:t>
      </w:r>
      <w:r>
        <w:rPr>
          <w:rFonts w:hint="eastAsia"/>
          <w:szCs w:val="21"/>
        </w:rPr>
        <w:t>作出</w:t>
      </w:r>
      <w:r>
        <w:rPr>
          <w:rFonts w:hint="eastAsia"/>
          <w:szCs w:val="21"/>
        </w:rPr>
        <w:t>的书面承诺准证合同，当被保人无法完成其与权利人签订的合同中规定的应由被保证人履行的承诺、债务或义务，以至权利人遭受损失时，由保证人在一定期限、一定金额内代为履约。或付出其他形式赔偿。</w:t>
      </w:r>
    </w:p>
    <w:p>
      <w:pPr>
        <w:pStyle w:val="style0"/>
        <w:ind w:left="210" w:hanging="210" w:hangingChars="100"/>
        <w:rPr>
          <w:szCs w:val="21"/>
        </w:rPr>
      </w:pPr>
      <w:r>
        <w:rPr>
          <w:szCs w:val="21"/>
        </w:rPr>
        <w:t>1</w:t>
      </w:r>
      <w:r>
        <w:rPr>
          <w:color w:val="ff0000"/>
          <w:szCs w:val="21"/>
        </w:rPr>
        <w:t>1.什么是组织？</w:t>
      </w:r>
      <w:r>
        <w:rPr>
          <w:szCs w:val="21"/>
        </w:rPr>
        <w:t>组织是为了实现某一特定目标，经由分工与合作及不同层次的权利和责任制度而构成的人群集合系统</w:t>
      </w:r>
      <w:r>
        <w:rPr>
          <w:szCs w:val="21"/>
        </w:rPr>
        <w:t>。系统的目标决定了系统的组织，而组织是目标能否实现的决定性因素。</w:t>
      </w:r>
    </w:p>
    <w:p>
      <w:pPr>
        <w:pStyle w:val="style0"/>
        <w:ind w:left="210" w:hanging="210" w:hangingChars="100"/>
        <w:rPr>
          <w:szCs w:val="21"/>
        </w:rPr>
      </w:pPr>
      <w:r>
        <w:rPr>
          <w:szCs w:val="21"/>
        </w:rPr>
        <w:t>12.</w:t>
      </w:r>
      <w:r>
        <w:rPr>
          <w:szCs w:val="21"/>
        </w:rPr>
        <w:t>组织结构。</w:t>
      </w:r>
      <w:r>
        <w:rPr>
          <w:szCs w:val="21"/>
        </w:rPr>
        <w:t>P75</w:t>
      </w:r>
    </w:p>
    <w:p>
      <w:pPr>
        <w:pStyle w:val="style0"/>
        <w:rPr>
          <w:szCs w:val="21"/>
        </w:rPr>
      </w:pPr>
      <w:r>
        <w:rPr>
          <w:szCs w:val="21"/>
        </w:rPr>
        <w:t>13.</w:t>
      </w:r>
      <w:r>
        <w:rPr>
          <w:szCs w:val="21"/>
        </w:rPr>
        <w:t>（</w:t>
      </w:r>
      <w:r>
        <w:rPr>
          <w:szCs w:val="21"/>
        </w:rPr>
        <w:t>1</w:t>
      </w:r>
      <w:r>
        <w:rPr>
          <w:szCs w:val="21"/>
        </w:rPr>
        <w:t>）职能组织结构</w:t>
      </w:r>
      <w:r>
        <w:rPr>
          <w:rFonts w:hint="eastAsia"/>
          <w:szCs w:val="21"/>
        </w:rPr>
        <w:t xml:space="preserve">  </w:t>
      </w:r>
      <w:r>
        <w:rPr>
          <w:rFonts w:hint="eastAsia"/>
          <w:szCs w:val="21"/>
        </w:rPr>
        <w:t>可有</w:t>
      </w:r>
      <w:r>
        <w:rPr>
          <w:szCs w:val="21"/>
        </w:rPr>
        <w:t>多个指令源、</w:t>
      </w:r>
    </w:p>
    <w:p>
      <w:pPr>
        <w:pStyle w:val="style0"/>
        <w:ind w:firstLine="555"/>
        <w:rPr>
          <w:szCs w:val="21"/>
        </w:rPr>
      </w:pPr>
      <w:r>
        <w:rPr>
          <w:rFonts w:hint="eastAsia"/>
          <w:szCs w:val="21"/>
        </w:rPr>
        <w:t>(2)</w:t>
      </w:r>
      <w:r>
        <w:rPr>
          <w:rFonts w:hint="eastAsia"/>
          <w:szCs w:val="21"/>
        </w:rPr>
        <w:t>线形组织结构</w:t>
      </w:r>
      <w:r>
        <w:rPr>
          <w:rFonts w:hint="eastAsia"/>
          <w:szCs w:val="21"/>
        </w:rPr>
        <w:t xml:space="preserve">   </w:t>
      </w:r>
      <w:r>
        <w:rPr>
          <w:rFonts w:hint="eastAsia"/>
          <w:szCs w:val="21"/>
        </w:rPr>
        <w:t>惟一</w:t>
      </w:r>
      <w:r>
        <w:rPr>
          <w:rFonts w:hint="eastAsia"/>
          <w:szCs w:val="21"/>
        </w:rPr>
        <w:t>一个</w:t>
      </w:r>
      <w:r>
        <w:rPr>
          <w:rFonts w:hint="eastAsia"/>
          <w:szCs w:val="21"/>
        </w:rPr>
        <w:t>指令源</w:t>
      </w:r>
    </w:p>
    <w:p>
      <w:pPr>
        <w:pStyle w:val="style0"/>
        <w:ind w:firstLine="210" w:firstLineChars="100"/>
        <w:rPr>
          <w:szCs w:val="21"/>
        </w:rPr>
      </w:pPr>
      <w:r>
        <w:rPr>
          <w:szCs w:val="21"/>
        </w:rPr>
        <w:t>（</w:t>
      </w:r>
      <w:r>
        <w:rPr>
          <w:szCs w:val="21"/>
        </w:rPr>
        <w:t>3</w:t>
      </w:r>
      <w:r>
        <w:rPr>
          <w:szCs w:val="21"/>
        </w:rPr>
        <w:t>）矩阵组织结构</w:t>
      </w:r>
      <w:r>
        <w:rPr>
          <w:rFonts w:hint="eastAsia"/>
          <w:szCs w:val="21"/>
        </w:rPr>
        <w:t xml:space="preserve">   </w:t>
      </w:r>
      <w:r>
        <w:rPr>
          <w:rFonts w:hint="eastAsia"/>
          <w:szCs w:val="21"/>
        </w:rPr>
        <w:t>横向和纵向两个指令源</w:t>
      </w:r>
    </w:p>
    <w:p>
      <w:pPr>
        <w:pStyle w:val="style0"/>
        <w:rPr>
          <w:szCs w:val="21"/>
        </w:rPr>
      </w:pPr>
      <w:r>
        <w:rPr>
          <w:szCs w:val="21"/>
        </w:rPr>
        <w:t>14.</w:t>
      </w:r>
      <w:r>
        <w:rPr>
          <w:szCs w:val="21"/>
        </w:rPr>
        <w:t>监理方责任，工作范围。</w:t>
      </w:r>
      <w:r>
        <w:rPr>
          <w:szCs w:val="21"/>
        </w:rPr>
        <w:t>P195</w:t>
      </w:r>
    </w:p>
    <w:p>
      <w:pPr>
        <w:pStyle w:val="style0"/>
        <w:rPr>
          <w:color w:val="ff0000"/>
          <w:szCs w:val="21"/>
        </w:rPr>
      </w:pPr>
      <w:r>
        <w:rPr>
          <w:color w:val="ff0000"/>
          <w:szCs w:val="21"/>
        </w:rPr>
        <w:t>15.三违。违规作业、违章指挥、违反劳动纪律</w:t>
      </w:r>
    </w:p>
    <w:p>
      <w:pPr>
        <w:pStyle w:val="style0"/>
        <w:rPr>
          <w:szCs w:val="21"/>
        </w:rPr>
      </w:pPr>
      <w:r>
        <w:rPr>
          <w:szCs w:val="21"/>
        </w:rPr>
        <w:t>16.</w:t>
      </w:r>
      <w:r>
        <w:rPr>
          <w:szCs w:val="21"/>
        </w:rPr>
        <w:t>事故责任</w:t>
      </w:r>
    </w:p>
    <w:p>
      <w:pPr>
        <w:pStyle w:val="style0"/>
        <w:ind w:firstLine="420" w:firstLineChars="200"/>
        <w:rPr>
          <w:szCs w:val="21"/>
        </w:rPr>
      </w:pPr>
      <w:r>
        <w:rPr>
          <w:rFonts w:hint="eastAsia"/>
          <w:szCs w:val="21"/>
        </w:rPr>
        <w:t>(1)</w:t>
      </w:r>
      <w:r>
        <w:rPr>
          <w:szCs w:val="21"/>
        </w:rPr>
        <w:t>施工现场第一责任人</w:t>
      </w:r>
      <w:r>
        <w:rPr>
          <w:rFonts w:hint="eastAsia"/>
          <w:szCs w:val="21"/>
        </w:rPr>
        <w:t>:</w:t>
      </w:r>
      <w:r>
        <w:rPr>
          <w:rFonts w:hint="eastAsia"/>
          <w:szCs w:val="21"/>
        </w:rPr>
        <w:t>项目经理。</w:t>
      </w:r>
    </w:p>
    <w:p>
      <w:pPr>
        <w:pStyle w:val="style0"/>
        <w:ind w:firstLine="420" w:firstLineChars="200"/>
        <w:rPr>
          <w:szCs w:val="21"/>
        </w:rPr>
      </w:pPr>
      <w:r>
        <w:rPr>
          <w:szCs w:val="21"/>
        </w:rPr>
        <w:t>(2</w:t>
      </w:r>
      <w:r>
        <w:rPr>
          <w:rFonts w:hint="eastAsia"/>
          <w:szCs w:val="21"/>
        </w:rPr>
        <w:t>)</w:t>
      </w:r>
      <w:r>
        <w:rPr>
          <w:szCs w:val="21"/>
        </w:rPr>
        <w:t>企业</w:t>
      </w:r>
      <w:r>
        <w:rPr>
          <w:rFonts w:hint="eastAsia"/>
          <w:szCs w:val="21"/>
        </w:rPr>
        <w:t xml:space="preserve">   </w:t>
      </w:r>
      <w:r>
        <w:rPr>
          <w:rFonts w:hint="eastAsia"/>
          <w:szCs w:val="21"/>
        </w:rPr>
        <w:t xml:space="preserve"> </w:t>
      </w:r>
      <w:r>
        <w:rPr>
          <w:rFonts w:hint="eastAsia"/>
          <w:szCs w:val="21"/>
        </w:rPr>
        <w:t>企业负责人</w:t>
      </w:r>
    </w:p>
    <w:p>
      <w:pPr>
        <w:pStyle w:val="style0"/>
        <w:ind w:firstLine="210" w:firstLineChars="100"/>
        <w:rPr>
          <w:szCs w:val="21"/>
        </w:rPr>
      </w:pPr>
      <w:r>
        <w:rPr>
          <w:rFonts w:hint="eastAsia"/>
          <w:szCs w:val="21"/>
        </w:rPr>
        <w:t xml:space="preserve">  (3)</w:t>
      </w:r>
      <w:r>
        <w:rPr>
          <w:rFonts w:hint="eastAsia"/>
          <w:szCs w:val="21"/>
        </w:rPr>
        <w:t>监理总监、设计项目部，</w:t>
      </w:r>
    </w:p>
    <w:p>
      <w:pPr>
        <w:pStyle w:val="style0"/>
        <w:ind w:left="420" w:leftChars="100" w:hanging="210" w:hangingChars="100"/>
        <w:rPr>
          <w:szCs w:val="21"/>
        </w:rPr>
      </w:pPr>
      <w:r>
        <w:rPr>
          <w:szCs w:val="21"/>
        </w:rPr>
        <w:t xml:space="preserve">  </w:t>
      </w:r>
      <w:r>
        <w:rPr>
          <w:szCs w:val="21"/>
        </w:rPr>
        <w:t>设计质量安全：谁</w:t>
      </w:r>
      <w:r>
        <w:rPr>
          <w:szCs w:val="21"/>
        </w:rPr>
        <w:t>设计谁</w:t>
      </w:r>
      <w:r>
        <w:rPr>
          <w:szCs w:val="21"/>
        </w:rPr>
        <w:t>负责</w:t>
      </w:r>
      <w:r>
        <w:rPr>
          <w:rFonts w:hint="eastAsia"/>
          <w:szCs w:val="21"/>
        </w:rPr>
        <w:t xml:space="preserve">   </w:t>
      </w:r>
      <w:r>
        <w:rPr>
          <w:szCs w:val="21"/>
        </w:rPr>
        <w:t xml:space="preserve">  </w:t>
      </w:r>
      <w:r>
        <w:rPr>
          <w:rFonts w:hint="eastAsia"/>
          <w:szCs w:val="21"/>
        </w:rPr>
        <w:t>施工质量安全：谁</w:t>
      </w:r>
      <w:r>
        <w:rPr>
          <w:rFonts w:hint="eastAsia"/>
          <w:szCs w:val="21"/>
        </w:rPr>
        <w:t>施工谁</w:t>
      </w:r>
      <w:r>
        <w:rPr>
          <w:rFonts w:hint="eastAsia"/>
          <w:szCs w:val="21"/>
        </w:rPr>
        <w:t>负责</w:t>
      </w:r>
      <w:r>
        <w:rPr>
          <w:rFonts w:hint="eastAsia"/>
          <w:szCs w:val="21"/>
        </w:rPr>
        <w:t xml:space="preserve">   </w:t>
      </w:r>
      <w:r>
        <w:rPr>
          <w:rFonts w:hint="eastAsia"/>
          <w:szCs w:val="21"/>
        </w:rPr>
        <w:t>监理问题：谁</w:t>
      </w:r>
      <w:r>
        <w:rPr>
          <w:rFonts w:hint="eastAsia"/>
          <w:szCs w:val="21"/>
        </w:rPr>
        <w:t>监理谁</w:t>
      </w:r>
      <w:r>
        <w:rPr>
          <w:rFonts w:hint="eastAsia"/>
          <w:szCs w:val="21"/>
        </w:rPr>
        <w:t>负责</w:t>
      </w:r>
      <w:r>
        <w:rPr>
          <w:rFonts w:hint="eastAsia"/>
          <w:szCs w:val="21"/>
        </w:rPr>
        <w:t xml:space="preserve"> </w:t>
      </w:r>
    </w:p>
    <w:p>
      <w:pPr>
        <w:pStyle w:val="style0"/>
        <w:rPr>
          <w:color w:val="ff0000"/>
          <w:szCs w:val="21"/>
        </w:rPr>
      </w:pPr>
      <w:r>
        <w:rPr>
          <w:szCs w:val="21"/>
        </w:rPr>
        <w:t>17.</w:t>
      </w:r>
      <w:r>
        <w:rPr>
          <w:szCs w:val="21"/>
        </w:rPr>
        <w:t>三级安全教育。班组教育、现场教育、岗位教育。</w:t>
      </w:r>
      <w:r>
        <w:rPr>
          <w:color w:val="ff0000"/>
          <w:szCs w:val="21"/>
        </w:rPr>
        <w:t>(进企业、进项目(车间)、进班组)</w:t>
      </w:r>
    </w:p>
    <w:p>
      <w:pPr>
        <w:pStyle w:val="style0"/>
        <w:ind w:left="420" w:hanging="420" w:hangingChars="200"/>
        <w:rPr>
          <w:szCs w:val="21"/>
        </w:rPr>
      </w:pPr>
      <w:r>
        <w:rPr>
          <w:szCs w:val="21"/>
        </w:rPr>
        <w:t>18.</w:t>
      </w:r>
      <w:r>
        <w:rPr>
          <w:szCs w:val="21"/>
        </w:rPr>
        <w:t>我国建设工程安全生产管理原则</w:t>
      </w:r>
    </w:p>
    <w:p>
      <w:pPr>
        <w:pStyle w:val="style0"/>
        <w:ind w:left="420" w:hanging="420" w:hangingChars="200"/>
        <w:rPr>
          <w:szCs w:val="21"/>
        </w:rPr>
      </w:pPr>
      <w:r>
        <w:rPr>
          <w:rFonts w:hint="eastAsia"/>
          <w:szCs w:val="21"/>
        </w:rPr>
        <w:t xml:space="preserve">  (1)</w:t>
      </w:r>
      <w:r>
        <w:rPr>
          <w:rFonts w:hint="eastAsia"/>
          <w:szCs w:val="21"/>
        </w:rPr>
        <w:t>管生产必须管安全</w:t>
      </w:r>
    </w:p>
    <w:p>
      <w:pPr>
        <w:pStyle w:val="style0"/>
        <w:ind w:left="420" w:hanging="420" w:hangingChars="200"/>
        <w:rPr>
          <w:szCs w:val="21"/>
        </w:rPr>
      </w:pPr>
      <w:r>
        <w:rPr>
          <w:rFonts w:hint="eastAsia"/>
          <w:szCs w:val="21"/>
        </w:rPr>
        <w:t xml:space="preserve">  (2)</w:t>
      </w:r>
      <w:r>
        <w:rPr>
          <w:rFonts w:hint="eastAsia"/>
          <w:szCs w:val="21"/>
        </w:rPr>
        <w:t>安全具有否决权</w:t>
      </w:r>
    </w:p>
    <w:p>
      <w:pPr>
        <w:pStyle w:val="style0"/>
        <w:ind w:left="420" w:leftChars="100" w:hanging="210" w:hangingChars="100"/>
        <w:rPr>
          <w:szCs w:val="21"/>
        </w:rPr>
      </w:pPr>
      <w:r>
        <w:rPr>
          <w:szCs w:val="21"/>
        </w:rPr>
        <w:t>(3</w:t>
      </w:r>
      <w:r>
        <w:rPr>
          <w:rFonts w:hint="eastAsia"/>
          <w:szCs w:val="21"/>
        </w:rPr>
        <w:t>)</w:t>
      </w:r>
      <w:r>
        <w:rPr>
          <w:szCs w:val="21"/>
        </w:rPr>
        <w:t>三同时。职业安全卫生技术措施及设施应与主体工程同时设计、同时施工、同时投产使用</w:t>
      </w:r>
    </w:p>
    <w:p>
      <w:pPr>
        <w:pStyle w:val="style0"/>
        <w:ind w:left="420" w:hanging="420" w:hangingChars="200"/>
        <w:rPr>
          <w:szCs w:val="21"/>
        </w:rPr>
      </w:pPr>
      <w:r>
        <w:rPr>
          <w:rFonts w:hint="eastAsia"/>
          <w:szCs w:val="21"/>
        </w:rPr>
        <w:t xml:space="preserve"> </w:t>
      </w:r>
      <w:r>
        <w:rPr>
          <w:rFonts w:hint="eastAsia"/>
          <w:szCs w:val="21"/>
        </w:rPr>
        <w:t>(</w:t>
      </w:r>
      <w:r>
        <w:rPr>
          <w:szCs w:val="21"/>
        </w:rPr>
        <w:t>4</w:t>
      </w:r>
      <w:r>
        <w:rPr>
          <w:rFonts w:hint="eastAsia"/>
          <w:szCs w:val="21"/>
        </w:rPr>
        <w:t>)</w:t>
      </w:r>
      <w:r>
        <w:rPr>
          <w:szCs w:val="21"/>
        </w:rPr>
        <w:t>四不放过。</w:t>
      </w:r>
      <w:r>
        <w:rPr>
          <w:szCs w:val="21"/>
        </w:rPr>
        <w:t>指因工伤亡事故的调查处理中，必须坚持事故原因分析不清不放过；事故责任者和群众没受到教育不放过；没有整改预防措施不放过；事故责任者和责任领导不处理不放过。</w:t>
      </w:r>
    </w:p>
    <w:p>
      <w:pPr>
        <w:pStyle w:val="style0"/>
        <w:rPr>
          <w:szCs w:val="21"/>
        </w:rPr>
      </w:pPr>
      <w:r>
        <w:rPr>
          <w:rFonts w:hint="eastAsia"/>
          <w:szCs w:val="21"/>
        </w:rPr>
        <w:t>19.</w:t>
      </w:r>
      <w:r>
        <w:rPr>
          <w:rFonts w:hint="eastAsia"/>
          <w:szCs w:val="21"/>
        </w:rPr>
        <w:t>五方五阶段。</w:t>
      </w:r>
    </w:p>
    <w:p>
      <w:pPr>
        <w:pStyle w:val="style0"/>
        <w:ind w:left="420" w:hanging="420" w:hangingChars="200"/>
        <w:rPr>
          <w:szCs w:val="21"/>
        </w:rPr>
      </w:pPr>
      <w:r>
        <w:rPr>
          <w:rFonts w:hint="eastAsia"/>
          <w:szCs w:val="21"/>
        </w:rPr>
        <w:t>20.</w:t>
      </w:r>
      <w:r>
        <w:rPr>
          <w:rFonts w:hint="eastAsia"/>
          <w:szCs w:val="21"/>
        </w:rPr>
        <w:t>五个安全责任主体。建设单位、勘察单位、设计单位、</w:t>
      </w:r>
      <w:r>
        <w:rPr>
          <w:rFonts w:hint="eastAsia"/>
          <w:szCs w:val="21"/>
        </w:rPr>
        <w:t>施工单位、监理</w:t>
      </w:r>
      <w:r>
        <w:rPr>
          <w:rFonts w:hint="eastAsia"/>
          <w:szCs w:val="21"/>
        </w:rPr>
        <w:t>(</w:t>
      </w:r>
      <w:r>
        <w:rPr>
          <w:rFonts w:hint="eastAsia"/>
          <w:szCs w:val="21"/>
        </w:rPr>
        <w:t>咨询</w:t>
      </w:r>
      <w:r>
        <w:rPr>
          <w:rFonts w:hint="eastAsia"/>
          <w:szCs w:val="21"/>
        </w:rPr>
        <w:t>)</w:t>
      </w:r>
      <w:r>
        <w:rPr>
          <w:rFonts w:hint="eastAsia"/>
          <w:szCs w:val="21"/>
        </w:rPr>
        <w:t>单位</w:t>
      </w:r>
    </w:p>
    <w:p>
      <w:pPr>
        <w:pStyle w:val="style0"/>
        <w:ind w:left="420" w:hanging="420" w:hangingChars="200"/>
        <w:rPr>
          <w:szCs w:val="21"/>
        </w:rPr>
      </w:pPr>
      <w:r>
        <w:rPr>
          <w:szCs w:val="21"/>
        </w:rPr>
        <w:t>21.</w:t>
      </w:r>
      <w:r>
        <w:rPr>
          <w:szCs w:val="21"/>
        </w:rPr>
        <w:t>控制目标措施</w:t>
      </w:r>
    </w:p>
    <w:p>
      <w:pPr>
        <w:pStyle w:val="style0"/>
        <w:ind w:left="420" w:hanging="420" w:hangingChars="200"/>
        <w:rPr>
          <w:szCs w:val="21"/>
        </w:rPr>
      </w:pPr>
      <w:r>
        <w:rPr>
          <w:szCs w:val="21"/>
        </w:rPr>
        <w:t>22.</w:t>
      </w:r>
      <w:r>
        <w:rPr>
          <w:szCs w:val="21"/>
        </w:rPr>
        <w:t>工程项目风险</w:t>
      </w:r>
    </w:p>
    <w:p>
      <w:pPr>
        <w:pStyle w:val="style0"/>
        <w:ind w:left="420" w:hanging="420" w:hangingChars="200"/>
        <w:rPr>
          <w:color w:val="ff0000"/>
          <w:szCs w:val="21"/>
        </w:rPr>
      </w:pPr>
      <w:r>
        <w:rPr>
          <w:szCs w:val="21"/>
        </w:rPr>
        <w:t>23.</w:t>
      </w:r>
      <w:r>
        <w:rPr>
          <w:szCs w:val="21"/>
        </w:rPr>
        <w:t>结构模式分工、组织</w:t>
      </w:r>
    </w:p>
    <w:p>
      <w:pPr>
        <w:pStyle w:val="style0"/>
        <w:ind w:left="420" w:hanging="420" w:hangingChars="200"/>
        <w:rPr>
          <w:color w:val="ff0000"/>
          <w:szCs w:val="21"/>
        </w:rPr>
      </w:pPr>
      <w:r>
        <w:rPr>
          <w:color w:val="ff0000"/>
          <w:szCs w:val="21"/>
        </w:rPr>
        <w:t>24</w:t>
      </w:r>
      <w:r>
        <w:rPr>
          <w:rFonts w:hint="eastAsia"/>
          <w:color w:val="ff0000"/>
          <w:szCs w:val="21"/>
        </w:rPr>
        <w:t>．</w:t>
      </w:r>
      <w:r>
        <w:rPr>
          <w:color w:val="ff0000"/>
          <w:szCs w:val="21"/>
        </w:rPr>
        <w:t>生产事故划分等级（国务院令493号）</w:t>
      </w:r>
    </w:p>
    <w:p>
      <w:pPr>
        <w:pStyle w:val="style0"/>
        <w:ind w:left="420" w:hanging="420" w:hangingChars="200"/>
        <w:rPr>
          <w:szCs w:val="21"/>
        </w:rPr>
      </w:pPr>
      <w:r>
        <w:rPr>
          <w:szCs w:val="21"/>
        </w:rPr>
        <w:t>一般事故、较大事故、重大事故、特别重大事故。</w:t>
      </w:r>
      <w:r>
        <w:rPr>
          <w:szCs w:val="21"/>
        </w:rPr>
        <w:t>压线往大处理</w:t>
      </w:r>
      <w:r>
        <w:rPr>
          <w:szCs w:val="21"/>
        </w:rPr>
        <w:t>:</w:t>
      </w:r>
    </w:p>
    <w:tbl>
      <w:tblPr>
        <w:tblStyle w:val="style4097"/>
        <w:tblW w:w="0" w:type="auto"/>
        <w:tblLook w:val="04A0" w:firstRow="1" w:lastRow="0" w:firstColumn="1" w:lastColumn="0" w:noHBand="0" w:noVBand="1"/>
      </w:tblPr>
      <w:tblGrid>
        <w:gridCol w:w="1037"/>
        <w:gridCol w:w="1037"/>
        <w:gridCol w:w="1037"/>
        <w:gridCol w:w="1037"/>
        <w:gridCol w:w="1037"/>
        <w:gridCol w:w="1037"/>
        <w:gridCol w:w="1037"/>
        <w:gridCol w:w="1037"/>
      </w:tblGrid>
      <w:tr>
        <w:trPr/>
        <w:tc>
          <w:tcPr>
            <w:tcW w:w="1037" w:type="dxa"/>
            <w:tcBorders/>
            <w:tcFitText w:val="false"/>
          </w:tcPr>
          <w:p>
            <w:pPr>
              <w:pStyle w:val="style0"/>
              <w:rPr>
                <w:szCs w:val="21"/>
              </w:rPr>
            </w:pPr>
            <w:r>
              <w:rPr>
                <w:szCs w:val="21"/>
              </w:rPr>
              <w:t>亡</w:t>
            </w:r>
          </w:p>
        </w:tc>
        <w:tc>
          <w:tcPr>
            <w:tcW w:w="1037" w:type="dxa"/>
            <w:tcBorders/>
            <w:tcFitText w:val="false"/>
          </w:tcPr>
          <w:p>
            <w:pPr>
              <w:pStyle w:val="style0"/>
              <w:rPr>
                <w:szCs w:val="21"/>
              </w:rPr>
            </w:pPr>
            <w:r>
              <w:rPr>
                <w:szCs w:val="21"/>
              </w:rPr>
              <w:t>一般</w:t>
            </w:r>
          </w:p>
        </w:tc>
        <w:tc>
          <w:tcPr>
            <w:tcW w:w="1037" w:type="dxa"/>
            <w:tcBorders/>
            <w:tcFitText w:val="false"/>
          </w:tcPr>
          <w:p>
            <w:pPr>
              <w:pStyle w:val="style0"/>
              <w:rPr>
                <w:szCs w:val="21"/>
              </w:rPr>
            </w:pPr>
            <w:r>
              <w:rPr>
                <w:szCs w:val="21"/>
              </w:rPr>
              <w:t>3</w:t>
            </w:r>
            <w:r>
              <w:rPr>
                <w:szCs w:val="21"/>
              </w:rPr>
              <w:t>人</w:t>
            </w:r>
          </w:p>
        </w:tc>
        <w:tc>
          <w:tcPr>
            <w:tcW w:w="1037" w:type="dxa"/>
            <w:tcBorders/>
            <w:tcFitText w:val="false"/>
          </w:tcPr>
          <w:p>
            <w:pPr>
              <w:pStyle w:val="style0"/>
              <w:rPr>
                <w:szCs w:val="21"/>
              </w:rPr>
            </w:pPr>
            <w:r>
              <w:rPr>
                <w:szCs w:val="21"/>
              </w:rPr>
              <w:t>较大</w:t>
            </w:r>
          </w:p>
        </w:tc>
        <w:tc>
          <w:tcPr>
            <w:tcW w:w="1037" w:type="dxa"/>
            <w:tcBorders/>
            <w:tcFitText w:val="false"/>
          </w:tcPr>
          <w:p>
            <w:pPr>
              <w:pStyle w:val="style0"/>
              <w:rPr>
                <w:szCs w:val="21"/>
              </w:rPr>
            </w:pPr>
            <w:r>
              <w:rPr>
                <w:szCs w:val="21"/>
              </w:rPr>
              <w:t>10</w:t>
            </w:r>
            <w:r>
              <w:rPr>
                <w:szCs w:val="21"/>
              </w:rPr>
              <w:t>人</w:t>
            </w:r>
          </w:p>
        </w:tc>
        <w:tc>
          <w:tcPr>
            <w:tcW w:w="1037" w:type="dxa"/>
            <w:tcBorders/>
            <w:tcFitText w:val="false"/>
          </w:tcPr>
          <w:p>
            <w:pPr>
              <w:pStyle w:val="style0"/>
              <w:rPr>
                <w:szCs w:val="21"/>
              </w:rPr>
            </w:pPr>
            <w:r>
              <w:rPr>
                <w:szCs w:val="21"/>
              </w:rPr>
              <w:t>重大</w:t>
            </w:r>
          </w:p>
        </w:tc>
        <w:tc>
          <w:tcPr>
            <w:tcW w:w="1037" w:type="dxa"/>
            <w:tcBorders/>
            <w:tcFitText w:val="false"/>
          </w:tcPr>
          <w:p>
            <w:pPr>
              <w:pStyle w:val="style0"/>
              <w:rPr>
                <w:szCs w:val="21"/>
              </w:rPr>
            </w:pPr>
            <w:r>
              <w:rPr>
                <w:szCs w:val="21"/>
              </w:rPr>
              <w:t>30</w:t>
            </w:r>
            <w:r>
              <w:rPr>
                <w:szCs w:val="21"/>
              </w:rPr>
              <w:t>人</w:t>
            </w:r>
          </w:p>
        </w:tc>
        <w:tc>
          <w:tcPr>
            <w:tcW w:w="1037" w:type="dxa"/>
            <w:tcBorders/>
            <w:tcFitText w:val="false"/>
          </w:tcPr>
          <w:p>
            <w:pPr>
              <w:pStyle w:val="style0"/>
              <w:rPr>
                <w:szCs w:val="21"/>
              </w:rPr>
            </w:pPr>
            <w:r>
              <w:rPr>
                <w:szCs w:val="21"/>
              </w:rPr>
              <w:t>特大</w:t>
            </w:r>
          </w:p>
        </w:tc>
      </w:tr>
      <w:tr>
        <w:tblPrEx/>
        <w:trPr/>
        <w:tc>
          <w:tcPr>
            <w:tcW w:w="1037" w:type="dxa"/>
            <w:tcBorders/>
            <w:tcFitText w:val="false"/>
          </w:tcPr>
          <w:p>
            <w:pPr>
              <w:pStyle w:val="style0"/>
              <w:rPr>
                <w:szCs w:val="21"/>
              </w:rPr>
            </w:pPr>
            <w:r>
              <w:rPr>
                <w:szCs w:val="21"/>
              </w:rPr>
              <w:t>伤</w:t>
            </w:r>
          </w:p>
        </w:tc>
        <w:tc>
          <w:tcPr>
            <w:tcW w:w="1037" w:type="dxa"/>
            <w:tcBorders/>
            <w:tcFitText w:val="false"/>
          </w:tcPr>
          <w:p>
            <w:pPr>
              <w:pStyle w:val="style0"/>
              <w:rPr>
                <w:szCs w:val="21"/>
              </w:rPr>
            </w:pPr>
          </w:p>
        </w:tc>
        <w:tc>
          <w:tcPr>
            <w:tcW w:w="1037" w:type="dxa"/>
            <w:tcBorders/>
            <w:tcFitText w:val="false"/>
          </w:tcPr>
          <w:p>
            <w:pPr>
              <w:pStyle w:val="style0"/>
              <w:rPr>
                <w:szCs w:val="21"/>
              </w:rPr>
            </w:pPr>
            <w:r>
              <w:rPr>
                <w:szCs w:val="21"/>
              </w:rPr>
              <w:t>10</w:t>
            </w:r>
            <w:r>
              <w:rPr>
                <w:szCs w:val="21"/>
              </w:rPr>
              <w:t>人</w:t>
            </w:r>
          </w:p>
        </w:tc>
        <w:tc>
          <w:tcPr>
            <w:tcW w:w="1037" w:type="dxa"/>
            <w:tcBorders/>
            <w:tcFitText w:val="false"/>
          </w:tcPr>
          <w:p>
            <w:pPr>
              <w:pStyle w:val="style0"/>
              <w:rPr>
                <w:szCs w:val="21"/>
              </w:rPr>
            </w:pPr>
          </w:p>
        </w:tc>
        <w:tc>
          <w:tcPr>
            <w:tcW w:w="1037" w:type="dxa"/>
            <w:tcBorders/>
            <w:tcFitText w:val="false"/>
          </w:tcPr>
          <w:p>
            <w:pPr>
              <w:pStyle w:val="style0"/>
              <w:rPr>
                <w:szCs w:val="21"/>
              </w:rPr>
            </w:pPr>
            <w:r>
              <w:rPr>
                <w:szCs w:val="21"/>
              </w:rPr>
              <w:t>50</w:t>
            </w:r>
            <w:r>
              <w:rPr>
                <w:szCs w:val="21"/>
              </w:rPr>
              <w:t>人</w:t>
            </w:r>
          </w:p>
        </w:tc>
        <w:tc>
          <w:tcPr>
            <w:tcW w:w="1037" w:type="dxa"/>
            <w:tcBorders/>
            <w:tcFitText w:val="false"/>
          </w:tcPr>
          <w:p>
            <w:pPr>
              <w:pStyle w:val="style0"/>
              <w:rPr>
                <w:szCs w:val="21"/>
              </w:rPr>
            </w:pPr>
          </w:p>
        </w:tc>
        <w:tc>
          <w:tcPr>
            <w:tcW w:w="1037" w:type="dxa"/>
            <w:tcBorders/>
            <w:tcFitText w:val="false"/>
          </w:tcPr>
          <w:p>
            <w:pPr>
              <w:pStyle w:val="style0"/>
              <w:rPr>
                <w:szCs w:val="21"/>
              </w:rPr>
            </w:pPr>
            <w:r>
              <w:rPr>
                <w:szCs w:val="21"/>
              </w:rPr>
              <w:t>100</w:t>
            </w:r>
            <w:r>
              <w:rPr>
                <w:szCs w:val="21"/>
              </w:rPr>
              <w:t>人</w:t>
            </w:r>
          </w:p>
        </w:tc>
        <w:tc>
          <w:tcPr>
            <w:tcW w:w="1037" w:type="dxa"/>
            <w:tcBorders/>
            <w:tcFitText w:val="false"/>
          </w:tcPr>
          <w:p>
            <w:pPr>
              <w:pStyle w:val="style0"/>
              <w:rPr>
                <w:szCs w:val="21"/>
              </w:rPr>
            </w:pPr>
          </w:p>
        </w:tc>
      </w:tr>
      <w:tr>
        <w:tblPrEx/>
        <w:trPr/>
        <w:tc>
          <w:tcPr>
            <w:tcW w:w="1037" w:type="dxa"/>
            <w:tcBorders/>
            <w:tcFitText w:val="false"/>
          </w:tcPr>
          <w:p>
            <w:pPr>
              <w:pStyle w:val="style0"/>
              <w:rPr>
                <w:szCs w:val="21"/>
              </w:rPr>
            </w:pPr>
            <w:r>
              <w:rPr>
                <w:szCs w:val="21"/>
              </w:rPr>
              <w:t>经济损失</w:t>
            </w:r>
          </w:p>
        </w:tc>
        <w:tc>
          <w:tcPr>
            <w:tcW w:w="1037" w:type="dxa"/>
            <w:tcBorders/>
            <w:tcFitText w:val="false"/>
          </w:tcPr>
          <w:p>
            <w:pPr>
              <w:pStyle w:val="style0"/>
              <w:rPr>
                <w:szCs w:val="21"/>
              </w:rPr>
            </w:pPr>
          </w:p>
        </w:tc>
        <w:tc>
          <w:tcPr>
            <w:tcW w:w="1037" w:type="dxa"/>
            <w:tcBorders/>
            <w:tcFitText w:val="false"/>
          </w:tcPr>
          <w:p>
            <w:pPr>
              <w:pStyle w:val="style0"/>
              <w:rPr>
                <w:szCs w:val="21"/>
              </w:rPr>
            </w:pPr>
            <w:r>
              <w:rPr>
                <w:szCs w:val="21"/>
              </w:rPr>
              <w:t>1000</w:t>
            </w:r>
            <w:r>
              <w:rPr>
                <w:szCs w:val="21"/>
              </w:rPr>
              <w:t>万</w:t>
            </w:r>
          </w:p>
        </w:tc>
        <w:tc>
          <w:tcPr>
            <w:tcW w:w="1037" w:type="dxa"/>
            <w:tcBorders/>
            <w:tcFitText w:val="false"/>
          </w:tcPr>
          <w:p>
            <w:pPr>
              <w:pStyle w:val="style0"/>
              <w:rPr>
                <w:szCs w:val="21"/>
              </w:rPr>
            </w:pPr>
          </w:p>
        </w:tc>
        <w:tc>
          <w:tcPr>
            <w:tcW w:w="1037" w:type="dxa"/>
            <w:tcBorders/>
            <w:tcFitText w:val="false"/>
          </w:tcPr>
          <w:p>
            <w:pPr>
              <w:pStyle w:val="style0"/>
              <w:rPr>
                <w:szCs w:val="21"/>
              </w:rPr>
            </w:pPr>
            <w:r>
              <w:rPr>
                <w:szCs w:val="21"/>
              </w:rPr>
              <w:t>5000</w:t>
            </w:r>
            <w:r>
              <w:rPr>
                <w:szCs w:val="21"/>
              </w:rPr>
              <w:t>万</w:t>
            </w:r>
          </w:p>
        </w:tc>
        <w:tc>
          <w:tcPr>
            <w:tcW w:w="1037" w:type="dxa"/>
            <w:tcBorders/>
            <w:tcFitText w:val="false"/>
          </w:tcPr>
          <w:p>
            <w:pPr>
              <w:pStyle w:val="style0"/>
              <w:rPr>
                <w:szCs w:val="21"/>
              </w:rPr>
            </w:pPr>
          </w:p>
        </w:tc>
        <w:tc>
          <w:tcPr>
            <w:tcW w:w="1037" w:type="dxa"/>
            <w:tcBorders/>
            <w:tcFitText w:val="false"/>
          </w:tcPr>
          <w:p>
            <w:pPr>
              <w:pStyle w:val="style0"/>
              <w:rPr>
                <w:szCs w:val="21"/>
              </w:rPr>
            </w:pPr>
            <w:r>
              <w:rPr>
                <w:szCs w:val="21"/>
              </w:rPr>
              <w:t>10000</w:t>
            </w:r>
            <w:r>
              <w:rPr>
                <w:szCs w:val="21"/>
              </w:rPr>
              <w:t>万</w:t>
            </w:r>
          </w:p>
        </w:tc>
        <w:tc>
          <w:tcPr>
            <w:tcW w:w="1037" w:type="dxa"/>
            <w:tcBorders/>
            <w:tcFitText w:val="false"/>
          </w:tcPr>
          <w:p>
            <w:pPr>
              <w:pStyle w:val="style0"/>
              <w:rPr>
                <w:szCs w:val="21"/>
              </w:rPr>
            </w:pPr>
          </w:p>
        </w:tc>
      </w:tr>
    </w:tbl>
    <w:p>
      <w:pPr>
        <w:pStyle w:val="style0"/>
        <w:ind w:left="560" w:hanging="560" w:hangingChars="200"/>
        <w:rPr>
          <w:sz w:val="28"/>
          <w:szCs w:val="28"/>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3278DC"/>
    <w:lvl w:ilvl="0" w:tplc="9E4AF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96EC6B8E"/>
    <w:lvl w:ilvl="0" w:tplc="D366AC2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0000002"/>
    <w:multiLevelType w:val="hybridMultilevel"/>
    <w:tmpl w:val="5DEECF8C"/>
    <w:lvl w:ilvl="0" w:tplc="FC2A96CA">
      <w:start w:val="1"/>
      <w:numFmt w:val="decimalFullWidth"/>
      <w:lvlText w:val="（%1）"/>
      <w:lvlJc w:val="left"/>
      <w:pPr>
        <w:ind w:left="1140" w:hanging="7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0000003"/>
    <w:multiLevelType w:val="hybridMultilevel"/>
    <w:tmpl w:val="5602E34E"/>
    <w:lvl w:ilvl="0" w:tplc="6CC4231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0000004"/>
    <w:multiLevelType w:val="hybridMultilevel"/>
    <w:tmpl w:val="A48657AE"/>
    <w:lvl w:ilvl="0" w:tplc="783055F2">
      <w:start w:val="1"/>
      <w:numFmt w:val="decimal"/>
      <w:lvlText w:val="（%1）"/>
      <w:lvlJc w:val="left"/>
      <w:pPr>
        <w:ind w:left="1003" w:hanging="720"/>
      </w:pPr>
      <w:rPr>
        <w:rFonts w:hint="default"/>
      </w:rPr>
    </w:lvl>
    <w:lvl w:ilvl="1" w:tplc="04090019" w:tentative="1">
      <w:start w:val="1"/>
      <w:numFmt w:val="lowerLetter"/>
      <w:lvlText w:val="%2)"/>
      <w:lvlJc w:val="left"/>
      <w:pPr>
        <w:ind w:left="1058" w:hanging="420"/>
      </w:pPr>
    </w:lvl>
    <w:lvl w:ilvl="2" w:tplc="0409001B" w:tentative="1">
      <w:start w:val="1"/>
      <w:numFmt w:val="lowerRoman"/>
      <w:lvlText w:val="%3."/>
      <w:lvlJc w:val="right"/>
      <w:pPr>
        <w:ind w:left="1478" w:hanging="420"/>
      </w:pPr>
    </w:lvl>
    <w:lvl w:ilvl="3" w:tplc="0409000F" w:tentative="1">
      <w:start w:val="1"/>
      <w:numFmt w:val="decimal"/>
      <w:lvlText w:val="%4."/>
      <w:lvlJc w:val="left"/>
      <w:pPr>
        <w:ind w:left="1898" w:hanging="420"/>
      </w:pPr>
    </w:lvl>
    <w:lvl w:ilvl="4" w:tplc="04090019" w:tentative="1">
      <w:start w:val="1"/>
      <w:numFmt w:val="lowerLetter"/>
      <w:lvlText w:val="%5)"/>
      <w:lvlJc w:val="left"/>
      <w:pPr>
        <w:ind w:left="2318" w:hanging="420"/>
      </w:pPr>
    </w:lvl>
    <w:lvl w:ilvl="5" w:tplc="0409001B" w:tentative="1">
      <w:start w:val="1"/>
      <w:numFmt w:val="lowerRoman"/>
      <w:lvlText w:val="%6."/>
      <w:lvlJc w:val="right"/>
      <w:pPr>
        <w:ind w:left="2738" w:hanging="420"/>
      </w:pPr>
    </w:lvl>
    <w:lvl w:ilvl="6" w:tplc="0409000F" w:tentative="1">
      <w:start w:val="1"/>
      <w:numFmt w:val="decimal"/>
      <w:lvlText w:val="%7."/>
      <w:lvlJc w:val="left"/>
      <w:pPr>
        <w:ind w:left="3158" w:hanging="420"/>
      </w:pPr>
    </w:lvl>
    <w:lvl w:ilvl="7" w:tplc="04090019" w:tentative="1">
      <w:start w:val="1"/>
      <w:numFmt w:val="lowerLetter"/>
      <w:lvlText w:val="%8)"/>
      <w:lvlJc w:val="left"/>
      <w:pPr>
        <w:ind w:left="3578" w:hanging="420"/>
      </w:pPr>
    </w:lvl>
    <w:lvl w:ilvl="8" w:tplc="0409001B" w:tentative="1">
      <w:start w:val="1"/>
      <w:numFmt w:val="lowerRoman"/>
      <w:lvlText w:val="%9."/>
      <w:lvlJc w:val="right"/>
      <w:pPr>
        <w:ind w:left="3998" w:hanging="420"/>
      </w:pPr>
    </w:lvl>
  </w:abstractNum>
  <w:abstractNum w:abstractNumId="5">
    <w:nsid w:val="00000005"/>
    <w:multiLevelType w:val="hybridMultilevel"/>
    <w:tmpl w:val="B900DCAE"/>
    <w:lvl w:ilvl="0" w:tplc="D0E22A1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00000006"/>
    <w:multiLevelType w:val="hybridMultilevel"/>
    <w:tmpl w:val="D41E008A"/>
    <w:lvl w:ilvl="0" w:tplc="3F16C122">
      <w:start w:val="1"/>
      <w:numFmt w:val="decimal"/>
      <w:lvlText w:val="（%1）"/>
      <w:lvlJc w:val="left"/>
      <w:pPr>
        <w:ind w:left="1146"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0000007"/>
    <w:multiLevelType w:val="hybridMultilevel"/>
    <w:tmpl w:val="9496D216"/>
    <w:lvl w:ilvl="0" w:tplc="69E4E6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character" w:styleId="style156">
    <w:name w:val="Placeholder Text"/>
    <w:basedOn w:val="style65"/>
    <w:next w:val="style156"/>
    <w:uiPriority w:val="99"/>
    <w:rPr>
      <w:color w:val="808080"/>
    </w:rPr>
  </w:style>
  <w:style w:type="table" w:customStyle="1" w:styleId="style4097">
    <w:name w:val="Plain Table 1"/>
    <w:basedOn w:val="style105"/>
    <w:next w:val="style4097"/>
    <w:uiPriority w:val="41"/>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Words>2995</Words>
  <Characters>3076</Characters>
  <Application>WPS Office</Application>
  <DocSecurity>0</DocSecurity>
  <Paragraphs>87</Paragraphs>
  <ScaleCrop>false</ScaleCrop>
  <LinksUpToDate>false</LinksUpToDate>
  <CharactersWithSpaces>3146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2015-06-25T13:52:00Z</dcterms:created>
  <dc:creator>panjunyan</dc:creator>
  <lastModifiedBy>MI NOTE LTE</lastModifiedBy>
  <dcterms:modified xsi:type="dcterms:W3CDTF">2016-12-19T02:22:25Z</dcterms:modified>
  <revision>15</revision>
</coreProperties>
</file>

<file path=docProps/custom.xml><?xml version="1.0" encoding="utf-8"?>
<Properties xmlns="http://schemas.openxmlformats.org/officeDocument/2006/custom-properties" xmlns:vt="http://schemas.openxmlformats.org/officeDocument/2006/docPropsVTypes"/>
</file>