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Corporation - Q3 Briefing</w:t>
      </w:r>
    </w:p>
    <w:p>
      <w:r>
        <w:t>FICTIONAL DEMO DOCUMENT</w:t>
      </w:r>
    </w:p>
    <w:p>
      <w:pPr>
        <w:pStyle w:val="Heading1"/>
      </w:pPr>
      <w:r>
        <w:t>Highlights</w:t>
      </w:r>
    </w:p>
    <w:p>
      <w:pPr>
        <w:pStyle w:val="ListBullet"/>
      </w:pPr>
      <w:r>
        <w:t>Regional widget market grew 14% year over year.</w:t>
      </w:r>
    </w:p>
    <w:p>
      <w:pPr>
        <w:pStyle w:val="ListBullet"/>
      </w:pPr>
      <w:r>
        <w:t>Same-week delivery remains the main differentiator.</w:t>
      </w:r>
    </w:p>
    <w:p>
      <w:pPr>
        <w:pStyle w:val="ListBullet"/>
      </w:pPr>
      <w:r>
        <w:t>Two competitors moved to subscription pricing in Q2.</w:t>
      </w:r>
    </w:p>
    <w:p>
      <w:pPr>
        <w:pStyle w:val="Heading1"/>
      </w:pPr>
      <w:r>
        <w:t>Outlook</w:t>
      </w:r>
    </w:p>
    <w:p>
      <w:r>
        <w:t>Q4 focus: retain the delivery advantage, evaluate a subscription tier, and expand local support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