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ind/>
        <w:jc w:val="center"/>
      </w:pPr>
      <w:r>
        <w:rPr>
          <w:rFonts w:ascii="Times New Roman" w:cs="Times New Roman" w:eastAsia="Times New Roman" w:hAnsi="Times New Roman"/>
          <w:b/>
          <w:bCs/>
          <w:sz w:val="24"/>
          <w:szCs w:val="24"/>
        </w:rPr>
        <w:t xml:space="preserve">Avances de la Inteligencia Artificial: Agentes Autónomos, Datos y Automatización de Procesos como Precursores de la Transformación de la Era Digital</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Danny Sebastián Guachisaca Contento</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Universidad Técnica Particular de Loja</w:t>
      </w:r>
    </w:p>
    <w:p>
      <w:pPr>
        <w:spacing w:line="480" w:lineRule="auto"/>
        <w:jc w:val="center"/>
      </w:pPr>
      <w:r>
        <w:rPr>
          <w:rFonts w:ascii="Times New Roman" w:cs="Times New Roman" w:eastAsia="Times New Roman" w:hAnsi="Times New Roman"/>
          <w:sz w:val="24"/>
          <w:szCs w:val="24"/>
        </w:rPr>
        <w:t xml:space="preserve">Prácticum 1.2</w:t>
      </w:r>
    </w:p>
    <w:p>
      <w:pPr>
        <w:spacing w:line="480" w:lineRule="auto"/>
        <w:jc w:val="center"/>
      </w:pPr>
      <w:r>
        <w:rPr>
          <w:rFonts w:ascii="Times New Roman" w:cs="Times New Roman" w:eastAsia="Times New Roman" w:hAnsi="Times New Roman"/>
          <w:sz w:val="24"/>
          <w:szCs w:val="24"/>
        </w:rPr>
        <w:t xml:space="preserve">Ing. Fernanda Torres</w:t>
      </w:r>
    </w:p>
    <w:p>
      <w:pPr>
        <w:spacing w:line="480" w:lineRule="auto"/>
        <w:jc w:val="center"/>
      </w:pPr>
      <w:r>
        <w:rPr>
          <w:rFonts w:ascii="Times New Roman" w:cs="Times New Roman" w:eastAsia="Times New Roman" w:hAnsi="Times New Roman"/>
          <w:sz w:val="24"/>
          <w:szCs w:val="24"/>
        </w:rPr>
        <w:t xml:space="preserve">Mayo de 2026</w:t>
      </w:r>
    </w:p>
    <w:p>
      <w:pPr>
        <w:pageBreakBefore/>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Resumen</w:t>
      </w:r>
    </w:p>
    <w:p>
      <w:pPr>
        <w:spacing w:after="0" w:before="0" w:line="480" w:lineRule="auto"/>
        <w:ind/>
        <w:jc w:val="both"/>
      </w:pPr>
      <w:r>
        <w:rPr>
          <w:rFonts w:ascii="Times New Roman" w:cs="Times New Roman" w:eastAsia="Times New Roman" w:hAnsi="Times New Roman"/>
          <w:i w:val="false"/>
          <w:iCs w:val="false"/>
          <w:sz w:val="24"/>
          <w:szCs w:val="24"/>
        </w:rPr>
        <w:t xml:space="preserve">La inteligencia artificial, tal como la conocemos hoy en día, asciende a un periodo de crecimiento desmedido impulsado por el surgimiento de los nuevos modelos de lenguaje (LLM, por sus siglas en inglés), cuyas habilidades han ampliado las fronteras de la estructuración de texto para ingresar a la toma de decisiones de forma autónoma, conjuntamente con sistemas externos y procesamiento inteligente de flujos. El presente artículo es una revisión didáctica sobre tres pilares fundamentales: los agentes autónomos basados en LLM, sus arquitecturas de ingeniería y analítica de datos, y la evolución de la robótica en procesos de RPA hacia agentes completamente inteligentes y autónomos.</w:t>
      </w:r>
    </w:p>
    <w:p>
      <w:pPr>
        <w:spacing w:after="0" w:before="0" w:line="480" w:lineRule="auto"/>
        <w:ind/>
        <w:jc w:val="both"/>
      </w:pPr>
      <w:r>
        <w:rPr>
          <w:rFonts w:ascii="Times New Roman" w:cs="Times New Roman" w:eastAsia="Times New Roman" w:hAnsi="Times New Roman"/>
          <w:i w:val="false"/>
          <w:iCs w:val="false"/>
          <w:sz w:val="24"/>
          <w:szCs w:val="24"/>
        </w:rPr>
        <w:t xml:space="preserve">A partir de investigaciones constatadas entre el 2020 y el 2025, alojadas en repositorios como arXiv y textos indexados, se identifican los principales pilares de cada área, las herramientas más importantes y los patrones que emergen cuando estos tres pilares convergen en un mismo punto operativo. Se espera encontrar la convergencia entre agentes de IA, automatización inteligente y flujo de datos, que promueven un cambio de visión en la manera en que se diseñan y escalan procesos, con un enfoque directo para institutos de educación superior y equipos técnicos.</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b/>
          <w:bCs/>
          <w:i/>
          <w:iCs/>
          <w:sz w:val="24"/>
          <w:szCs w:val="24"/>
        </w:rPr>
        <w:t xml:space="preserve">Palabras clave: </w:t>
      </w:r>
      <w:r>
        <w:rPr>
          <w:rFonts w:ascii="Times New Roman" w:cs="Times New Roman" w:eastAsia="Times New Roman" w:hAnsi="Times New Roman"/>
          <w:i/>
          <w:iCs/>
          <w:sz w:val="24"/>
          <w:szCs w:val="24"/>
        </w:rPr>
        <w:t xml:space="preserve">inteligencia artificial, agentes autónomos, LLM, automatización de procesos, arquitecturas de datos</w:t>
      </w:r>
    </w:p>
    <w:p>
      <w:pPr>
        <w:pageBreakBefore/>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Avances de la Inteligencia Artificial: Agentes Autónomos, Datos y Automatización de Procesos como Precursores de la Transformación de la Era Digital</w:t>
      </w:r>
    </w:p>
    <w:p>
      <w:pPr>
        <w:spacing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Introducción</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En el año 2014, los Premios Nobel de Física y Química fueron entregados a investigadores de la rama de la inteligencia artificial, un paradigma inusual que marca empíricamente la importancia que este campo ha obtenido en el desarrollo científico (Xu et al., 2024). Lo que inicialmente empezó como un campo de investigación centralizado se ha transformado en una forma de reestructuración de los modos de producción, los procesos organizacionales y el método de gestión del conocimiento. De acuerdo con el informe de McKinsey sobre IA (2025), casi la totalidad de las organizaciones usa herramientas de IA de forma nativa; sin embargo, muchas de ellas no han podido aplicarla de manera profunda en sus flujos de trabajo.</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Este paso entre la aplicación superficial y la integración real se basa en cómo las organizaciones afrontan la IA como una herramienta aislada, sin entender la convergencia entre tres pilares fundamentales que deben operar de manera entrelazada. El primer pilar es el desarrollo de agentes autónomos basados en modelos de lenguaje a gran escala, que tienen la capacidad de razonar y estructurar acciones sobre sistemas sin supervisión humana. El segundo pilar son las arquitecturas de datos robustas —pipelines de extracción, transformación y carga, almacenes analíticos y orquestadores de flujos— que aseguran que estos agentes trabajen con información confiable, actualizable y trazable. El tercer pilar es la automatización inteligente de los procesos, que ha progresado desde los bots que imitan clics en una pantalla hasta llegar a flujos de decisiones dinámicas que la inteligencia artificial toma en tiempo real (Odonkor et al., 2024; Bankins et al., 2024).</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La literatura técnica ha avanzado de manera exponencial en cada uno de estos pilares de forma separada; sin embargo, son muy pocos los artículos que los examinan de manera detallada y orientándolos a la práctica para equipos técnicos universitarios. Estudios recientes sobre IA aplicada en organizaciones públicas o gubernamentales señalan que la barrera más grande no es la tecnología, sino su integración: datos en procesos que no se pueden automatizar y sistemas que no se comunican entre sí (Chen et al., 2024). Este paradigma convierte el conjunto de agentes, datos y automatización en una necesidad real para los técnicos universitarios, y no debe verse como un lujo académico.</w:t>
      </w:r>
    </w:p>
    <w:p>
      <w:pPr>
        <w:spacing w:after="0" w:before="0" w:line="480" w:lineRule="auto"/>
        <w:jc w:val="center"/>
      </w:pPr>
      <w:r>
        <w:rPr>
          <w:rFonts w:ascii="Times New Roman" w:cs="Times New Roman" w:eastAsia="Times New Roman" w:hAnsi="Times New Roman"/>
          <w:b/>
          <w:bCs/>
          <w:sz w:val="24"/>
          <w:szCs w:val="24"/>
        </w:rPr>
        <w:t xml:space="preserve">Marco Conceptual</w:t>
      </w:r>
    </w:p>
    <w:p>
      <w:pPr>
        <w:spacing w:after="0" w:before="0" w:line="480" w:lineRule="auto"/>
        <w:jc w:val="left"/>
      </w:pPr>
      <w:r>
        <w:rPr>
          <w:rFonts w:ascii="Times New Roman" w:cs="Times New Roman" w:eastAsia="Times New Roman" w:hAnsi="Times New Roman"/>
          <w:b/>
          <w:bCs/>
          <w:sz w:val="24"/>
          <w:szCs w:val="24"/>
        </w:rPr>
        <w:t xml:space="preserve">Agentes de Inteligencia Artificial: Definición y Componentes</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A lo largo de muchos años, la inteligencia artificial siempre fue materializada en sistemas que respondían a una entrada con una salida predefinida por un técnico. Un ejemplo sería un corrector ortográfico o un clasificador de imágenes que seguían una lógica aplicada: recibían datos, los procesaban y devolvían un resultado esperado. La principal diferencia de un agente moderno de inteligencia artificial respecto de esos sistemas reside en su capacidad de seguir un objetivo, desglosarlo en múltiples pasos, tomar decisiones intermedias en cada uno de ellos y cambiar su estructura de pensamiento cuando el entorno es impredecible (Xi et al., 2023).</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Visto desde otra perspectiva, un agente de inteligencia artificial puede comprenderse como un sistema que percibe su entorno, razona sobre sus posibilidades frente a un objetivo fijo y ejecuta acciones adecuadas —frecuentemente a través de herramientas externas— de manera consecutiva hasta lograr un objetivo consolidado. Esta definición representa una reinterpretación fundamental respecto de lo que se conoce como chatbot tradicional, ya que un chatbot responde una consulta en un único turno sin memoria persistente ni permisos para actuar sobre herramientas externas. Los agentes más recientes, en cambio, mantienen una complejidad escalonada en sus decisiones que les permite invocar APIs, consultar bases de datos o ejecutar código como parte de su proceso de razonamiento (Wang et al., 2024).</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La arquitectura que permite crear este tipo de comportamientos está apoyada sobre cuatro núcleos que interactúan de forma consecutiva. El primer núcleo es el modelo de lenguaje a gran escala, que cumple la función de nodo cognitivo, interpretando objetivos o instrucciones, creando planes de acción y produciendo guías textuales de cada parte del proceso. El segundo núcleo es un conjunto de herramientas —funciones, APIs, motores de búsqueda, intérpretes de código— que la IA puede invocar cuando sea necesario. El tercer núcleo es la memoria, que puede estar acotada a la ventana de contexto activa o extenderse mediante bases de datos vectoriales escalables entre sesiones. El cuarto núcleo es un bucle de control que administra los pasos, razonamientos, acciones y resultados de manera continua hasta que el objetivo fijo se considera satisfecho (Xi et al., 2023; Wang et al., 2024).</w:t>
      </w:r>
    </w:p>
    <w:p>
      <w:pPr>
        <w:spacing w:after="0" w:before="0" w:line="480" w:lineRule="auto"/>
        <w:jc w:val="left"/>
      </w:pPr>
      <w:r>
        <w:rPr>
          <w:rFonts w:ascii="Times New Roman" w:cs="Times New Roman" w:eastAsia="Times New Roman" w:hAnsi="Times New Roman"/>
          <w:b/>
          <w:bCs/>
          <w:i/>
          <w:iCs/>
          <w:sz w:val="24"/>
          <w:szCs w:val="24"/>
        </w:rPr>
        <w:t xml:space="preserve">Patrones de Razonamiento en Agentes: CoT, ReAct y RAG</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Uno de los descubrimientos más importantes en torno a los modelos de lenguaje es que el nivel de razonamiento que genera un sistema no depende únicamente de su tamaño o de los datos de aprendizaje automático con los que fue entrenado; lo más determinante es la estructura de la instrucción que recibe el modelo. Este hallazgo dio lugar a una serie de técnicas de prompting que han demostrado mejoras significativas en ejercicios que requieren lógica, planificación y acceso a información externa al modelo (Chu et al., 2023).</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El primero y más importante de estos patrones es el chain-of-thought (cadena de pensamiento). Su principio es sencillo: en lugar de pedir al modelo que genere directamente una respuesta, se le solicita que muestre su razonamiento de manera paso a paso antes de llegar a una conclusión. Wei et al. (2022) demostraron de manera práctica que este enfoque mejoró el rendimiento de los modelos en tareas matemáticas y de razonamiento simbólico, principalmente cuando el modelo supera cierta brecha de escalabilidad. Lo más importante de este descubrimiento no es únicamente su resultado, sino la idea que propone: los LLM no razonan mejor porque sean más grandes, sino porque se les brinda el tiempo y espacio necesarios para desarrollar una respuesta de manera lógica.</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El segundo patrón en importancia es ReAct, que trabaja principalmente sobre el texto del prompt. ReAct une el razonamiento con acciones basadas en las necesidades del agente: el agente piensa, ejecuta una acción determinada —como consultar una base de datos o llamar a una API—, observa el resultado de esa acción y vuelve a razonar sobre lo que acaba de aprender. Yao et al. (2023) demostraron que este ciclo escalable supera los enfoques en los que el modelo únicamente razona o actúa, ya que le permite corregir errores en el momento en lugar de propagarlos a través de la cadena de decisiones.</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El tercero y último patrón es la generación aumentada por recuperación, conocida por sus siglas RAG. Su función principal es resolver problemas estructurales de los LLM mediante el uso de fragmentos de textos relevantes de bases de conocimiento —documentos institucionales, manuales técnicos, registros históricos— que se incorporan al contexto que el modelo recibe. Gao et al. (2024) explican cómo esta técnica reduce el fenómeno de alucinación, es decir, la tendencia del modelo a generar información que parece correcta pero es falsa, al anclar sus respuestas a fuentes verificables.</w:t>
      </w:r>
    </w:p>
    <w:p>
      <w:pPr>
        <w:spacing w:after="0" w:before="0" w:line="480" w:lineRule="auto"/>
        <w:jc w:val="left"/>
      </w:pPr>
      <w:r>
        <w:rPr>
          <w:rFonts w:ascii="Times New Roman" w:cs="Times New Roman" w:eastAsia="Times New Roman" w:hAnsi="Times New Roman"/>
          <w:b/>
          <w:bCs/>
          <w:sz w:val="24"/>
          <w:szCs w:val="24"/>
        </w:rPr>
        <w:t xml:space="preserve">Arquitecturas de Datos y Automatización Inteligente de Procesos</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Entender cómo razona un agente de IA es solo la mitad de un problema más amplio, aspecto que suele subestimarse en la literatura poco técnica. Esta dimensión tiene que ver con la infraestructura sobre la que un agente está fundamentado. Un modelo de lenguaje que accede a datos desactualizados o mal estructurados producirá respuestas deficientes en lugar de resolver una necesidad. Por esta razón, la ingeniería de datos es sumamente importante en los sistemas de IA, ya que su coordinación conjunta genera respuestas más fundamentadas (Hai et al., 2023).</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Sobre esta base funcionan una multitud de herramientas que se han convertido en estándares dentro de los equipos de datos, permitiéndoles modelar transformaciones analíticas mediante SQL, con pruebas de calidad y documentación especificada desde el inicio del código. Los orquestadores de flujos —entre los que destacan Apache Airflow, Prefect y Dagster— tienen la tarea de dirigir en qué pasos se ejecuta cada parte del pipeline, documentando reintentos, generando dependencias y emitiendo alertas cuando algo sale mal. Para volúmenes grandes de datos que exceden la capacidad de una sola máquina, Apache Spark aporta el procesamiento distribuido en múltiples nodos, lo que permite trabajar sobre conjuntos de datos de gran escala usando la misma lógica en un entorno local (Zaharia et al., 2016).</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La tercera dimensión que complementa estos fundamentos es la automatización de procesos. En su forma más rudimentaria, la automatización robótica de procesos (RPA) se refería a bots que copiaban acciones de usuarios humanos sobre una interfaz gráfica. Esta dimensión, que resultaba útil para sistemas sin API disponible, era muy frágil ante cambios de interfaz e incapaz de manejar problemas no previstos en su programación original (Syed et al., 2023). La evolución que muchos autores denominan automatización de procesos agéntica propone reemplazar reglas rígidas por agentes de inteligencia artificial que pueden decidir dentro de un flujo, lo que permite construir procesos de manera visual intercalando servicios mediante nodos configurables. Esta combinación de herramientas impulsadas por IA en puntos estratégicos del flujo representa el estado del arte en la automatización universitaria inteligente (Ning et al., 2024).</w:t>
      </w:r>
    </w:p>
    <w:p>
      <w:pPr>
        <w:spacing w:after="0" w:before="0" w:line="480" w:lineRule="auto"/>
        <w:jc w:val="center"/>
      </w:pPr>
      <w:r>
        <w:rPr>
          <w:rFonts w:ascii="Times New Roman" w:cs="Times New Roman" w:eastAsia="Times New Roman" w:hAnsi="Times New Roman"/>
          <w:b/>
          <w:bCs/>
          <w:sz w:val="24"/>
          <w:szCs w:val="24"/>
        </w:rPr>
        <w:t xml:space="preserve">Trabajos Relacionados</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Las investigaciones referentes a agentes de inteligencia artificial y modelos de lenguaje han experimentado un crecimiento abismal desde el año 2022, impulsado por la disponibilidad pública de modelos de escala global con razonamientos emergentes. Park et al. (2023) propusieron uno de los estudios más citados en el ámbito, consistente en construir un entorno simulado con 25 agentes capaces de dirigir comportamientos sociales complejos —planificar actividades, compartir información y formar recuerdos—. Los resultados mostraron que arquitecturas consideradas simples, cuando se les proporciona memoria persistente y capacidad de reflexión continua, pueden generar comportamientos que superan lo que otros agentes lograrían de forma individual.</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En el campo de la ingeniería de datos, el trabajo de Dehghani (2022) sobre data mesh plantea un punto conceptual relevante para esta revisión. La autora propone trasladar la responsabilidad directa de los datos desde equipos centralizados hacia equipos con dominios funcionales fijos, quienes tratan los datos como productos sujetos a contratos de calidad y canales de distribución. Esta arquitectura ha ganado impulso en instituciones de gran escala porque resuelve cuellos de botella cuando el volumen y la diversidad de las fuentes de datos superan la capacidad de un único equipo operativo.</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Respecto a la automatización de procesos, Ivančić et al. (2023) realizaron una revisión sistemática en contextos universitarios y organizaciones del sector educativo, centrándose en procesos administrativos como matrícula, gestión documental y reportes regulatorios. Constataron que la principal problemática para impulsar estas implementaciones no es únicamente técnica, sino también cultural: las personas muestran resistencia al cambio y requieren una explicación clara sobre quiénes serán los responsables del mantenimiento de los bots. Más recientemente, Ribeiro et al. (2023) indagaron en la integración entre RPA y modelos de lenguaje avanzados, explicando que la unión de ambos enfoques permitiría automatizar procesos más allá de los estructurados, incluyendo aquellos que requieren interpretación del lenguaje natural, como la clasificación de solicitudes entrantes o la extracción de datos sin un formato específico.</w:t>
      </w:r>
    </w:p>
    <w:p>
      <w:pPr>
        <w:spacing w:after="0" w:before="0" w:line="480" w:lineRule="auto"/>
        <w:jc w:val="center"/>
      </w:pPr>
      <w:r>
        <w:rPr>
          <w:rFonts w:ascii="Times New Roman" w:cs="Times New Roman" w:eastAsia="Times New Roman" w:hAnsi="Times New Roman"/>
          <w:b/>
          <w:bCs/>
          <w:sz w:val="24"/>
          <w:szCs w:val="24"/>
        </w:rPr>
        <w:t xml:space="preserve">Tendencias y Perspectivas Futuras</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El crecimiento exponencial de la inteligencia artificial permite anticipar al menos cuatro de las tendencias más importantes que marcarán el panorama tecnológico en el período 2025-2028 y que tendrán un peso significativo para orientar a las instituciones universitarias hoy y en el futuro.</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La primera tendencia, y la de mayor inmediatez, es la consolidación de la IA como estándar operativo en organizaciones tanto privadas como públicas. Según las proyecciones de Gartner (2025), el 40 % de las aplicaciones empresariales contarán con agentes de IA para tareas u objetivos específicos antes de que concluya el 2026, una brecha considerable frente al 5 % registrado en el 2025. Esta proyección sugiere que para 2028 el 33 % del software empresarial podría incorporar inteligencia artificial, y el 15 % de las decisiones corporativas cotidianas podrían involucrar el uso de agentes. Para las instituciones educativas, la pregunta ya no es si adoptar estas tecnologías, sino cómo diseñar límites adecuados para su autonomía, de modo que resulten útiles, auditables y sostenibles a largo plazo.</w:t>
      </w:r>
    </w:p>
    <w:p>
      <w:pPr>
        <w:spacing w:after="0" w:before="0" w:line="480" w:lineRule="auto"/>
        <w:jc w:val="center"/>
      </w:pPr>
      <w:r>
        <w:rPr>
          <w:rFonts w:ascii="Times New Roman" w:cs="Times New Roman" w:eastAsia="Times New Roman" w:hAnsi="Times New Roman"/>
          <w:b/>
          <w:bCs/>
          <w:sz w:val="24"/>
          <w:szCs w:val="24"/>
        </w:rPr>
        <w:t xml:space="preserve">Conclusiones</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Las tendencias analizadas indican que el margen de tiempo para prepararse antes de que estas tecnologías se conviertan en estándar operativo es más estrecho de lo que la mayoría de las instituciones asume. La transición del 5 % al 40 % de aplicaciones empresariales con agentes integrados en el lapso de un solo año, proyectada por Gartner (2025), no describe una adopción gradual, sino una reconfiguración acelerada del entorno tecnológico. Las instituciones que desarrollen hoy las capacidades técnicas, la cultura de datos y los marcos de gobernanza necesarios para operar con sistemas de IA de manera responsable estarán mejor posicionadas para capturar los beneficios de esta transición y gestionar sus riesgos con criterio.</w:t>
      </w:r>
    </w:p>
    <w:p>
      <w:pPr>
        <w:spacing w:after="0" w:before="0" w:line="480" w:lineRule="auto"/>
        <w:ind w:firstLine="720"/>
        <w:jc w:val="both"/>
      </w:pPr>
      <w:r>
        <w:rPr>
          <w:rFonts w:ascii="Times New Roman" w:cs="Times New Roman" w:eastAsia="Times New Roman" w:hAnsi="Times New Roman"/>
          <w:i w:val="false"/>
          <w:iCs w:val="false"/>
          <w:sz w:val="24"/>
          <w:szCs w:val="24"/>
        </w:rPr>
        <w:t xml:space="preserve">Se trata de un paradigma completamente impredecible en cuanto a sus avances futuros. Las instituciones educativas deben contar con un plan de acción referente a cómo realizar el uso práctico de este tipo de nuevas tecnologías: debe ser de manera responsable, al margen de la ley y la protección de datos, y sobre todo debe generar un beneficio mutuo para los estudiantes y las autoridades que serán las encargadas del monitoreo y cuidado de las inteligencias artificiales aplicadas a los ámbitos educativos. Es fundamental ver a la inteligencia artificial como un gran aliado y una herramienta, antes que como un reemplazo, ya que una inteligencia artificial nunca será equiparable al pensamiento crítico de una persona.</w:t>
      </w:r>
    </w:p>
    <w:p>
      <w:pPr>
        <w:pageBreakBefore/>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Referencias</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Abramova, V., Bernardino, J., &amp; Furtado, P. (2023). Data pipelines in the public sector: Critical success factors and governance challenges. </w:t>
      </w:r>
      <w:r>
        <w:rPr>
          <w:rFonts w:ascii="Times New Roman" w:cs="Times New Roman" w:eastAsia="Times New Roman" w:hAnsi="Times New Roman"/>
          <w:i/>
          <w:iCs/>
          <w:sz w:val="24"/>
          <w:szCs w:val="24"/>
        </w:rPr>
        <w:t xml:space="preserve">Government Information Quarterly, 40</w:t>
      </w:r>
      <w:r>
        <w:rPr>
          <w:rFonts w:ascii="Times New Roman" w:cs="Times New Roman" w:eastAsia="Times New Roman" w:hAnsi="Times New Roman"/>
          <w:sz w:val="24"/>
          <w:szCs w:val="24"/>
        </w:rPr>
        <w:t xml:space="preserve">(2), 101800. https://doi.org/10.1016/j.giq.2022.101800</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AIMutiiple Research. (2025). </w:t>
      </w:r>
      <w:r>
        <w:rPr>
          <w:rFonts w:ascii="Times New Roman" w:cs="Times New Roman" w:eastAsia="Times New Roman" w:hAnsi="Times New Roman"/>
          <w:i/>
          <w:iCs/>
          <w:sz w:val="24"/>
          <w:szCs w:val="24"/>
        </w:rPr>
        <w:t xml:space="preserve">10+ agentic AI trends and examples for 2026.</w:t>
      </w:r>
      <w:r>
        <w:rPr>
          <w:rFonts w:ascii="Times New Roman" w:cs="Times New Roman" w:eastAsia="Times New Roman" w:hAnsi="Times New Roman"/>
          <w:sz w:val="24"/>
          <w:szCs w:val="24"/>
        </w:rPr>
        <w:t xml:space="preserve"> https://research.aimultiple.com/agentic-ai-trends/</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Bankins, S., Marrone, J. A., Restubog, S. L. D., &amp; Woo, S. E. (2024). A multilevel review of artificial intelligence in organizations: Implications for organizational behavior research and practice. </w:t>
      </w:r>
      <w:r>
        <w:rPr>
          <w:rFonts w:ascii="Times New Roman" w:cs="Times New Roman" w:eastAsia="Times New Roman" w:hAnsi="Times New Roman"/>
          <w:i/>
          <w:iCs/>
          <w:sz w:val="24"/>
          <w:szCs w:val="24"/>
        </w:rPr>
        <w:t xml:space="preserve">Journal of Organizational Behavior, 45</w:t>
      </w:r>
      <w:r>
        <w:rPr>
          <w:rFonts w:ascii="Times New Roman" w:cs="Times New Roman" w:eastAsia="Times New Roman" w:hAnsi="Times New Roman"/>
          <w:sz w:val="24"/>
          <w:szCs w:val="24"/>
        </w:rPr>
        <w:t xml:space="preserve">(2), 159–182. https://doi.org/10.1002/job.2735</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Chen, T., Gascó-Hernandez, M., &amp; Esteve, M. (2024). The adoption and implementation of AI chatbots in public organizations: Evidence from U.S. state governments. </w:t>
      </w:r>
      <w:r>
        <w:rPr>
          <w:rFonts w:ascii="Times New Roman" w:cs="Times New Roman" w:eastAsia="Times New Roman" w:hAnsi="Times New Roman"/>
          <w:i/>
          <w:iCs/>
          <w:sz w:val="24"/>
          <w:szCs w:val="24"/>
        </w:rPr>
        <w:t xml:space="preserve">American Review of Public Administration.</w:t>
      </w:r>
      <w:r>
        <w:rPr>
          <w:rFonts w:ascii="Times New Roman" w:cs="Times New Roman" w:eastAsia="Times New Roman" w:hAnsi="Times New Roman"/>
          <w:sz w:val="24"/>
          <w:szCs w:val="24"/>
        </w:rPr>
        <w:t xml:space="preserve"> https://doi.org/10.1177/02750740231200522</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Chu, Z., Chen, J., Chen, Q., Yu, W., He, T., Wang, H., Peng, W., Liu, B., Zheng, Y., &amp; Yu, P. (2023). A survey of chain of thought reasoning: Advances, frontiers and future.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 https://arxiv.org/abs/2309.15402</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Clarifai. (2026). </w:t>
      </w:r>
      <w:r>
        <w:rPr>
          <w:rFonts w:ascii="Times New Roman" w:cs="Times New Roman" w:eastAsia="Times New Roman" w:hAnsi="Times New Roman"/>
          <w:i/>
          <w:iCs/>
          <w:sz w:val="24"/>
          <w:szCs w:val="24"/>
        </w:rPr>
        <w:t xml:space="preserve">Top LLMs and AI trends for 2026.</w:t>
      </w:r>
      <w:r>
        <w:rPr>
          <w:rFonts w:ascii="Times New Roman" w:cs="Times New Roman" w:eastAsia="Times New Roman" w:hAnsi="Times New Roman"/>
          <w:sz w:val="24"/>
          <w:szCs w:val="24"/>
        </w:rPr>
        <w:t xml:space="preserve"> https://www.clarifai.com/blog/llms-and-ai-trends</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Dehghani, Z. (2022). </w:t>
      </w:r>
      <w:r>
        <w:rPr>
          <w:rFonts w:ascii="Times New Roman" w:cs="Times New Roman" w:eastAsia="Times New Roman" w:hAnsi="Times New Roman"/>
          <w:i/>
          <w:iCs/>
          <w:sz w:val="24"/>
          <w:szCs w:val="24"/>
        </w:rPr>
        <w:t xml:space="preserve">Data mesh: Delivering data-driven value at scale.</w:t>
      </w:r>
      <w:r>
        <w:rPr>
          <w:rFonts w:ascii="Times New Roman" w:cs="Times New Roman" w:eastAsia="Times New Roman" w:hAnsi="Times New Roman"/>
          <w:sz w:val="24"/>
          <w:szCs w:val="24"/>
        </w:rPr>
        <w:t xml:space="preserve"> O'Reilly Media.</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Feuerlicht, G., &amp; Vokrinek, J. (2023). ELT architecture for modern data warehousing. </w:t>
      </w:r>
      <w:r>
        <w:rPr>
          <w:rFonts w:ascii="Times New Roman" w:cs="Times New Roman" w:eastAsia="Times New Roman" w:hAnsi="Times New Roman"/>
          <w:i/>
          <w:iCs/>
          <w:sz w:val="24"/>
          <w:szCs w:val="24"/>
        </w:rPr>
        <w:t xml:space="preserve">Proceedings of the International Conference on Information Systems Development.</w:t>
      </w:r>
      <w:r>
        <w:rPr>
          <w:rFonts w:ascii="Times New Roman" w:cs="Times New Roman" w:eastAsia="Times New Roman" w:hAnsi="Times New Roman"/>
          <w:sz w:val="24"/>
          <w:szCs w:val="24"/>
        </w:rPr>
        <w:t xml:space="preserve"> https://doi.org/10.62036/ISD.2023.5</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Gao, Y., Xiong, Y., Gao, X., Jia, K., Pan, J., Bi, Y., Dai, Y., Sun, J., Wang, M., &amp; Wang, H. (2024). Retrieval-augmented generation for large language models: A survey.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 https://arxiv.org/abs/2312.10997</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Gartner. (2025). </w:t>
      </w:r>
      <w:r>
        <w:rPr>
          <w:rFonts w:ascii="Times New Roman" w:cs="Times New Roman" w:eastAsia="Times New Roman" w:hAnsi="Times New Roman"/>
          <w:i/>
          <w:iCs/>
          <w:sz w:val="24"/>
          <w:szCs w:val="24"/>
        </w:rPr>
        <w:t xml:space="preserve">Gartner predicts 40% of enterprise apps will feature task-specific AI agents by 2026, up from less than 5% in 2025.</w:t>
      </w:r>
      <w:r>
        <w:rPr>
          <w:rFonts w:ascii="Times New Roman" w:cs="Times New Roman" w:eastAsia="Times New Roman" w:hAnsi="Times New Roman"/>
          <w:sz w:val="24"/>
          <w:szCs w:val="24"/>
        </w:rPr>
        <w:t xml:space="preserve"> https://www.gartner.com/en/newsroom/press-releases/2025-08-26-gartner-predicts-40-percent-of-enterprise-apps-will-feature-task-specific-ai-agents-by-2026</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Hai, R., Quix, C., &amp; Cheng, D. (2023). Data lake concept, survey and research challenges. </w:t>
      </w:r>
      <w:r>
        <w:rPr>
          <w:rFonts w:ascii="Times New Roman" w:cs="Times New Roman" w:eastAsia="Times New Roman" w:hAnsi="Times New Roman"/>
          <w:i/>
          <w:iCs/>
          <w:sz w:val="24"/>
          <w:szCs w:val="24"/>
        </w:rPr>
        <w:t xml:space="preserve">ACM Computing Surveys.</w:t>
      </w:r>
      <w:r>
        <w:rPr>
          <w:rFonts w:ascii="Times New Roman" w:cs="Times New Roman" w:eastAsia="Times New Roman" w:hAnsi="Times New Roman"/>
          <w:sz w:val="24"/>
          <w:szCs w:val="24"/>
        </w:rPr>
        <w:t xml:space="preserve"> https://doi.org/10.1145/3586472</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Hamad, H., &amp; Hashem, I. A. T. (2023). Modern data warehousing and analytics: A review of emerging tools and trends. </w:t>
      </w:r>
      <w:r>
        <w:rPr>
          <w:rFonts w:ascii="Times New Roman" w:cs="Times New Roman" w:eastAsia="Times New Roman" w:hAnsi="Times New Roman"/>
          <w:i/>
          <w:iCs/>
          <w:sz w:val="24"/>
          <w:szCs w:val="24"/>
        </w:rPr>
        <w:t xml:space="preserve">Journal of Big Data, 10</w:t>
      </w:r>
      <w:r>
        <w:rPr>
          <w:rFonts w:ascii="Times New Roman" w:cs="Times New Roman" w:eastAsia="Times New Roman" w:hAnsi="Times New Roman"/>
          <w:sz w:val="24"/>
          <w:szCs w:val="24"/>
        </w:rPr>
        <w:t xml:space="preserve">(1), 87. https://doi.org/10.1186/s40537-023-00765-0</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Ivančić, L., Suša Vugec, D., &amp; Vuksic, V. B. (2023). Robotic process automation in public administration and higher education: A systematic literature review. </w:t>
      </w:r>
      <w:r>
        <w:rPr>
          <w:rFonts w:ascii="Times New Roman" w:cs="Times New Roman" w:eastAsia="Times New Roman" w:hAnsi="Times New Roman"/>
          <w:i/>
          <w:iCs/>
          <w:sz w:val="24"/>
          <w:szCs w:val="24"/>
        </w:rPr>
        <w:t xml:space="preserve">International Journal of Information Management, 68</w:t>
      </w:r>
      <w:r>
        <w:rPr>
          <w:rFonts w:ascii="Times New Roman" w:cs="Times New Roman" w:eastAsia="Times New Roman" w:hAnsi="Times New Roman"/>
          <w:sz w:val="24"/>
          <w:szCs w:val="24"/>
        </w:rPr>
        <w:t xml:space="preserve">, 102578. https://doi.org/10.1016/j.ijinfomgt.2022.102578</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Kerremans, M. (2024). </w:t>
      </w:r>
      <w:r>
        <w:rPr>
          <w:rFonts w:ascii="Times New Roman" w:cs="Times New Roman" w:eastAsia="Times New Roman" w:hAnsi="Times New Roman"/>
          <w:i/>
          <w:iCs/>
          <w:sz w:val="24"/>
          <w:szCs w:val="24"/>
        </w:rPr>
        <w:t xml:space="preserve">Magic quadrant for integration platform as a service.</w:t>
      </w:r>
      <w:r>
        <w:rPr>
          <w:rFonts w:ascii="Times New Roman" w:cs="Times New Roman" w:eastAsia="Times New Roman" w:hAnsi="Times New Roman"/>
          <w:sz w:val="24"/>
          <w:szCs w:val="24"/>
        </w:rPr>
        <w:t xml:space="preserve"> Gartner Research.</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Masterman, T., Besen, S., Sawtell, M., &amp; Chiang, F. (2024). The landscape of emerging AI agent architectures for reasoning, planning, and tool calling: A survey.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 https://arxiv.org/abs/2404.11584</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McKinsey &amp; Company. (2025). </w:t>
      </w:r>
      <w:r>
        <w:rPr>
          <w:rFonts w:ascii="Times New Roman" w:cs="Times New Roman" w:eastAsia="Times New Roman" w:hAnsi="Times New Roman"/>
          <w:i/>
          <w:iCs/>
          <w:sz w:val="24"/>
          <w:szCs w:val="24"/>
        </w:rPr>
        <w:t xml:space="preserve">The state of AI in 2025: Agents, innovation, and transformation.</w:t>
      </w:r>
      <w:r>
        <w:rPr>
          <w:rFonts w:ascii="Times New Roman" w:cs="Times New Roman" w:eastAsia="Times New Roman" w:hAnsi="Times New Roman"/>
          <w:sz w:val="24"/>
          <w:szCs w:val="24"/>
        </w:rPr>
        <w:t xml:space="preserve"> https://www.mckinsey.com/capabilities/quantumblack/our-insights/the-state-of-ai</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Ning, X., Lin, Z., Li, Z., Wang, H., &amp; Liu, Y. (2024). Agentic pipeline optimization for large language models.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 https://arxiv.org/abs/2307.15337</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Odonkor, E., Esho, A., Afolabi, T., Babatunde, S. O., &amp; Olu-lawal, K. A. (2024). Artificial intelligence and its role in shaping organizational work practices and culture. </w:t>
      </w:r>
      <w:r>
        <w:rPr>
          <w:rFonts w:ascii="Times New Roman" w:cs="Times New Roman" w:eastAsia="Times New Roman" w:hAnsi="Times New Roman"/>
          <w:i/>
          <w:iCs/>
          <w:sz w:val="24"/>
          <w:szCs w:val="24"/>
        </w:rPr>
        <w:t xml:space="preserve">Administrative Sciences, 14</w:t>
      </w:r>
      <w:r>
        <w:rPr>
          <w:rFonts w:ascii="Times New Roman" w:cs="Times New Roman" w:eastAsia="Times New Roman" w:hAnsi="Times New Roman"/>
          <w:sz w:val="24"/>
          <w:szCs w:val="24"/>
        </w:rPr>
        <w:t xml:space="preserve">(12), 316. https://doi.org/10.3390/admsci14120316</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Park, J. S., O'Brien, J. C., Cai, C. J., Morris, M. R., Liang, P., &amp; Bernstein, M. S. (2023). Generative agents: Interactive simulacra of human behavior. </w:t>
      </w:r>
      <w:r>
        <w:rPr>
          <w:rFonts w:ascii="Times New Roman" w:cs="Times New Roman" w:eastAsia="Times New Roman" w:hAnsi="Times New Roman"/>
          <w:i/>
          <w:iCs/>
          <w:sz w:val="24"/>
          <w:szCs w:val="24"/>
        </w:rPr>
        <w:t xml:space="preserve">Proceedings of the 36th Annual ACM Symposium on User Interface Software and Technology,</w:t>
      </w:r>
      <w:r>
        <w:rPr>
          <w:rFonts w:ascii="Times New Roman" w:cs="Times New Roman" w:eastAsia="Times New Roman" w:hAnsi="Times New Roman"/>
          <w:sz w:val="24"/>
          <w:szCs w:val="24"/>
        </w:rPr>
        <w:t xml:space="preserve"> 1–22. https://doi.org/10.1145/3586183.3606763</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Ribeiro, J., Lima, R., Eckhardt, T., &amp; Paiva, S. (2023). Robotic process automation and artificial intelligence in industry 4.0: A literature review. </w:t>
      </w:r>
      <w:r>
        <w:rPr>
          <w:rFonts w:ascii="Times New Roman" w:cs="Times New Roman" w:eastAsia="Times New Roman" w:hAnsi="Times New Roman"/>
          <w:i/>
          <w:iCs/>
          <w:sz w:val="24"/>
          <w:szCs w:val="24"/>
        </w:rPr>
        <w:t xml:space="preserve">Procedia Computer Science, 219</w:t>
      </w:r>
      <w:r>
        <w:rPr>
          <w:rFonts w:ascii="Times New Roman" w:cs="Times New Roman" w:eastAsia="Times New Roman" w:hAnsi="Times New Roman"/>
          <w:sz w:val="24"/>
          <w:szCs w:val="24"/>
        </w:rPr>
        <w:t xml:space="preserve">, 51–58. https://doi.org/10.1016/j.procs.2023.01.267</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Sapkota, R., Jain, A., Hassan, M. U., Zafar, A., Maqbool, H., Vayani, A., Wu, J., &amp; Shoman, M. (2025). Who is responsible? The data, models, users or regulations? A comprehensive survey on responsible generative AI for a sustainable future.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 https://arxiv.org/abs/2502.08650</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Shinn, N., Cassano, F., Labash, B., Gopinath, A., Narasimhan, K., &amp; Yao, S. (2023). Reflexion: Language agents with verbal reinforcement learning. </w:t>
      </w:r>
      <w:r>
        <w:rPr>
          <w:rFonts w:ascii="Times New Roman" w:cs="Times New Roman" w:eastAsia="Times New Roman" w:hAnsi="Times New Roman"/>
          <w:i/>
          <w:iCs/>
          <w:sz w:val="24"/>
          <w:szCs w:val="24"/>
        </w:rPr>
        <w:t xml:space="preserve">Advances in Neural Information Processing Systems, 36.</w:t>
      </w:r>
      <w:r>
        <w:rPr>
          <w:rFonts w:ascii="Times New Roman" w:cs="Times New Roman" w:eastAsia="Times New Roman" w:hAnsi="Times New Roman"/>
          <w:sz w:val="24"/>
          <w:szCs w:val="24"/>
        </w:rPr>
        <w:t xml:space="preserve"> https://arxiv.org/abs/2303.11366</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Syed, R., Suriadi, S., Adams, M., Bandara, W., Leemans, S., Ouyang, C., ter Hofstede, A., van de Weerd, I., Wynn, M., &amp; Reijers, H. (2023). Robotic process automation: Contemporary themes and future research directions. </w:t>
      </w:r>
      <w:r>
        <w:rPr>
          <w:rFonts w:ascii="Times New Roman" w:cs="Times New Roman" w:eastAsia="Times New Roman" w:hAnsi="Times New Roman"/>
          <w:i/>
          <w:iCs/>
          <w:sz w:val="24"/>
          <w:szCs w:val="24"/>
        </w:rPr>
        <w:t xml:space="preserve">Information Systems Frontiers.</w:t>
      </w:r>
      <w:r>
        <w:rPr>
          <w:rFonts w:ascii="Times New Roman" w:cs="Times New Roman" w:eastAsia="Times New Roman" w:hAnsi="Times New Roman"/>
          <w:sz w:val="24"/>
          <w:szCs w:val="24"/>
        </w:rPr>
        <w:t xml:space="preserve"> https://doi.org/10.1007/s10796-023-10410-3</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Wang, L., Ma, C., Feng, X., Zhang, Z., Yang, H., Zhang, J., Chen, Z., Tang, J., Chen, X., Lin, Y., Zhao, W. X., Wei, Z., &amp; Wen, J. (2024). A survey on large language model based autonomous agents. </w:t>
      </w:r>
      <w:r>
        <w:rPr>
          <w:rFonts w:ascii="Times New Roman" w:cs="Times New Roman" w:eastAsia="Times New Roman" w:hAnsi="Times New Roman"/>
          <w:i/>
          <w:iCs/>
          <w:sz w:val="24"/>
          <w:szCs w:val="24"/>
        </w:rPr>
        <w:t xml:space="preserve">Frontiers of Computer Science, 18</w:t>
      </w:r>
      <w:r>
        <w:rPr>
          <w:rFonts w:ascii="Times New Roman" w:cs="Times New Roman" w:eastAsia="Times New Roman" w:hAnsi="Times New Roman"/>
          <w:sz w:val="24"/>
          <w:szCs w:val="24"/>
        </w:rPr>
        <w:t xml:space="preserve">(6), 186345. https://doi.org/10.1007/s11704-024-40231-1</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Wei, J., Wang, X., Schuurmans, D., Bosma, M., Ichter, B., Xia, F., Chi, E., Le, Q. V., &amp; Zhou, D. (2022). Chain-of-thought prompting elicits reasoning in large language models.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 24824–24837. https://arxiv.org/abs/2201.11903</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Xi, Z., Chen, W., Guo, X., He, W., Ding, Y., Hong, B., Zhang, M., Wang, J., Jin, S., Zhou, E., Zheng, R., Fan, X., Wang, X., Xiong, L., Zhou, Y., Wang, W., Jiang, C., Zou, Y., Liu, X., ... Gui, T. (2023). The rise and potential of large language model based agents: A survey.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 https://arxiv.org/abs/2309.07864</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Xu, L., Chen, X., &amp; Zhang, W. (2024). Nobel Prize 2024 and artificial intelligence: Reflections on the intersection of AI and science.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 https://arxiv.org/abs/2410.14980</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Yao, S., Zhao, J., Yu, D., Du, N., Shafran, I., Narasimhan, K., &amp; Cao, Y. (2023). ReAct: Synergizing reasoning and acting in language models. </w:t>
      </w:r>
      <w:r>
        <w:rPr>
          <w:rFonts w:ascii="Times New Roman" w:cs="Times New Roman" w:eastAsia="Times New Roman" w:hAnsi="Times New Roman"/>
          <w:i/>
          <w:iCs/>
          <w:sz w:val="24"/>
          <w:szCs w:val="24"/>
        </w:rPr>
        <w:t xml:space="preserve">International Conference on Learning Representations.</w:t>
      </w:r>
      <w:r>
        <w:rPr>
          <w:rFonts w:ascii="Times New Roman" w:cs="Times New Roman" w:eastAsia="Times New Roman" w:hAnsi="Times New Roman"/>
          <w:sz w:val="24"/>
          <w:szCs w:val="24"/>
        </w:rPr>
        <w:t xml:space="preserve"> https://arxiv.org/abs/2210.03629</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left"/>
      </w:pPr>
      <w:r>
        <w:rPr>
          <w:rFonts w:ascii="Times New Roman" w:cs="Times New Roman" w:eastAsia="Times New Roman" w:hAnsi="Times New Roman"/>
          <w:sz w:val="24"/>
          <w:szCs w:val="24"/>
        </w:rPr>
        <w:t xml:space="preserve">Zaharia, M., Xin, R. S., Wendell, P., Das, T., Armbrust, M., Dave, A., Meng, X., Rosen, J., Venkataraman, S., Franklin, M. J., Ghodsi, A., Gonzalez, J., Shenker, S., &amp; Stoica, I. (2016). Apache Spark: A unified engine for big data processing. </w:t>
      </w:r>
      <w:r>
        <w:rPr>
          <w:rFonts w:ascii="Times New Roman" w:cs="Times New Roman" w:eastAsia="Times New Roman" w:hAnsi="Times New Roman"/>
          <w:i/>
          <w:iCs/>
          <w:sz w:val="24"/>
          <w:szCs w:val="24"/>
        </w:rPr>
        <w:t xml:space="preserve">Communications of the ACM, 59</w:t>
      </w:r>
      <w:r>
        <w:rPr>
          <w:rFonts w:ascii="Times New Roman" w:cs="Times New Roman" w:eastAsia="Times New Roman" w:hAnsi="Times New Roman"/>
          <w:sz w:val="24"/>
          <w:szCs w:val="24"/>
        </w:rPr>
        <w:t xml:space="preserve">(11), 56–65. https://doi.org/10.1145/2934664</w:t>
      </w:r>
    </w:p>
    <w:sectPr>
      <w:headerReference w:type="default" r:id="rId7"/>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2026-05-08T05:00:40.078Z</dcterms:created>
  <dcterms:modified xsi:type="dcterms:W3CDTF">2026-05-08T05:00:40.079Z</dcterms:modified>
</cp:coreProperties>
</file>

<file path=docProps/custom.xml><?xml version="1.0" encoding="utf-8"?>
<Properties xmlns="http://schemas.openxmlformats.org/officeDocument/2006/custom-properties" xmlns:vt="http://schemas.openxmlformats.org/officeDocument/2006/docPropsVTypes"/>
</file>