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供应链结构示意图</w:t>
      </w:r>
    </w:p>
    <w:p>
      <w:r>
        <w:t>供应商        制造商      仓储和配送中心     客户</w:t>
      </w:r>
    </w:p>
    <w:p>
      <w:r>
        <w:t></w:t>
      </w:r>
    </w:p>
    <w:p>
      <w:r>
        <w:t>总机装配(通用打印机)</w:t>
      </w:r>
    </w:p>
    <w:p>
      <w:r>
        <w:t>（FAT）</w:t>
      </w:r>
    </w:p>
    <w:p>
      <w:r>
        <w:t>在温哥华完成</w:t>
      </w:r>
    </w:p>
    <w:p>
      <w:r>
        <w:t>效果：服务水平为98%，各成品配送中心保持5周的库存量，节省3000万美元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