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725" w:rsidRPr="00490C75" w:rsidRDefault="00306725" w:rsidP="00306725">
      <w:pPr>
        <w:adjustRightInd w:val="0"/>
        <w:snapToGrid w:val="0"/>
        <w:spacing w:beforeLines="100" w:line="360" w:lineRule="auto"/>
        <w:jc w:val="center"/>
        <w:outlineLvl w:val="1"/>
        <w:rPr>
          <w:rFonts w:ascii="仿宋" w:eastAsia="仿宋" w:hAnsi="仿宋"/>
          <w:b/>
          <w:sz w:val="32"/>
          <w:szCs w:val="32"/>
        </w:rPr>
      </w:pPr>
      <w:bookmarkStart w:id="0" w:name="_Toc387144322"/>
      <w:bookmarkStart w:id="1" w:name="_Toc407634392"/>
      <w:r w:rsidRPr="00490C75">
        <w:rPr>
          <w:rFonts w:ascii="仿宋" w:eastAsia="仿宋" w:hAnsi="仿宋" w:hint="eastAsia"/>
          <w:b/>
          <w:sz w:val="32"/>
          <w:szCs w:val="32"/>
        </w:rPr>
        <w:t>私人信托资产配置管理办法</w:t>
      </w:r>
      <w:bookmarkEnd w:id="0"/>
      <w:bookmarkEnd w:id="1"/>
    </w:p>
    <w:p w:rsidR="00306725" w:rsidRPr="00490C75" w:rsidRDefault="00306725" w:rsidP="00306725">
      <w:pPr>
        <w:spacing w:afterLines="50"/>
        <w:jc w:val="center"/>
        <w:rPr>
          <w:rFonts w:ascii="仿宋" w:eastAsia="仿宋" w:hAnsi="仿宋"/>
          <w:sz w:val="24"/>
          <w:szCs w:val="24"/>
        </w:rPr>
      </w:pPr>
      <w:bookmarkStart w:id="2" w:name="_Toc391137607"/>
      <w:r w:rsidRPr="00490C75">
        <w:rPr>
          <w:rFonts w:ascii="仿宋" w:eastAsia="仿宋" w:hAnsi="仿宋" w:hint="eastAsia"/>
          <w:sz w:val="24"/>
          <w:szCs w:val="24"/>
        </w:rPr>
        <w:t>（项目决策委员会上通过）</w:t>
      </w:r>
      <w:bookmarkEnd w:id="2"/>
    </w:p>
    <w:p w:rsidR="00306725" w:rsidRPr="007823F7" w:rsidRDefault="00306725" w:rsidP="00306725">
      <w:pPr>
        <w:pStyle w:val="a5"/>
        <w:numPr>
          <w:ilvl w:val="0"/>
          <w:numId w:val="2"/>
        </w:numPr>
        <w:adjustRightInd w:val="0"/>
        <w:snapToGrid w:val="0"/>
        <w:spacing w:line="360" w:lineRule="auto"/>
        <w:ind w:firstLineChars="0" w:firstLine="0"/>
        <w:jc w:val="center"/>
        <w:rPr>
          <w:rFonts w:ascii="仿宋" w:eastAsia="仿宋" w:hAnsi="仿宋"/>
          <w:b/>
          <w:sz w:val="32"/>
          <w:szCs w:val="32"/>
        </w:rPr>
      </w:pPr>
      <w:bookmarkStart w:id="3" w:name="_Toc387144323"/>
      <w:r w:rsidRPr="007823F7">
        <w:rPr>
          <w:rFonts w:ascii="仿宋" w:eastAsia="仿宋" w:hAnsi="仿宋" w:hint="eastAsia"/>
          <w:b/>
          <w:sz w:val="32"/>
          <w:szCs w:val="32"/>
        </w:rPr>
        <w:t>总</w:t>
      </w:r>
      <w:r w:rsidRPr="007823F7">
        <w:rPr>
          <w:rFonts w:ascii="仿宋" w:eastAsia="仿宋" w:hAnsi="仿宋"/>
          <w:b/>
          <w:sz w:val="32"/>
          <w:szCs w:val="32"/>
        </w:rPr>
        <w:t xml:space="preserve">  </w:t>
      </w:r>
      <w:r w:rsidRPr="007823F7">
        <w:rPr>
          <w:rFonts w:ascii="仿宋" w:eastAsia="仿宋" w:hAnsi="仿宋" w:hint="eastAsia"/>
          <w:b/>
          <w:sz w:val="32"/>
          <w:szCs w:val="32"/>
        </w:rPr>
        <w:t>则</w:t>
      </w:r>
    </w:p>
    <w:p w:rsidR="00306725" w:rsidRPr="00F06200" w:rsidRDefault="00306725" w:rsidP="00306725">
      <w:pPr>
        <w:numPr>
          <w:ilvl w:val="0"/>
          <w:numId w:val="1"/>
        </w:numPr>
        <w:adjustRightInd w:val="0"/>
        <w:snapToGrid w:val="0"/>
        <w:spacing w:line="360" w:lineRule="auto"/>
        <w:jc w:val="left"/>
        <w:rPr>
          <w:rFonts w:ascii="仿宋" w:eastAsia="仿宋" w:hAnsi="仿宋"/>
          <w:sz w:val="24"/>
          <w:szCs w:val="24"/>
        </w:rPr>
      </w:pPr>
      <w:r w:rsidRPr="00F06200">
        <w:rPr>
          <w:rFonts w:ascii="仿宋" w:eastAsia="仿宋" w:hAnsi="仿宋" w:hint="eastAsia"/>
          <w:bCs/>
          <w:sz w:val="24"/>
          <w:szCs w:val="24"/>
        </w:rPr>
        <w:t>依据。</w:t>
      </w:r>
      <w:r w:rsidRPr="00F06200">
        <w:rPr>
          <w:rFonts w:ascii="仿宋" w:eastAsia="仿宋" w:hAnsi="仿宋" w:hint="eastAsia"/>
          <w:sz w:val="24"/>
          <w:szCs w:val="24"/>
        </w:rPr>
        <w:t>鉴于万向信托有限公司（以下简称“万向信托”或“公司”）发起设立私人定制系列信托（以下简称“私人信托”），为私人信托资产配置投资操作流程，防范投资风险，保障信托各方当事人的合法权益，根据我国相关法律法规及公司内部风险控制制度，特制定本管理办法。</w:t>
      </w:r>
    </w:p>
    <w:p w:rsidR="00306725" w:rsidRPr="00F06200" w:rsidRDefault="00306725" w:rsidP="00306725">
      <w:pPr>
        <w:numPr>
          <w:ilvl w:val="0"/>
          <w:numId w:val="1"/>
        </w:numPr>
        <w:adjustRightInd w:val="0"/>
        <w:snapToGrid w:val="0"/>
        <w:spacing w:line="360" w:lineRule="auto"/>
        <w:jc w:val="left"/>
        <w:rPr>
          <w:rFonts w:ascii="仿宋" w:eastAsia="仿宋" w:hAnsi="仿宋"/>
          <w:bCs/>
          <w:sz w:val="24"/>
          <w:szCs w:val="24"/>
        </w:rPr>
      </w:pPr>
      <w:r w:rsidRPr="00F06200">
        <w:rPr>
          <w:rFonts w:ascii="仿宋" w:eastAsia="仿宋" w:hAnsi="仿宋"/>
          <w:bCs/>
          <w:sz w:val="24"/>
          <w:szCs w:val="24"/>
        </w:rPr>
        <w:t xml:space="preserve"> </w:t>
      </w:r>
      <w:r w:rsidRPr="00F06200">
        <w:rPr>
          <w:rFonts w:ascii="仿宋" w:eastAsia="仿宋" w:hAnsi="仿宋" w:hint="eastAsia"/>
          <w:bCs/>
          <w:sz w:val="24"/>
          <w:szCs w:val="24"/>
        </w:rPr>
        <w:t>目的。本管理办法旨在规范私人信托的配置决策和操作流程，在控制风险的前提下提高私人信托投资操作效率，确保信托财产的安全性和流动性，促进私人信托业务的顺利开展。</w:t>
      </w:r>
    </w:p>
    <w:p w:rsidR="00306725" w:rsidRPr="007823F7" w:rsidRDefault="00306725" w:rsidP="00306725">
      <w:pPr>
        <w:pStyle w:val="a5"/>
        <w:numPr>
          <w:ilvl w:val="0"/>
          <w:numId w:val="2"/>
        </w:numPr>
        <w:adjustRightInd w:val="0"/>
        <w:snapToGrid w:val="0"/>
        <w:spacing w:line="360" w:lineRule="auto"/>
        <w:ind w:left="0" w:firstLineChars="0" w:firstLine="0"/>
        <w:jc w:val="center"/>
        <w:rPr>
          <w:rFonts w:ascii="仿宋" w:eastAsia="仿宋" w:hAnsi="仿宋"/>
          <w:b/>
          <w:sz w:val="32"/>
          <w:szCs w:val="32"/>
        </w:rPr>
      </w:pPr>
      <w:r w:rsidRPr="007823F7">
        <w:rPr>
          <w:rFonts w:ascii="仿宋" w:eastAsia="仿宋" w:hAnsi="仿宋" w:hint="eastAsia"/>
          <w:b/>
          <w:sz w:val="32"/>
          <w:szCs w:val="32"/>
        </w:rPr>
        <w:t>机构职能</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bCs/>
          <w:sz w:val="24"/>
          <w:szCs w:val="24"/>
        </w:rPr>
        <w:t xml:space="preserve"> </w:t>
      </w:r>
      <w:r w:rsidRPr="00F06200">
        <w:rPr>
          <w:rFonts w:ascii="仿宋" w:eastAsia="仿宋" w:hAnsi="仿宋" w:hint="eastAsia"/>
          <w:bCs/>
          <w:sz w:val="24"/>
          <w:szCs w:val="24"/>
        </w:rPr>
        <w:t>机构设置</w:t>
      </w:r>
    </w:p>
    <w:p w:rsidR="00306725" w:rsidRPr="00F06200" w:rsidRDefault="00306725" w:rsidP="00306725">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项目决策委员会是私人信托资产配置和投资管理的决策机构；</w:t>
      </w:r>
    </w:p>
    <w:p w:rsidR="00306725" w:rsidRPr="00F06200" w:rsidRDefault="00306725" w:rsidP="00306725">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私人信托业务部门是私人信托资产配置和投资管理的执行机构；</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私人信托发展到一定规模以后</w:t>
      </w:r>
      <w:r w:rsidRPr="00F06200">
        <w:rPr>
          <w:rFonts w:ascii="仿宋" w:eastAsia="仿宋" w:hAnsi="仿宋"/>
          <w:sz w:val="24"/>
          <w:szCs w:val="24"/>
        </w:rPr>
        <w:t>,</w:t>
      </w:r>
      <w:r w:rsidRPr="00F06200">
        <w:rPr>
          <w:rFonts w:ascii="仿宋" w:eastAsia="仿宋" w:hAnsi="仿宋" w:hint="eastAsia"/>
          <w:sz w:val="24"/>
          <w:szCs w:val="24"/>
        </w:rPr>
        <w:t>可组建独立的投资管理部门，专司私人信托的资产配置和投资管理。</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bCs/>
          <w:sz w:val="24"/>
          <w:szCs w:val="24"/>
        </w:rPr>
        <w:t xml:space="preserve"> </w:t>
      </w:r>
      <w:r w:rsidRPr="00F06200">
        <w:rPr>
          <w:rFonts w:ascii="仿宋" w:eastAsia="仿宋" w:hAnsi="仿宋" w:hint="eastAsia"/>
          <w:bCs/>
          <w:sz w:val="24"/>
          <w:szCs w:val="24"/>
        </w:rPr>
        <w:t>机构职能</w:t>
      </w:r>
    </w:p>
    <w:p w:rsidR="00306725" w:rsidRPr="00F06200" w:rsidRDefault="00306725" w:rsidP="00306725">
      <w:pPr>
        <w:pStyle w:val="a5"/>
        <w:numPr>
          <w:ilvl w:val="0"/>
          <w:numId w:val="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项目决策委员会</w:t>
      </w:r>
    </w:p>
    <w:p w:rsidR="00306725" w:rsidRPr="00F06200" w:rsidRDefault="00306725" w:rsidP="00306725">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项目决策委员会负责审核确定私人信托的投资范围、投资比例限制；负责对私人信托投资决策进行评议和表决。</w:t>
      </w:r>
    </w:p>
    <w:p w:rsidR="00306725" w:rsidRPr="00F06200" w:rsidRDefault="00306725" w:rsidP="00306725">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项目决策委员会对私人信托部门提交的投资方案进行书面审批并做出决议。</w:t>
      </w:r>
    </w:p>
    <w:p w:rsidR="00306725" w:rsidRPr="00F06200" w:rsidRDefault="00306725" w:rsidP="00306725">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项目决策委员会以召开现场（包括视频电话方式）评审会的形式开展私人信托相关决策工作，以投票表决的方式确定评审结果并出具评审决议书，公司总经理对评审决议具有一票否决权。</w:t>
      </w:r>
    </w:p>
    <w:p w:rsidR="00306725" w:rsidRPr="00F06200" w:rsidRDefault="00306725" w:rsidP="00306725">
      <w:pPr>
        <w:pStyle w:val="a5"/>
        <w:numPr>
          <w:ilvl w:val="0"/>
          <w:numId w:val="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私人信托业务部门</w:t>
      </w:r>
    </w:p>
    <w:p w:rsidR="00306725" w:rsidRPr="00F06200" w:rsidRDefault="00306725" w:rsidP="00306725">
      <w:p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私人信托业务部门负责私人信托资产准入标准提议、了解委托人资产配置需求、投资品种的选择和投资方案拟定、起草交易指令。</w:t>
      </w:r>
    </w:p>
    <w:p w:rsidR="00306725" w:rsidRPr="007823F7" w:rsidRDefault="00306725" w:rsidP="00306725">
      <w:pPr>
        <w:pStyle w:val="a5"/>
        <w:numPr>
          <w:ilvl w:val="0"/>
          <w:numId w:val="2"/>
        </w:numPr>
        <w:adjustRightInd w:val="0"/>
        <w:snapToGrid w:val="0"/>
        <w:spacing w:line="360" w:lineRule="auto"/>
        <w:ind w:left="0" w:firstLineChars="0" w:firstLine="0"/>
        <w:jc w:val="center"/>
        <w:rPr>
          <w:rFonts w:ascii="仿宋" w:eastAsia="仿宋" w:hAnsi="仿宋"/>
          <w:b/>
          <w:sz w:val="32"/>
          <w:szCs w:val="32"/>
        </w:rPr>
      </w:pPr>
      <w:r w:rsidRPr="007823F7">
        <w:rPr>
          <w:rFonts w:ascii="仿宋" w:eastAsia="仿宋" w:hAnsi="仿宋" w:hint="eastAsia"/>
          <w:b/>
          <w:sz w:val="32"/>
          <w:szCs w:val="32"/>
        </w:rPr>
        <w:lastRenderedPageBreak/>
        <w:t>岗位职能</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岗位设置。私人信托业务部门设部门经理、信托经理、信托助理、投资经理等职能岗位。</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岗位职能</w:t>
      </w:r>
    </w:p>
    <w:p w:rsidR="00306725" w:rsidRPr="00F06200" w:rsidRDefault="00306725" w:rsidP="00306725">
      <w:pPr>
        <w:pStyle w:val="a5"/>
        <w:numPr>
          <w:ilvl w:val="0"/>
          <w:numId w:val="6"/>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部门经理负责私人信托业务部门的整体运营管理，对信托经理提请的投资决策以及相关提议流程进行审核，并在项目决策委员会的授权范围内做出投资决策；</w:t>
      </w:r>
    </w:p>
    <w:p w:rsidR="00306725" w:rsidRPr="00F06200" w:rsidRDefault="00306725" w:rsidP="00306725">
      <w:pPr>
        <w:pStyle w:val="a5"/>
        <w:numPr>
          <w:ilvl w:val="0"/>
          <w:numId w:val="6"/>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投资经理负责对货币市场、债券市场以及信托产品市场进行全方位的跟踪研究，对市场的利率趋势和产品供求趋势等做出独立的判断并形成专题研究报告，向私人信托经理提供投资建议；</w:t>
      </w:r>
    </w:p>
    <w:p w:rsidR="00306725" w:rsidRPr="00F06200" w:rsidRDefault="00306725" w:rsidP="00306725">
      <w:pPr>
        <w:pStyle w:val="a5"/>
        <w:numPr>
          <w:ilvl w:val="0"/>
          <w:numId w:val="6"/>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私人信托经理根据客户意见作出配置需求、投资原则，制定投资方案；</w:t>
      </w:r>
    </w:p>
    <w:p w:rsidR="00306725" w:rsidRPr="00F06200" w:rsidRDefault="00306725" w:rsidP="00306725">
      <w:pPr>
        <w:pStyle w:val="a5"/>
        <w:numPr>
          <w:ilvl w:val="0"/>
          <w:numId w:val="6"/>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投资经理负责起草、申报和执行交易指令。</w:t>
      </w:r>
    </w:p>
    <w:p w:rsidR="00306725" w:rsidRPr="007823F7" w:rsidRDefault="00306725" w:rsidP="00306725">
      <w:pPr>
        <w:pStyle w:val="a5"/>
        <w:numPr>
          <w:ilvl w:val="0"/>
          <w:numId w:val="2"/>
        </w:numPr>
        <w:adjustRightInd w:val="0"/>
        <w:snapToGrid w:val="0"/>
        <w:spacing w:line="360" w:lineRule="auto"/>
        <w:ind w:left="0" w:firstLineChars="0" w:firstLine="0"/>
        <w:jc w:val="center"/>
        <w:rPr>
          <w:rFonts w:ascii="仿宋" w:eastAsia="仿宋" w:hAnsi="仿宋"/>
          <w:b/>
          <w:sz w:val="32"/>
          <w:szCs w:val="32"/>
        </w:rPr>
      </w:pPr>
      <w:r w:rsidRPr="007823F7">
        <w:rPr>
          <w:rFonts w:ascii="仿宋" w:eastAsia="仿宋" w:hAnsi="仿宋" w:hint="eastAsia"/>
          <w:b/>
          <w:sz w:val="32"/>
          <w:szCs w:val="32"/>
        </w:rPr>
        <w:t>资产标的</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bCs/>
          <w:sz w:val="24"/>
          <w:szCs w:val="24"/>
        </w:rPr>
        <w:t xml:space="preserve"> </w:t>
      </w:r>
      <w:r w:rsidRPr="00F06200">
        <w:rPr>
          <w:rFonts w:ascii="仿宋" w:eastAsia="仿宋" w:hAnsi="仿宋" w:hint="eastAsia"/>
          <w:bCs/>
          <w:sz w:val="24"/>
          <w:szCs w:val="24"/>
        </w:rPr>
        <w:t>资产准入决策流程</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本管理办法中资产准入指可供私人信托投资的资产范围以及比例限制。</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私人信托业务部门为资产准入决策流程的发起机构，负责拟定私人信托资产准入方案，并由部门经理审核后提交项目决策委员会评议表决。</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项目决策委员会根据表决结果形成评审决议并由公司总经理审查批准，公司总经理具有一票否决权。</w:t>
      </w:r>
    </w:p>
    <w:p w:rsidR="00306725" w:rsidRPr="00F06200" w:rsidRDefault="00306725" w:rsidP="00306725">
      <w:pPr>
        <w:adjustRightInd w:val="0"/>
        <w:snapToGrid w:val="0"/>
        <w:spacing w:line="360" w:lineRule="auto"/>
        <w:rPr>
          <w:rFonts w:ascii="仿宋" w:eastAsia="仿宋" w:hAnsi="仿宋"/>
          <w:sz w:val="24"/>
          <w:szCs w:val="24"/>
        </w:rPr>
      </w:pPr>
    </w:p>
    <w:p w:rsidR="00306725" w:rsidRPr="00F06200" w:rsidRDefault="00306725" w:rsidP="00306725">
      <w:pPr>
        <w:adjustRightInd w:val="0"/>
        <w:snapToGrid w:val="0"/>
        <w:spacing w:line="360" w:lineRule="auto"/>
        <w:rPr>
          <w:rFonts w:ascii="仿宋" w:eastAsia="仿宋" w:hAnsi="仿宋"/>
          <w:sz w:val="24"/>
          <w:szCs w:val="24"/>
        </w:rPr>
      </w:pPr>
    </w:p>
    <w:p w:rsidR="00306725" w:rsidRPr="00F06200" w:rsidRDefault="00306725" w:rsidP="00306725">
      <w:pPr>
        <w:adjustRightInd w:val="0"/>
        <w:snapToGrid w:val="0"/>
        <w:spacing w:line="360" w:lineRule="auto"/>
        <w:rPr>
          <w:rFonts w:ascii="仿宋" w:eastAsia="仿宋" w:hAnsi="仿宋"/>
          <w:sz w:val="24"/>
          <w:szCs w:val="24"/>
        </w:rPr>
      </w:pPr>
    </w:p>
    <w:p w:rsidR="00306725" w:rsidRPr="00F06200" w:rsidRDefault="00306725" w:rsidP="00306725">
      <w:pPr>
        <w:adjustRightInd w:val="0"/>
        <w:snapToGrid w:val="0"/>
        <w:spacing w:line="360" w:lineRule="auto"/>
        <w:rPr>
          <w:rFonts w:ascii="仿宋" w:eastAsia="仿宋" w:hAnsi="仿宋"/>
          <w:sz w:val="24"/>
          <w:szCs w:val="24"/>
        </w:rPr>
      </w:pPr>
      <w:r>
        <w:rPr>
          <w:noProof/>
        </w:rPr>
        <w:drawing>
          <wp:anchor distT="0" distB="0" distL="114300" distR="114300" simplePos="0" relativeHeight="251660288" behindDoc="0" locked="0" layoutInCell="1" allowOverlap="1">
            <wp:simplePos x="0" y="0"/>
            <wp:positionH relativeFrom="column">
              <wp:posOffset>533400</wp:posOffset>
            </wp:positionH>
            <wp:positionV relativeFrom="paragraph">
              <wp:posOffset>198120</wp:posOffset>
            </wp:positionV>
            <wp:extent cx="3914140" cy="19443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914140" cy="1944370"/>
                    </a:xfrm>
                    <a:prstGeom prst="rect">
                      <a:avLst/>
                    </a:prstGeom>
                    <a:noFill/>
                  </pic:spPr>
                </pic:pic>
              </a:graphicData>
            </a:graphic>
          </wp:anchor>
        </w:drawing>
      </w:r>
    </w:p>
    <w:p w:rsidR="00306725" w:rsidRDefault="00306725" w:rsidP="00306725">
      <w:pPr>
        <w:adjustRightInd w:val="0"/>
        <w:snapToGrid w:val="0"/>
        <w:spacing w:line="360" w:lineRule="auto"/>
        <w:rPr>
          <w:rFonts w:ascii="仿宋" w:eastAsia="仿宋" w:hAnsi="仿宋"/>
          <w:bCs/>
          <w:sz w:val="24"/>
          <w:szCs w:val="24"/>
        </w:rPr>
      </w:pPr>
    </w:p>
    <w:p w:rsidR="00306725" w:rsidRDefault="00306725" w:rsidP="00306725">
      <w:pPr>
        <w:adjustRightInd w:val="0"/>
        <w:snapToGrid w:val="0"/>
        <w:spacing w:line="360" w:lineRule="auto"/>
        <w:rPr>
          <w:rFonts w:ascii="仿宋" w:eastAsia="仿宋" w:hAnsi="仿宋"/>
          <w:bCs/>
          <w:sz w:val="24"/>
          <w:szCs w:val="24"/>
        </w:rPr>
      </w:pPr>
    </w:p>
    <w:p w:rsidR="00306725" w:rsidRDefault="00306725" w:rsidP="00306725">
      <w:pPr>
        <w:adjustRightInd w:val="0"/>
        <w:snapToGrid w:val="0"/>
        <w:spacing w:line="360" w:lineRule="auto"/>
        <w:rPr>
          <w:rFonts w:ascii="仿宋" w:eastAsia="仿宋" w:hAnsi="仿宋"/>
          <w:bCs/>
          <w:sz w:val="24"/>
          <w:szCs w:val="24"/>
        </w:rPr>
      </w:pPr>
    </w:p>
    <w:p w:rsidR="00306725" w:rsidRDefault="00306725" w:rsidP="00306725">
      <w:pPr>
        <w:adjustRightInd w:val="0"/>
        <w:snapToGrid w:val="0"/>
        <w:spacing w:line="360" w:lineRule="auto"/>
        <w:rPr>
          <w:rFonts w:ascii="仿宋" w:eastAsia="仿宋" w:hAnsi="仿宋"/>
          <w:bCs/>
          <w:sz w:val="24"/>
          <w:szCs w:val="24"/>
        </w:rPr>
      </w:pPr>
    </w:p>
    <w:p w:rsidR="00306725" w:rsidRPr="00F06200" w:rsidRDefault="00306725" w:rsidP="00306725">
      <w:pPr>
        <w:adjustRightInd w:val="0"/>
        <w:snapToGrid w:val="0"/>
        <w:spacing w:line="360" w:lineRule="auto"/>
        <w:rPr>
          <w:rFonts w:ascii="仿宋" w:eastAsia="仿宋" w:hAnsi="仿宋"/>
          <w:bCs/>
          <w:sz w:val="24"/>
          <w:szCs w:val="24"/>
        </w:rPr>
      </w:pPr>
    </w:p>
    <w:p w:rsidR="00306725" w:rsidRPr="00F06200" w:rsidRDefault="00306725" w:rsidP="00306725">
      <w:pPr>
        <w:adjustRightInd w:val="0"/>
        <w:snapToGrid w:val="0"/>
        <w:spacing w:line="360" w:lineRule="auto"/>
        <w:rPr>
          <w:rFonts w:ascii="仿宋" w:eastAsia="仿宋" w:hAnsi="仿宋"/>
          <w:bCs/>
          <w:sz w:val="24"/>
          <w:szCs w:val="24"/>
        </w:rPr>
      </w:pPr>
    </w:p>
    <w:p w:rsidR="00306725" w:rsidRPr="00F06200" w:rsidRDefault="00306725" w:rsidP="00306725">
      <w:pPr>
        <w:adjustRightInd w:val="0"/>
        <w:snapToGrid w:val="0"/>
        <w:spacing w:line="360" w:lineRule="auto"/>
        <w:rPr>
          <w:rFonts w:ascii="仿宋" w:eastAsia="仿宋" w:hAnsi="仿宋"/>
          <w:bCs/>
          <w:sz w:val="24"/>
          <w:szCs w:val="24"/>
        </w:rPr>
      </w:pP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金融产品风险分级标准</w:t>
      </w:r>
    </w:p>
    <w:p w:rsidR="00306725" w:rsidRPr="00F06200" w:rsidRDefault="00306725" w:rsidP="00306725">
      <w:p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私人信托投资范围中涉及的金融产品根据流动性和风险程度不同分为四级，其中：</w:t>
      </w:r>
    </w:p>
    <w:p w:rsidR="00306725" w:rsidRPr="00F06200" w:rsidRDefault="00306725" w:rsidP="00306725">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风险分级为</w:t>
      </w:r>
      <w:r w:rsidRPr="00F06200">
        <w:rPr>
          <w:rFonts w:ascii="仿宋" w:eastAsia="仿宋" w:hAnsi="仿宋"/>
          <w:sz w:val="24"/>
          <w:szCs w:val="24"/>
        </w:rPr>
        <w:t>I</w:t>
      </w:r>
      <w:r w:rsidRPr="00F06200">
        <w:rPr>
          <w:rFonts w:ascii="仿宋" w:eastAsia="仿宋" w:hAnsi="仿宋" w:hint="eastAsia"/>
          <w:sz w:val="24"/>
          <w:szCs w:val="24"/>
        </w:rPr>
        <w:t>级的金融产品包括同业存款、期限</w:t>
      </w:r>
      <w:r w:rsidRPr="00F06200">
        <w:rPr>
          <w:rFonts w:ascii="仿宋" w:eastAsia="仿宋" w:hAnsi="仿宋"/>
          <w:sz w:val="24"/>
          <w:szCs w:val="24"/>
        </w:rPr>
        <w:t>1</w:t>
      </w:r>
      <w:r w:rsidRPr="00F06200">
        <w:rPr>
          <w:rFonts w:ascii="仿宋" w:eastAsia="仿宋" w:hAnsi="仿宋" w:hint="eastAsia"/>
          <w:sz w:val="24"/>
          <w:szCs w:val="24"/>
        </w:rPr>
        <w:t>年以内的银行存款、协议存款和大额存单、剩余期限在</w:t>
      </w:r>
      <w:r w:rsidRPr="00F06200">
        <w:rPr>
          <w:rFonts w:ascii="仿宋" w:eastAsia="仿宋" w:hAnsi="仿宋"/>
          <w:sz w:val="24"/>
          <w:szCs w:val="24"/>
        </w:rPr>
        <w:t>2</w:t>
      </w:r>
      <w:r w:rsidRPr="00F06200">
        <w:rPr>
          <w:rFonts w:ascii="仿宋" w:eastAsia="仿宋" w:hAnsi="仿宋" w:hint="eastAsia"/>
          <w:sz w:val="24"/>
          <w:szCs w:val="24"/>
        </w:rPr>
        <w:t>年以内的国债和央行票据；</w:t>
      </w:r>
    </w:p>
    <w:p w:rsidR="00306725" w:rsidRPr="00F06200" w:rsidRDefault="00306725" w:rsidP="00306725">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风险分级为</w:t>
      </w:r>
      <w:r w:rsidRPr="00F06200">
        <w:rPr>
          <w:rFonts w:ascii="仿宋" w:eastAsia="仿宋" w:hAnsi="仿宋"/>
          <w:sz w:val="24"/>
          <w:szCs w:val="24"/>
        </w:rPr>
        <w:t>II</w:t>
      </w:r>
      <w:r w:rsidRPr="00F06200">
        <w:rPr>
          <w:rFonts w:ascii="仿宋" w:eastAsia="仿宋" w:hAnsi="仿宋" w:hint="eastAsia"/>
          <w:sz w:val="24"/>
          <w:szCs w:val="24"/>
        </w:rPr>
        <w:t>级的金融产品包括货币市场基金和纯债券型基金、剩余期限在</w:t>
      </w:r>
      <w:r w:rsidRPr="00F06200">
        <w:rPr>
          <w:rFonts w:ascii="仿宋" w:eastAsia="仿宋" w:hAnsi="仿宋"/>
          <w:sz w:val="24"/>
          <w:szCs w:val="24"/>
        </w:rPr>
        <w:t>2</w:t>
      </w:r>
      <w:r w:rsidRPr="00F06200">
        <w:rPr>
          <w:rFonts w:ascii="仿宋" w:eastAsia="仿宋" w:hAnsi="仿宋" w:hint="eastAsia"/>
          <w:sz w:val="24"/>
          <w:szCs w:val="24"/>
        </w:rPr>
        <w:t>年以内的政策性金融债、商业银行债、保险公司债、证券公司债及其他金融机构债、剩余期限</w:t>
      </w:r>
      <w:r w:rsidRPr="00F06200">
        <w:rPr>
          <w:rFonts w:ascii="仿宋" w:eastAsia="仿宋" w:hAnsi="仿宋"/>
          <w:sz w:val="24"/>
          <w:szCs w:val="24"/>
        </w:rPr>
        <w:t>1</w:t>
      </w:r>
      <w:r w:rsidRPr="00F06200">
        <w:rPr>
          <w:rFonts w:ascii="仿宋" w:eastAsia="仿宋" w:hAnsi="仿宋" w:hint="eastAsia"/>
          <w:sz w:val="24"/>
          <w:szCs w:val="24"/>
        </w:rPr>
        <w:t>年以内的由国有商业银行、政策性银行、股份制银行、城市商业银行的资产包、剩余期限在</w:t>
      </w:r>
      <w:r w:rsidRPr="00F06200">
        <w:rPr>
          <w:rFonts w:ascii="仿宋" w:eastAsia="仿宋" w:hAnsi="仿宋"/>
          <w:sz w:val="24"/>
          <w:szCs w:val="24"/>
        </w:rPr>
        <w:t>1</w:t>
      </w:r>
      <w:r w:rsidRPr="00F06200">
        <w:rPr>
          <w:rFonts w:ascii="仿宋" w:eastAsia="仿宋" w:hAnsi="仿宋" w:hint="eastAsia"/>
          <w:sz w:val="24"/>
          <w:szCs w:val="24"/>
        </w:rPr>
        <w:t>年以内的银行等金融机构发行的保本型理财产品、剩余期限在</w:t>
      </w:r>
      <w:r w:rsidRPr="00F06200">
        <w:rPr>
          <w:rFonts w:ascii="仿宋" w:eastAsia="仿宋" w:hAnsi="仿宋"/>
          <w:sz w:val="24"/>
          <w:szCs w:val="24"/>
        </w:rPr>
        <w:t>3</w:t>
      </w:r>
      <w:r w:rsidRPr="00F06200">
        <w:rPr>
          <w:rFonts w:ascii="仿宋" w:eastAsia="仿宋" w:hAnsi="仿宋" w:hint="eastAsia"/>
          <w:sz w:val="24"/>
          <w:szCs w:val="24"/>
        </w:rPr>
        <w:t>年以内的公司发行的信托产品以及其他信托公司发行的流通股票收益权类信托产品；</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其中其他信托公司发行的流通股票收益权类信托产品涉及的融资主体和股票须符合公司相关规定的准入要求；</w:t>
      </w:r>
    </w:p>
    <w:p w:rsidR="00306725" w:rsidRPr="00F06200" w:rsidRDefault="00306725" w:rsidP="00306725">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风险分级为</w:t>
      </w:r>
      <w:r w:rsidRPr="00F06200">
        <w:rPr>
          <w:rFonts w:ascii="仿宋" w:eastAsia="仿宋" w:hAnsi="仿宋"/>
          <w:sz w:val="24"/>
          <w:szCs w:val="24"/>
        </w:rPr>
        <w:t>III</w:t>
      </w:r>
      <w:r w:rsidRPr="00F06200">
        <w:rPr>
          <w:rFonts w:ascii="仿宋" w:eastAsia="仿宋" w:hAnsi="仿宋" w:hint="eastAsia"/>
          <w:sz w:val="24"/>
          <w:szCs w:val="24"/>
        </w:rPr>
        <w:t>级的金融产品包括剩余期限在</w:t>
      </w:r>
      <w:r w:rsidRPr="00F06200">
        <w:rPr>
          <w:rFonts w:ascii="仿宋" w:eastAsia="仿宋" w:hAnsi="仿宋"/>
          <w:sz w:val="24"/>
          <w:szCs w:val="24"/>
        </w:rPr>
        <w:t>2</w:t>
      </w:r>
      <w:r w:rsidRPr="00F06200">
        <w:rPr>
          <w:rFonts w:ascii="仿宋" w:eastAsia="仿宋" w:hAnsi="仿宋" w:hint="eastAsia"/>
          <w:sz w:val="24"/>
          <w:szCs w:val="24"/>
        </w:rPr>
        <w:t>年以内的企业债、公司债、中期票据及短期融资券、期限</w:t>
      </w:r>
      <w:r w:rsidRPr="00F06200">
        <w:rPr>
          <w:rFonts w:ascii="仿宋" w:eastAsia="仿宋" w:hAnsi="仿宋"/>
          <w:sz w:val="24"/>
          <w:szCs w:val="24"/>
        </w:rPr>
        <w:t>1</w:t>
      </w:r>
      <w:r w:rsidRPr="00F06200">
        <w:rPr>
          <w:rFonts w:ascii="仿宋" w:eastAsia="仿宋" w:hAnsi="仿宋" w:hint="eastAsia"/>
          <w:sz w:val="24"/>
          <w:szCs w:val="24"/>
        </w:rPr>
        <w:t>年以内的债券回购（不包括正回购）；</w:t>
      </w:r>
    </w:p>
    <w:p w:rsidR="00306725" w:rsidRPr="00F06200" w:rsidRDefault="00306725" w:rsidP="00306725">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风险分级为</w:t>
      </w:r>
      <w:r w:rsidRPr="00F06200">
        <w:rPr>
          <w:rFonts w:ascii="仿宋" w:eastAsia="仿宋" w:hAnsi="仿宋"/>
          <w:sz w:val="24"/>
          <w:szCs w:val="24"/>
        </w:rPr>
        <w:t>IV</w:t>
      </w:r>
      <w:r w:rsidRPr="00F06200">
        <w:rPr>
          <w:rFonts w:ascii="仿宋" w:eastAsia="仿宋" w:hAnsi="仿宋" w:hint="eastAsia"/>
          <w:sz w:val="24"/>
          <w:szCs w:val="24"/>
        </w:rPr>
        <w:t>级的金融产品包括除以上提及信托产品种类以外的其他信托产品、实物型另类投资标的或其他投资标的。</w:t>
      </w:r>
    </w:p>
    <w:p w:rsidR="00306725" w:rsidRPr="007823F7" w:rsidRDefault="00306725" w:rsidP="00306725">
      <w:pPr>
        <w:pStyle w:val="a5"/>
        <w:numPr>
          <w:ilvl w:val="0"/>
          <w:numId w:val="2"/>
        </w:numPr>
        <w:adjustRightInd w:val="0"/>
        <w:snapToGrid w:val="0"/>
        <w:spacing w:line="360" w:lineRule="auto"/>
        <w:ind w:firstLineChars="0" w:firstLine="0"/>
        <w:jc w:val="center"/>
        <w:rPr>
          <w:rFonts w:ascii="仿宋" w:eastAsia="仿宋" w:hAnsi="仿宋"/>
          <w:b/>
          <w:sz w:val="32"/>
          <w:szCs w:val="32"/>
        </w:rPr>
      </w:pPr>
      <w:r w:rsidRPr="007823F7">
        <w:rPr>
          <w:rFonts w:ascii="仿宋" w:eastAsia="仿宋" w:hAnsi="仿宋" w:hint="eastAsia"/>
          <w:b/>
          <w:sz w:val="32"/>
          <w:szCs w:val="32"/>
        </w:rPr>
        <w:t>配置方案设计</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配置方案设计原则</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私人信托资产配置方案除应符合本办法要求外，对不同类别的私人信托，应按类别制定资产配置办法。</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单个私人信托的具体配置方案按照所属类别的资产配置办法，结合私人信托经理提供的委托人需求，由投资经理具体拟定及申报具体资产配置方案审批表。</w:t>
      </w:r>
    </w:p>
    <w:p w:rsidR="00306725" w:rsidRPr="007823F7" w:rsidRDefault="00306725" w:rsidP="00306725">
      <w:pPr>
        <w:pStyle w:val="a5"/>
        <w:numPr>
          <w:ilvl w:val="0"/>
          <w:numId w:val="2"/>
        </w:numPr>
        <w:adjustRightInd w:val="0"/>
        <w:snapToGrid w:val="0"/>
        <w:spacing w:line="360" w:lineRule="auto"/>
        <w:ind w:firstLineChars="0" w:firstLine="0"/>
        <w:jc w:val="center"/>
        <w:rPr>
          <w:rFonts w:ascii="仿宋" w:eastAsia="仿宋" w:hAnsi="仿宋"/>
          <w:b/>
          <w:sz w:val="32"/>
          <w:szCs w:val="32"/>
        </w:rPr>
      </w:pPr>
      <w:r w:rsidRPr="007823F7">
        <w:rPr>
          <w:rFonts w:ascii="仿宋" w:eastAsia="仿宋" w:hAnsi="仿宋" w:hint="eastAsia"/>
          <w:b/>
          <w:sz w:val="32"/>
          <w:szCs w:val="32"/>
        </w:rPr>
        <w:t>投资决策和操作</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投资决策原则</w:t>
      </w:r>
    </w:p>
    <w:p w:rsidR="00306725" w:rsidRPr="00F06200" w:rsidRDefault="00306725" w:rsidP="00306725">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私人信托投资必须优先确保信托财产的安全性和流动性，严格按照公司相关规定和信托文件约定审慎选择投资标的。投资的具体操作必须严格遵照项目决策委员会的决议。</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lastRenderedPageBreak/>
        <w:t>私人信托投资决策和操作流程</w:t>
      </w:r>
    </w:p>
    <w:p w:rsidR="00306725" w:rsidRPr="00F06200"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bookmarkStart w:id="4" w:name="OLE_LINK5"/>
      <w:r w:rsidRPr="00F06200">
        <w:rPr>
          <w:rFonts w:ascii="仿宋" w:eastAsia="仿宋" w:hAnsi="仿宋" w:hint="eastAsia"/>
          <w:sz w:val="24"/>
          <w:szCs w:val="24"/>
        </w:rPr>
        <w:t>私人信托业务部门进行资产配置和投资</w:t>
      </w:r>
      <w:bookmarkEnd w:id="4"/>
      <w:r w:rsidRPr="00F06200">
        <w:rPr>
          <w:rFonts w:ascii="仿宋" w:eastAsia="仿宋" w:hAnsi="仿宋" w:hint="eastAsia"/>
          <w:sz w:val="24"/>
          <w:szCs w:val="24"/>
        </w:rPr>
        <w:t>管理，应由投资经理根据特定私人信托的信托文件及信托经理提交的委托人资产配置需求制定《资产配置方案》；</w:t>
      </w:r>
    </w:p>
    <w:p w:rsidR="00306725" w:rsidRPr="00F06200"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执行具体投资操作，应由投资经理根据《资产配置方案》并结合市场实际情况，选择投资品种、拟定投资比例，拟定《交易指令》。</w:t>
      </w:r>
    </w:p>
    <w:p w:rsidR="00306725" w:rsidRPr="00F06200"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《资产配置方案》经部门经理及风控部门审核确认后，提交项目决策委员会，经项目决策委员会评审通过后方可执行。</w:t>
      </w:r>
    </w:p>
    <w:p w:rsidR="00306725" w:rsidRPr="00F06200"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《交易指令》经部门经理审核和资产管理部复核后方可执行。</w:t>
      </w:r>
    </w:p>
    <w:p w:rsidR="00306725" w:rsidRPr="00F06200"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《交易指令》确认后由投资经理交付财务部门专员办理出账手续。财务部门为私人信托配置两位专员，一位负责录入交易凭证信息，另一位负责核对及操作。两位专员分别配有中国银行万向信托户头的</w:t>
      </w:r>
      <w:r w:rsidRPr="00F06200">
        <w:rPr>
          <w:rFonts w:ascii="仿宋" w:eastAsia="仿宋" w:hAnsi="仿宋"/>
          <w:sz w:val="24"/>
          <w:szCs w:val="24"/>
        </w:rPr>
        <w:t>U</w:t>
      </w:r>
      <w:r w:rsidRPr="00F06200">
        <w:rPr>
          <w:rFonts w:ascii="仿宋" w:eastAsia="仿宋" w:hAnsi="仿宋" w:hint="eastAsia"/>
          <w:sz w:val="24"/>
          <w:szCs w:val="24"/>
        </w:rPr>
        <w:t>盾一只。</w:t>
      </w:r>
    </w:p>
    <w:p w:rsidR="00306725" w:rsidRPr="00F06200"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私人信托业务部门应根据《资产配置方案》和《交易指令》对交易进行交叉复核，复核无误后执行交易指令并做相应的投资交易记录。</w:t>
      </w:r>
    </w:p>
    <w:p w:rsidR="00306725" w:rsidRDefault="00306725" w:rsidP="00306725">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《资产配置方案》、《交易指令》和相关审批表以及投资交易记录需一式三份，投资经理和私人信托业务部门各留存一份，其余一份向风控部门报备。</w:t>
      </w:r>
    </w:p>
    <w:p w:rsidR="00306725" w:rsidRPr="00F06200" w:rsidRDefault="00306725" w:rsidP="00306725">
      <w:pPr>
        <w:pStyle w:val="a5"/>
        <w:adjustRightInd w:val="0"/>
        <w:snapToGrid w:val="0"/>
        <w:spacing w:line="360" w:lineRule="auto"/>
        <w:ind w:left="420" w:firstLineChars="0" w:firstLine="0"/>
        <w:rPr>
          <w:rFonts w:ascii="仿宋" w:eastAsia="仿宋" w:hAnsi="仿宋"/>
          <w:sz w:val="24"/>
          <w:szCs w:val="24"/>
        </w:rPr>
      </w:pPr>
      <w:r w:rsidRPr="00F06200">
        <w:rPr>
          <w:rFonts w:ascii="仿宋" w:eastAsia="仿宋" w:hAnsi="仿宋" w:hint="eastAsia"/>
          <w:sz w:val="24"/>
          <w:szCs w:val="24"/>
        </w:rPr>
        <w:t>《资产配置方案》决策和操作流程示意图如下：</w:t>
      </w:r>
    </w:p>
    <w:p w:rsidR="00306725" w:rsidRPr="00F06200" w:rsidRDefault="00306725" w:rsidP="00306725">
      <w:pPr>
        <w:adjustRightInd w:val="0"/>
        <w:snapToGrid w:val="0"/>
        <w:spacing w:line="360" w:lineRule="auto"/>
        <w:rPr>
          <w:rFonts w:ascii="仿宋" w:eastAsia="仿宋" w:hAnsi="仿宋"/>
          <w:sz w:val="24"/>
          <w:szCs w:val="24"/>
        </w:rPr>
      </w:pPr>
      <w:r w:rsidRPr="00F06200">
        <w:rPr>
          <w:rFonts w:ascii="仿宋" w:eastAsia="仿宋" w:hAnsi="仿宋"/>
          <w:sz w:val="24"/>
          <w:szCs w:val="24"/>
        </w:rPr>
        <w:object w:dxaOrig="6158" w:dyaOrig="6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164.95pt" o:ole="">
            <v:imagedata r:id="rId8" o:title=""/>
          </v:shape>
          <o:OLEObject Type="Embed" ProgID="Visio.Drawing.11" ShapeID="_x0000_i1025" DrawAspect="Content" ObjectID="_1483256593" r:id="rId9"/>
        </w:object>
      </w:r>
    </w:p>
    <w:p w:rsidR="00306725" w:rsidRDefault="00306725" w:rsidP="00306725">
      <w:pPr>
        <w:adjustRightInd w:val="0"/>
        <w:snapToGrid w:val="0"/>
        <w:spacing w:line="360" w:lineRule="auto"/>
        <w:rPr>
          <w:rFonts w:ascii="仿宋" w:eastAsia="仿宋" w:hAnsi="仿宋"/>
          <w:sz w:val="24"/>
          <w:szCs w:val="24"/>
        </w:rPr>
      </w:pPr>
    </w:p>
    <w:p w:rsidR="00306725" w:rsidRDefault="00306725" w:rsidP="00306725">
      <w:pPr>
        <w:adjustRightInd w:val="0"/>
        <w:snapToGrid w:val="0"/>
        <w:spacing w:line="360" w:lineRule="auto"/>
        <w:ind w:firstLineChars="100" w:firstLine="240"/>
        <w:rPr>
          <w:rFonts w:ascii="仿宋" w:eastAsia="仿宋" w:hAnsi="仿宋"/>
          <w:sz w:val="24"/>
          <w:szCs w:val="24"/>
        </w:rPr>
      </w:pPr>
    </w:p>
    <w:p w:rsidR="00306725" w:rsidRPr="00F06200" w:rsidRDefault="00306725" w:rsidP="00306725">
      <w:pPr>
        <w:adjustRightInd w:val="0"/>
        <w:snapToGrid w:val="0"/>
        <w:spacing w:line="360" w:lineRule="auto"/>
        <w:ind w:firstLineChars="100" w:firstLine="240"/>
        <w:rPr>
          <w:rFonts w:ascii="仿宋" w:eastAsia="仿宋" w:hAnsi="仿宋"/>
          <w:sz w:val="24"/>
          <w:szCs w:val="24"/>
        </w:rPr>
      </w:pPr>
      <w:r w:rsidRPr="00F06200">
        <w:rPr>
          <w:rFonts w:ascii="仿宋" w:eastAsia="仿宋" w:hAnsi="仿宋" w:hint="eastAsia"/>
          <w:sz w:val="24"/>
          <w:szCs w:val="24"/>
        </w:rPr>
        <w:t>《交易指令》决策和操作流程示意图如下：</w:t>
      </w:r>
    </w:p>
    <w:p w:rsidR="00306725" w:rsidRPr="00F06200" w:rsidRDefault="00306725" w:rsidP="00306725">
      <w:pPr>
        <w:adjustRightInd w:val="0"/>
        <w:snapToGrid w:val="0"/>
        <w:spacing w:line="360" w:lineRule="auto"/>
        <w:rPr>
          <w:rFonts w:ascii="仿宋" w:eastAsia="仿宋" w:hAnsi="仿宋"/>
          <w:sz w:val="24"/>
          <w:szCs w:val="24"/>
        </w:rPr>
      </w:pPr>
      <w:r w:rsidRPr="00F06200">
        <w:rPr>
          <w:rFonts w:ascii="仿宋" w:eastAsia="仿宋" w:hAnsi="仿宋"/>
          <w:sz w:val="24"/>
          <w:szCs w:val="24"/>
        </w:rPr>
        <w:object w:dxaOrig="9388" w:dyaOrig="5433">
          <v:shape id="_x0000_i1026" type="#_x0000_t75" style="width:446.6pt;height:182.3pt" o:ole="">
            <v:imagedata r:id="rId10" o:title=""/>
          </v:shape>
          <o:OLEObject Type="Embed" ProgID="Visio.Drawing.11" ShapeID="_x0000_i1026" DrawAspect="Content" ObjectID="_1483256594" r:id="rId11"/>
        </w:object>
      </w:r>
    </w:p>
    <w:p w:rsidR="00306725" w:rsidRPr="007823F7" w:rsidRDefault="00306725" w:rsidP="00306725">
      <w:pPr>
        <w:pStyle w:val="a5"/>
        <w:numPr>
          <w:ilvl w:val="0"/>
          <w:numId w:val="2"/>
        </w:numPr>
        <w:adjustRightInd w:val="0"/>
        <w:snapToGrid w:val="0"/>
        <w:spacing w:line="360" w:lineRule="auto"/>
        <w:ind w:firstLineChars="0" w:firstLine="0"/>
        <w:jc w:val="center"/>
        <w:rPr>
          <w:rFonts w:ascii="仿宋" w:eastAsia="仿宋" w:hAnsi="仿宋"/>
          <w:b/>
          <w:sz w:val="32"/>
          <w:szCs w:val="32"/>
        </w:rPr>
      </w:pPr>
      <w:r w:rsidRPr="007823F7">
        <w:rPr>
          <w:rFonts w:ascii="仿宋" w:eastAsia="仿宋" w:hAnsi="仿宋" w:hint="eastAsia"/>
          <w:b/>
          <w:sz w:val="32"/>
          <w:szCs w:val="32"/>
        </w:rPr>
        <w:t>附则</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本管理办法由私人信托业务部门制定，经公司项目决策委员会评审通过后实施，并向风控部门和资产管理部门备案。</w:t>
      </w:r>
    </w:p>
    <w:p w:rsidR="00306725" w:rsidRPr="00F06200" w:rsidRDefault="00306725" w:rsidP="00306725">
      <w:pPr>
        <w:numPr>
          <w:ilvl w:val="0"/>
          <w:numId w:val="1"/>
        </w:numPr>
        <w:adjustRightInd w:val="0"/>
        <w:snapToGrid w:val="0"/>
        <w:spacing w:line="360" w:lineRule="auto"/>
        <w:rPr>
          <w:rFonts w:ascii="仿宋" w:eastAsia="仿宋" w:hAnsi="仿宋"/>
          <w:bCs/>
          <w:sz w:val="24"/>
          <w:szCs w:val="24"/>
        </w:rPr>
      </w:pPr>
      <w:r w:rsidRPr="00F06200">
        <w:rPr>
          <w:rFonts w:ascii="仿宋" w:eastAsia="仿宋" w:hAnsi="仿宋" w:hint="eastAsia"/>
          <w:bCs/>
          <w:sz w:val="24"/>
          <w:szCs w:val="24"/>
        </w:rPr>
        <w:t>本管理办法由私人信托业务部门负责解释和维护管理。</w:t>
      </w:r>
    </w:p>
    <w:p w:rsidR="00306725" w:rsidRPr="00F06200" w:rsidRDefault="00306725" w:rsidP="00306725">
      <w:pPr>
        <w:widowControl/>
        <w:spacing w:line="360" w:lineRule="auto"/>
        <w:jc w:val="left"/>
        <w:rPr>
          <w:rFonts w:ascii="仿宋" w:eastAsia="仿宋" w:hAnsi="仿宋"/>
          <w:b/>
          <w:szCs w:val="21"/>
        </w:rPr>
      </w:pPr>
      <w:r w:rsidRPr="00F06200">
        <w:rPr>
          <w:rFonts w:ascii="仿宋" w:eastAsia="仿宋" w:hAnsi="仿宋"/>
          <w:b/>
          <w:szCs w:val="21"/>
        </w:rPr>
        <w:br w:type="page"/>
      </w:r>
    </w:p>
    <w:p w:rsidR="00306725" w:rsidRPr="007823F7" w:rsidRDefault="00306725" w:rsidP="00306725">
      <w:pPr>
        <w:adjustRightInd w:val="0"/>
        <w:snapToGrid w:val="0"/>
        <w:spacing w:line="360" w:lineRule="auto"/>
        <w:rPr>
          <w:rFonts w:ascii="仿宋" w:eastAsia="仿宋" w:hAnsi="仿宋"/>
          <w:b/>
          <w:sz w:val="30"/>
          <w:szCs w:val="30"/>
        </w:rPr>
      </w:pPr>
      <w:r w:rsidRPr="007823F7">
        <w:rPr>
          <w:rFonts w:ascii="仿宋" w:eastAsia="仿宋" w:hAnsi="仿宋" w:hint="eastAsia"/>
          <w:b/>
          <w:sz w:val="30"/>
          <w:szCs w:val="30"/>
        </w:rPr>
        <w:lastRenderedPageBreak/>
        <w:t>附件一：万向信托</w:t>
      </w:r>
      <w:r w:rsidRPr="007823F7">
        <w:rPr>
          <w:rFonts w:ascii="仿宋" w:eastAsia="仿宋" w:hAnsi="仿宋"/>
          <w:b/>
          <w:sz w:val="30"/>
          <w:szCs w:val="30"/>
        </w:rPr>
        <w:t>-</w:t>
      </w:r>
      <w:r w:rsidRPr="007823F7">
        <w:rPr>
          <w:rFonts w:ascii="仿宋" w:eastAsia="仿宋" w:hAnsi="仿宋" w:hint="eastAsia"/>
          <w:b/>
          <w:sz w:val="30"/>
          <w:szCs w:val="30"/>
        </w:rPr>
        <w:t>私人信托资产配置方案审批表</w:t>
      </w:r>
    </w:p>
    <w:p w:rsidR="00306725" w:rsidRPr="00F06200" w:rsidRDefault="00306725" w:rsidP="00306725">
      <w:pPr>
        <w:adjustRightInd w:val="0"/>
        <w:snapToGrid w:val="0"/>
        <w:spacing w:line="360" w:lineRule="auto"/>
        <w:rPr>
          <w:rFonts w:ascii="仿宋" w:eastAsia="仿宋" w:hAnsi="仿宋"/>
          <w:szCs w:val="21"/>
        </w:rPr>
      </w:pPr>
      <w:r w:rsidRPr="00F06200">
        <w:rPr>
          <w:rFonts w:ascii="仿宋" w:eastAsia="仿宋" w:hAnsi="仿宋" w:hint="eastAsia"/>
          <w:szCs w:val="21"/>
        </w:rPr>
        <w:t>信托名称：</w:t>
      </w:r>
      <w:r w:rsidRPr="00F06200">
        <w:rPr>
          <w:rFonts w:ascii="仿宋" w:eastAsia="仿宋" w:hAnsi="仿宋"/>
          <w:szCs w:val="21"/>
        </w:rPr>
        <w:t xml:space="preserve">               </w:t>
      </w:r>
      <w:r w:rsidRPr="00F06200">
        <w:rPr>
          <w:rFonts w:ascii="仿宋" w:eastAsia="仿宋" w:hAnsi="仿宋" w:hint="eastAsia"/>
          <w:szCs w:val="21"/>
        </w:rPr>
        <w:t>信托合同编号：</w:t>
      </w:r>
      <w:r w:rsidRPr="00F06200">
        <w:rPr>
          <w:rFonts w:ascii="仿宋" w:eastAsia="仿宋" w:hAnsi="仿宋"/>
          <w:szCs w:val="21"/>
        </w:rPr>
        <w:t xml:space="preserve">           </w:t>
      </w:r>
      <w:r w:rsidRPr="00F06200">
        <w:rPr>
          <w:rFonts w:ascii="仿宋" w:eastAsia="仿宋" w:hAnsi="仿宋" w:hint="eastAsia"/>
          <w:szCs w:val="21"/>
        </w:rPr>
        <w:t>方案编号：</w:t>
      </w:r>
      <w:r w:rsidRPr="00F06200">
        <w:rPr>
          <w:rFonts w:ascii="仿宋" w:eastAsia="仿宋" w:hAnsi="仿宋"/>
          <w:szCs w:val="21"/>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8"/>
        <w:gridCol w:w="390"/>
        <w:gridCol w:w="3288"/>
        <w:gridCol w:w="3426"/>
      </w:tblGrid>
      <w:tr w:rsidR="00306725" w:rsidRPr="00F06200" w:rsidTr="00913D87">
        <w:trPr>
          <w:trHeight w:val="620"/>
        </w:trPr>
        <w:tc>
          <w:tcPr>
            <w:tcW w:w="832"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产品类型</w:t>
            </w:r>
          </w:p>
        </w:tc>
        <w:tc>
          <w:tcPr>
            <w:tcW w:w="4168" w:type="pct"/>
            <w:gridSpan w:val="3"/>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存款□</w:t>
            </w:r>
            <w:r w:rsidRPr="00F06200">
              <w:rPr>
                <w:rFonts w:ascii="仿宋" w:eastAsia="仿宋" w:hAnsi="仿宋"/>
                <w:szCs w:val="21"/>
              </w:rPr>
              <w:t xml:space="preserve">     </w:t>
            </w:r>
            <w:r w:rsidRPr="00F06200">
              <w:rPr>
                <w:rFonts w:ascii="仿宋" w:eastAsia="仿宋" w:hAnsi="仿宋" w:hint="eastAsia"/>
                <w:szCs w:val="21"/>
              </w:rPr>
              <w:t>货币基金□</w:t>
            </w:r>
            <w:r w:rsidRPr="00F06200">
              <w:rPr>
                <w:rFonts w:ascii="仿宋" w:eastAsia="仿宋" w:hAnsi="仿宋"/>
                <w:szCs w:val="21"/>
              </w:rPr>
              <w:t xml:space="preserve">     </w:t>
            </w:r>
            <w:r w:rsidRPr="00F06200">
              <w:rPr>
                <w:rFonts w:ascii="仿宋" w:eastAsia="仿宋" w:hAnsi="仿宋" w:hint="eastAsia"/>
                <w:szCs w:val="21"/>
              </w:rPr>
              <w:t>短端债券□</w:t>
            </w:r>
            <w:r w:rsidRPr="00F06200">
              <w:rPr>
                <w:rFonts w:ascii="仿宋" w:eastAsia="仿宋" w:hAnsi="仿宋"/>
                <w:szCs w:val="21"/>
              </w:rPr>
              <w:t xml:space="preserve">   </w:t>
            </w:r>
            <w:r w:rsidRPr="00F06200">
              <w:rPr>
                <w:rFonts w:ascii="仿宋" w:eastAsia="仿宋" w:hAnsi="仿宋" w:hint="eastAsia"/>
                <w:szCs w:val="21"/>
              </w:rPr>
              <w:t>银行理财产品□</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信托产品□</w:t>
            </w:r>
            <w:r w:rsidRPr="00F06200">
              <w:rPr>
                <w:rFonts w:ascii="仿宋" w:eastAsia="仿宋" w:hAnsi="仿宋"/>
                <w:szCs w:val="21"/>
              </w:rPr>
              <w:t xml:space="preserve">     </w:t>
            </w:r>
            <w:r w:rsidRPr="00F06200">
              <w:rPr>
                <w:rFonts w:ascii="仿宋" w:eastAsia="仿宋" w:hAnsi="仿宋" w:hint="eastAsia"/>
                <w:szCs w:val="21"/>
              </w:rPr>
              <w:t>长期国债□</w:t>
            </w:r>
            <w:r w:rsidRPr="00F06200">
              <w:rPr>
                <w:rFonts w:ascii="仿宋" w:eastAsia="仿宋" w:hAnsi="仿宋"/>
                <w:szCs w:val="21"/>
              </w:rPr>
              <w:t xml:space="preserve">   </w:t>
            </w:r>
            <w:r w:rsidRPr="00F06200">
              <w:rPr>
                <w:rFonts w:ascii="仿宋" w:eastAsia="仿宋" w:hAnsi="仿宋" w:hint="eastAsia"/>
                <w:szCs w:val="21"/>
              </w:rPr>
              <w:t>其他</w:t>
            </w:r>
            <w:r w:rsidRPr="00F06200">
              <w:rPr>
                <w:rFonts w:ascii="仿宋" w:eastAsia="仿宋" w:hAnsi="仿宋"/>
                <w:szCs w:val="21"/>
              </w:rPr>
              <w:t>_______________</w:t>
            </w:r>
            <w:r w:rsidRPr="00F06200">
              <w:rPr>
                <w:rFonts w:ascii="仿宋" w:eastAsia="仿宋" w:hAnsi="仿宋" w:hint="eastAsia"/>
                <w:szCs w:val="21"/>
              </w:rPr>
              <w:t>□</w:t>
            </w:r>
          </w:p>
        </w:tc>
      </w:tr>
      <w:tr w:rsidR="00306725" w:rsidRPr="00F06200" w:rsidTr="00913D87">
        <w:trPr>
          <w:trHeight w:val="3135"/>
        </w:trPr>
        <w:tc>
          <w:tcPr>
            <w:tcW w:w="832"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配置方案</w:t>
            </w:r>
          </w:p>
        </w:tc>
        <w:tc>
          <w:tcPr>
            <w:tcW w:w="4168" w:type="pct"/>
            <w:gridSpan w:val="3"/>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包括但不限于</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szCs w:val="21"/>
              </w:rPr>
              <w:t>1.</w:t>
            </w:r>
            <w:r w:rsidRPr="00F06200">
              <w:rPr>
                <w:rFonts w:ascii="仿宋" w:eastAsia="仿宋" w:hAnsi="仿宋" w:hint="eastAsia"/>
                <w:szCs w:val="21"/>
              </w:rPr>
              <w:t>负债现金流分析，现值、久期、凸性等指标报告。</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szCs w:val="21"/>
              </w:rPr>
              <w:t>2.</w:t>
            </w:r>
            <w:r w:rsidRPr="00F06200">
              <w:rPr>
                <w:rFonts w:ascii="仿宋" w:eastAsia="仿宋" w:hAnsi="仿宋" w:hint="eastAsia"/>
                <w:szCs w:val="21"/>
              </w:rPr>
              <w:t>资产池介绍，包括各资产比例、现值、久期、凸性等指标。</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szCs w:val="21"/>
              </w:rPr>
              <w:t>3.</w:t>
            </w:r>
            <w:r w:rsidRPr="00F06200">
              <w:rPr>
                <w:rFonts w:ascii="仿宋" w:eastAsia="仿宋" w:hAnsi="仿宋" w:hint="eastAsia"/>
                <w:szCs w:val="21"/>
              </w:rPr>
              <w:t>各产品交易对手简介、金融产品期限、信用评级（若有）、票面金额（若有）、产品发行方、产品交易结构（若有）、增信措施（若有）、资金投向（若有）等。</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szCs w:val="21"/>
              </w:rPr>
              <w:t>4.</w:t>
            </w:r>
            <w:r w:rsidRPr="00F06200">
              <w:rPr>
                <w:rFonts w:ascii="仿宋" w:eastAsia="仿宋" w:hAnsi="仿宋" w:hint="eastAsia"/>
                <w:szCs w:val="21"/>
              </w:rPr>
              <w:t>动态监控计划</w:t>
            </w:r>
          </w:p>
        </w:tc>
      </w:tr>
      <w:tr w:rsidR="00306725" w:rsidRPr="00F06200" w:rsidTr="00913D87">
        <w:trPr>
          <w:trHeight w:val="619"/>
        </w:trPr>
        <w:tc>
          <w:tcPr>
            <w:tcW w:w="832"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交易总金额</w:t>
            </w:r>
          </w:p>
        </w:tc>
        <w:tc>
          <w:tcPr>
            <w:tcW w:w="2158" w:type="pct"/>
            <w:gridSpan w:val="2"/>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人民币</w:t>
            </w:r>
            <w:r w:rsidRPr="00F06200">
              <w:rPr>
                <w:rFonts w:ascii="仿宋" w:eastAsia="仿宋" w:hAnsi="仿宋"/>
                <w:szCs w:val="21"/>
              </w:rPr>
              <w:t>(</w:t>
            </w:r>
            <w:r w:rsidRPr="00F06200">
              <w:rPr>
                <w:rFonts w:ascii="仿宋" w:eastAsia="仿宋" w:hAnsi="仿宋" w:hint="eastAsia"/>
                <w:szCs w:val="21"/>
              </w:rPr>
              <w:t>大写</w:t>
            </w:r>
            <w:r w:rsidRPr="00F06200">
              <w:rPr>
                <w:rFonts w:ascii="仿宋" w:eastAsia="仿宋" w:hAnsi="仿宋"/>
                <w:szCs w:val="21"/>
              </w:rPr>
              <w:t>)</w:t>
            </w:r>
          </w:p>
        </w:tc>
        <w:tc>
          <w:tcPr>
            <w:tcW w:w="2010" w:type="pct"/>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人民币</w:t>
            </w:r>
            <w:r w:rsidRPr="00F06200">
              <w:rPr>
                <w:rFonts w:ascii="仿宋" w:eastAsia="仿宋" w:hAnsi="仿宋"/>
                <w:szCs w:val="21"/>
              </w:rPr>
              <w:t>(</w:t>
            </w:r>
            <w:r w:rsidRPr="00F06200">
              <w:rPr>
                <w:rFonts w:ascii="仿宋" w:eastAsia="仿宋" w:hAnsi="仿宋" w:hint="eastAsia"/>
                <w:szCs w:val="21"/>
              </w:rPr>
              <w:t>小写</w:t>
            </w:r>
            <w:r w:rsidRPr="00F06200">
              <w:rPr>
                <w:rFonts w:ascii="仿宋" w:eastAsia="仿宋" w:hAnsi="仿宋"/>
                <w:szCs w:val="21"/>
              </w:rPr>
              <w:t>)</w:t>
            </w:r>
            <w:r w:rsidRPr="00F06200">
              <w:rPr>
                <w:rFonts w:ascii="仿宋" w:eastAsia="仿宋" w:hAnsi="仿宋" w:hint="eastAsia"/>
                <w:szCs w:val="21"/>
              </w:rPr>
              <w:t>￥</w:t>
            </w:r>
          </w:p>
        </w:tc>
      </w:tr>
      <w:tr w:rsidR="00306725" w:rsidRPr="00F06200" w:rsidTr="00913D87">
        <w:trPr>
          <w:trHeight w:val="505"/>
        </w:trPr>
        <w:tc>
          <w:tcPr>
            <w:tcW w:w="832"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期望交易时间</w:t>
            </w:r>
          </w:p>
        </w:tc>
        <w:tc>
          <w:tcPr>
            <w:tcW w:w="4168" w:type="pct"/>
            <w:gridSpan w:val="3"/>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年</w:t>
            </w:r>
            <w:r w:rsidRPr="00F06200">
              <w:rPr>
                <w:rFonts w:ascii="仿宋" w:eastAsia="仿宋" w:hAnsi="仿宋"/>
                <w:szCs w:val="21"/>
              </w:rPr>
              <w:t xml:space="preserve">  </w:t>
            </w:r>
            <w:r w:rsidRPr="00F06200">
              <w:rPr>
                <w:rFonts w:ascii="仿宋" w:eastAsia="仿宋" w:hAnsi="仿宋" w:hint="eastAsia"/>
                <w:szCs w:val="21"/>
              </w:rPr>
              <w:t>月</w:t>
            </w:r>
            <w:r w:rsidRPr="00F06200">
              <w:rPr>
                <w:rFonts w:ascii="仿宋" w:eastAsia="仿宋" w:hAnsi="仿宋"/>
                <w:szCs w:val="21"/>
              </w:rPr>
              <w:t xml:space="preserve">  </w:t>
            </w:r>
            <w:r w:rsidRPr="00F06200">
              <w:rPr>
                <w:rFonts w:ascii="仿宋" w:eastAsia="仿宋" w:hAnsi="仿宋" w:hint="eastAsia"/>
                <w:szCs w:val="21"/>
              </w:rPr>
              <w:t>日</w:t>
            </w:r>
            <w:r w:rsidRPr="00F06200">
              <w:rPr>
                <w:rFonts w:ascii="仿宋" w:eastAsia="仿宋" w:hAnsi="仿宋"/>
                <w:szCs w:val="21"/>
              </w:rPr>
              <w:t xml:space="preserve"> </w:t>
            </w:r>
            <w:r w:rsidRPr="00F06200">
              <w:rPr>
                <w:rFonts w:ascii="仿宋" w:eastAsia="仿宋" w:hAnsi="仿宋" w:hint="eastAsia"/>
                <w:szCs w:val="21"/>
              </w:rPr>
              <w:t>至</w:t>
            </w:r>
            <w:r w:rsidRPr="00F06200">
              <w:rPr>
                <w:rFonts w:ascii="仿宋" w:eastAsia="仿宋" w:hAnsi="仿宋"/>
                <w:szCs w:val="21"/>
              </w:rPr>
              <w:t xml:space="preserve">     </w:t>
            </w:r>
            <w:r w:rsidRPr="00F06200">
              <w:rPr>
                <w:rFonts w:ascii="仿宋" w:eastAsia="仿宋" w:hAnsi="仿宋" w:hint="eastAsia"/>
                <w:szCs w:val="21"/>
              </w:rPr>
              <w:t>年</w:t>
            </w:r>
            <w:r w:rsidRPr="00F06200">
              <w:rPr>
                <w:rFonts w:ascii="仿宋" w:eastAsia="仿宋" w:hAnsi="仿宋"/>
                <w:szCs w:val="21"/>
              </w:rPr>
              <w:t xml:space="preserve">  </w:t>
            </w:r>
            <w:r w:rsidRPr="00F06200">
              <w:rPr>
                <w:rFonts w:ascii="仿宋" w:eastAsia="仿宋" w:hAnsi="仿宋" w:hint="eastAsia"/>
                <w:szCs w:val="21"/>
              </w:rPr>
              <w:t>月</w:t>
            </w:r>
            <w:r w:rsidRPr="00F06200">
              <w:rPr>
                <w:rFonts w:ascii="仿宋" w:eastAsia="仿宋" w:hAnsi="仿宋"/>
                <w:szCs w:val="21"/>
              </w:rPr>
              <w:t xml:space="preserve">  </w:t>
            </w:r>
            <w:r w:rsidRPr="00F06200">
              <w:rPr>
                <w:rFonts w:ascii="仿宋" w:eastAsia="仿宋" w:hAnsi="仿宋" w:hint="eastAsia"/>
                <w:szCs w:val="21"/>
              </w:rPr>
              <w:t>日</w:t>
            </w:r>
          </w:p>
        </w:tc>
      </w:tr>
      <w:tr w:rsidR="00306725" w:rsidRPr="00F06200" w:rsidTr="00913D87">
        <w:trPr>
          <w:trHeight w:val="1038"/>
        </w:trPr>
        <w:tc>
          <w:tcPr>
            <w:tcW w:w="1061" w:type="pct"/>
            <w:gridSpan w:val="2"/>
            <w:vAlign w:val="center"/>
          </w:tcPr>
          <w:p w:rsidR="00306725" w:rsidRPr="00F06200" w:rsidRDefault="00306725" w:rsidP="00913D87">
            <w:pPr>
              <w:adjustRightInd w:val="0"/>
              <w:snapToGrid w:val="0"/>
              <w:spacing w:line="360" w:lineRule="auto"/>
              <w:jc w:val="center"/>
              <w:rPr>
                <w:rFonts w:ascii="仿宋" w:eastAsia="仿宋" w:hAnsi="仿宋"/>
                <w:szCs w:val="21"/>
              </w:rPr>
            </w:pPr>
            <w:r w:rsidRPr="00F06200">
              <w:rPr>
                <w:rFonts w:ascii="仿宋" w:eastAsia="仿宋" w:hAnsi="仿宋" w:hint="eastAsia"/>
                <w:szCs w:val="21"/>
              </w:rPr>
              <w:t>私人信托业务部门经理</w:t>
            </w:r>
          </w:p>
        </w:tc>
        <w:tc>
          <w:tcPr>
            <w:tcW w:w="3939" w:type="pct"/>
            <w:gridSpan w:val="2"/>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意见：</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签字：</w:t>
            </w:r>
            <w:r w:rsidRPr="00F06200">
              <w:rPr>
                <w:rFonts w:ascii="仿宋" w:eastAsia="仿宋" w:hAnsi="仿宋"/>
                <w:szCs w:val="21"/>
              </w:rPr>
              <w:t xml:space="preserve">             </w:t>
            </w:r>
            <w:r w:rsidRPr="00F06200">
              <w:rPr>
                <w:rFonts w:ascii="仿宋" w:eastAsia="仿宋" w:hAnsi="仿宋" w:hint="eastAsia"/>
                <w:szCs w:val="21"/>
              </w:rPr>
              <w:t>日期：</w:t>
            </w:r>
          </w:p>
        </w:tc>
      </w:tr>
      <w:tr w:rsidR="00306725" w:rsidRPr="00F06200" w:rsidTr="00913D87">
        <w:trPr>
          <w:trHeight w:val="970"/>
        </w:trPr>
        <w:tc>
          <w:tcPr>
            <w:tcW w:w="1061" w:type="pct"/>
            <w:gridSpan w:val="2"/>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风控部门</w:t>
            </w:r>
          </w:p>
        </w:tc>
        <w:tc>
          <w:tcPr>
            <w:tcW w:w="3939" w:type="pct"/>
            <w:gridSpan w:val="2"/>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意见：</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签字：</w:t>
            </w:r>
            <w:r w:rsidRPr="00F06200">
              <w:rPr>
                <w:rFonts w:ascii="仿宋" w:eastAsia="仿宋" w:hAnsi="仿宋"/>
                <w:szCs w:val="21"/>
              </w:rPr>
              <w:t xml:space="preserve">             </w:t>
            </w:r>
            <w:r w:rsidRPr="00F06200">
              <w:rPr>
                <w:rFonts w:ascii="仿宋" w:eastAsia="仿宋" w:hAnsi="仿宋" w:hint="eastAsia"/>
                <w:szCs w:val="21"/>
              </w:rPr>
              <w:t>日期：</w:t>
            </w:r>
          </w:p>
        </w:tc>
      </w:tr>
      <w:tr w:rsidR="00306725" w:rsidRPr="00F06200" w:rsidTr="00913D87">
        <w:trPr>
          <w:trHeight w:val="987"/>
        </w:trPr>
        <w:tc>
          <w:tcPr>
            <w:tcW w:w="1061" w:type="pct"/>
            <w:gridSpan w:val="2"/>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项目决策</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委员会</w:t>
            </w:r>
          </w:p>
        </w:tc>
        <w:tc>
          <w:tcPr>
            <w:tcW w:w="3939" w:type="pct"/>
            <w:gridSpan w:val="2"/>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意见：</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签字：</w:t>
            </w:r>
            <w:r w:rsidRPr="00F06200">
              <w:rPr>
                <w:rFonts w:ascii="仿宋" w:eastAsia="仿宋" w:hAnsi="仿宋"/>
                <w:szCs w:val="21"/>
              </w:rPr>
              <w:t xml:space="preserve">             </w:t>
            </w:r>
            <w:r w:rsidRPr="00F06200">
              <w:rPr>
                <w:rFonts w:ascii="仿宋" w:eastAsia="仿宋" w:hAnsi="仿宋" w:hint="eastAsia"/>
                <w:szCs w:val="21"/>
              </w:rPr>
              <w:t>日期：</w:t>
            </w:r>
          </w:p>
        </w:tc>
      </w:tr>
      <w:tr w:rsidR="00306725" w:rsidRPr="00F06200" w:rsidTr="00913D87">
        <w:trPr>
          <w:trHeight w:val="640"/>
        </w:trPr>
        <w:tc>
          <w:tcPr>
            <w:tcW w:w="1061" w:type="pct"/>
            <w:gridSpan w:val="2"/>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投资经理</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签收</w:t>
            </w:r>
          </w:p>
        </w:tc>
        <w:tc>
          <w:tcPr>
            <w:tcW w:w="3939" w:type="pct"/>
            <w:gridSpan w:val="2"/>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签字：</w:t>
            </w:r>
            <w:r w:rsidRPr="00F06200">
              <w:rPr>
                <w:rFonts w:ascii="仿宋" w:eastAsia="仿宋" w:hAnsi="仿宋"/>
                <w:szCs w:val="21"/>
              </w:rPr>
              <w:t xml:space="preserve">             </w:t>
            </w:r>
            <w:r w:rsidRPr="00F06200">
              <w:rPr>
                <w:rFonts w:ascii="仿宋" w:eastAsia="仿宋" w:hAnsi="仿宋" w:hint="eastAsia"/>
                <w:szCs w:val="21"/>
              </w:rPr>
              <w:t>日期：</w:t>
            </w:r>
          </w:p>
        </w:tc>
      </w:tr>
    </w:tbl>
    <w:p w:rsidR="00306725" w:rsidRDefault="00306725" w:rsidP="00306725">
      <w:pPr>
        <w:adjustRightInd w:val="0"/>
        <w:snapToGrid w:val="0"/>
        <w:spacing w:line="360" w:lineRule="auto"/>
        <w:rPr>
          <w:rFonts w:ascii="仿宋" w:eastAsia="仿宋" w:hAnsi="仿宋"/>
          <w:szCs w:val="21"/>
        </w:rPr>
      </w:pPr>
      <w:r w:rsidRPr="00F06200">
        <w:rPr>
          <w:rFonts w:ascii="仿宋" w:eastAsia="仿宋" w:hAnsi="仿宋" w:hint="eastAsia"/>
          <w:szCs w:val="21"/>
        </w:rPr>
        <w:t>本投资方案一式三份，其中投资经理员一份、私人信托业务部门一份、风控部报备一份。</w:t>
      </w:r>
      <w:r w:rsidRPr="00F06200">
        <w:rPr>
          <w:rFonts w:ascii="仿宋" w:eastAsia="仿宋" w:hAnsi="仿宋"/>
          <w:szCs w:val="21"/>
        </w:rPr>
        <w:br w:type="page"/>
      </w:r>
    </w:p>
    <w:p w:rsidR="00306725" w:rsidRPr="00F06200" w:rsidRDefault="00306725" w:rsidP="00306725">
      <w:pPr>
        <w:adjustRightInd w:val="0"/>
        <w:snapToGrid w:val="0"/>
        <w:spacing w:line="360" w:lineRule="auto"/>
        <w:rPr>
          <w:rFonts w:ascii="仿宋" w:eastAsia="仿宋" w:hAnsi="仿宋"/>
          <w:b/>
          <w:szCs w:val="21"/>
        </w:rPr>
      </w:pPr>
      <w:r w:rsidRPr="007823F7">
        <w:rPr>
          <w:rFonts w:ascii="仿宋" w:eastAsia="仿宋" w:hAnsi="仿宋" w:hint="eastAsia"/>
          <w:b/>
          <w:sz w:val="30"/>
          <w:szCs w:val="30"/>
        </w:rPr>
        <w:lastRenderedPageBreak/>
        <w:t>附件二：万向信托</w:t>
      </w:r>
      <w:r w:rsidRPr="007823F7">
        <w:rPr>
          <w:rFonts w:ascii="仿宋" w:eastAsia="仿宋" w:hAnsi="仿宋"/>
          <w:b/>
          <w:sz w:val="30"/>
          <w:szCs w:val="30"/>
        </w:rPr>
        <w:t>-</w:t>
      </w:r>
      <w:r w:rsidRPr="007823F7">
        <w:rPr>
          <w:rFonts w:ascii="仿宋" w:eastAsia="仿宋" w:hAnsi="仿宋" w:hint="eastAsia"/>
          <w:b/>
          <w:sz w:val="30"/>
          <w:szCs w:val="30"/>
        </w:rPr>
        <w:t>私人信托交易指令</w:t>
      </w:r>
    </w:p>
    <w:p w:rsidR="00306725" w:rsidRPr="00F06200" w:rsidRDefault="00306725" w:rsidP="00306725">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信托名称：</w:t>
      </w:r>
      <w:r w:rsidRPr="00F06200">
        <w:rPr>
          <w:rFonts w:ascii="仿宋" w:eastAsia="仿宋" w:hAnsi="仿宋"/>
          <w:szCs w:val="21"/>
        </w:rPr>
        <w:t xml:space="preserve">               </w:t>
      </w:r>
      <w:r w:rsidRPr="00F06200">
        <w:rPr>
          <w:rFonts w:ascii="仿宋" w:eastAsia="仿宋" w:hAnsi="仿宋" w:hint="eastAsia"/>
          <w:szCs w:val="21"/>
        </w:rPr>
        <w:t>信托合同编号：</w:t>
      </w:r>
      <w:r w:rsidRPr="00F06200">
        <w:rPr>
          <w:rFonts w:ascii="仿宋" w:eastAsia="仿宋" w:hAnsi="仿宋"/>
          <w:szCs w:val="21"/>
        </w:rPr>
        <w:t xml:space="preserve">            </w:t>
      </w:r>
      <w:r w:rsidRPr="00F06200">
        <w:rPr>
          <w:rFonts w:ascii="仿宋" w:eastAsia="仿宋" w:hAnsi="仿宋" w:hint="eastAsia"/>
          <w:szCs w:val="21"/>
        </w:rPr>
        <w:t>指令编号：</w:t>
      </w:r>
      <w:r w:rsidRPr="00F06200">
        <w:rPr>
          <w:rFonts w:ascii="仿宋" w:eastAsia="仿宋" w:hAnsi="仿宋"/>
          <w:szCs w:val="21"/>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2"/>
        <w:gridCol w:w="1323"/>
        <w:gridCol w:w="820"/>
        <w:gridCol w:w="116"/>
        <w:gridCol w:w="990"/>
        <w:gridCol w:w="1353"/>
        <w:gridCol w:w="554"/>
        <w:gridCol w:w="135"/>
        <w:gridCol w:w="1243"/>
        <w:gridCol w:w="1106"/>
      </w:tblGrid>
      <w:tr w:rsidR="00306725" w:rsidRPr="00F06200" w:rsidTr="00913D87">
        <w:trPr>
          <w:trHeight w:val="4840"/>
        </w:trPr>
        <w:tc>
          <w:tcPr>
            <w:tcW w:w="518"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投资金融产品类型</w:t>
            </w:r>
          </w:p>
        </w:tc>
        <w:tc>
          <w:tcPr>
            <w:tcW w:w="4482" w:type="pct"/>
            <w:gridSpan w:val="9"/>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同业存款□</w:t>
            </w:r>
            <w:r w:rsidRPr="00F06200">
              <w:rPr>
                <w:rFonts w:ascii="仿宋" w:eastAsia="仿宋" w:hAnsi="仿宋"/>
                <w:szCs w:val="21"/>
              </w:rPr>
              <w:t xml:space="preserve">  </w:t>
            </w:r>
            <w:r w:rsidRPr="00F06200">
              <w:rPr>
                <w:rFonts w:ascii="仿宋" w:eastAsia="仿宋" w:hAnsi="仿宋" w:hint="eastAsia"/>
                <w:szCs w:val="21"/>
              </w:rPr>
              <w:t>银行定期存款□</w:t>
            </w:r>
            <w:r w:rsidRPr="00F06200">
              <w:rPr>
                <w:rFonts w:ascii="仿宋" w:eastAsia="仿宋" w:hAnsi="仿宋"/>
                <w:szCs w:val="21"/>
              </w:rPr>
              <w:t xml:space="preserve">  </w:t>
            </w:r>
            <w:r w:rsidRPr="00F06200">
              <w:rPr>
                <w:rFonts w:ascii="仿宋" w:eastAsia="仿宋" w:hAnsi="仿宋" w:hint="eastAsia"/>
                <w:szCs w:val="21"/>
              </w:rPr>
              <w:t>协议存款和大额存单□</w:t>
            </w:r>
            <w:r w:rsidRPr="00F06200">
              <w:rPr>
                <w:rFonts w:ascii="仿宋" w:eastAsia="仿宋" w:hAnsi="仿宋"/>
                <w:szCs w:val="21"/>
              </w:rPr>
              <w:t xml:space="preserve">  </w:t>
            </w:r>
            <w:r w:rsidRPr="00F06200">
              <w:rPr>
                <w:rFonts w:ascii="仿宋" w:eastAsia="仿宋" w:hAnsi="仿宋" w:hint="eastAsia"/>
                <w:szCs w:val="21"/>
              </w:rPr>
              <w:t>国债□</w:t>
            </w:r>
            <w:r w:rsidRPr="00F06200">
              <w:rPr>
                <w:rFonts w:ascii="仿宋" w:eastAsia="仿宋" w:hAnsi="仿宋"/>
                <w:szCs w:val="21"/>
              </w:rPr>
              <w:t xml:space="preserve">  </w:t>
            </w:r>
            <w:r w:rsidRPr="00F06200">
              <w:rPr>
                <w:rFonts w:ascii="仿宋" w:eastAsia="仿宋" w:hAnsi="仿宋" w:hint="eastAsia"/>
                <w:szCs w:val="21"/>
              </w:rPr>
              <w:t>央行票据□</w:t>
            </w:r>
            <w:r w:rsidRPr="00F06200">
              <w:rPr>
                <w:rFonts w:ascii="仿宋" w:eastAsia="仿宋" w:hAnsi="仿宋"/>
                <w:szCs w:val="21"/>
              </w:rPr>
              <w:t xml:space="preserve">  </w:t>
            </w:r>
            <w:r w:rsidRPr="00F06200">
              <w:rPr>
                <w:rFonts w:ascii="仿宋" w:eastAsia="仿宋" w:hAnsi="仿宋" w:hint="eastAsia"/>
                <w:szCs w:val="21"/>
              </w:rPr>
              <w:t>货币市场基金□</w:t>
            </w:r>
            <w:r w:rsidRPr="00F06200">
              <w:rPr>
                <w:rFonts w:ascii="仿宋" w:eastAsia="仿宋" w:hAnsi="仿宋"/>
                <w:szCs w:val="21"/>
              </w:rPr>
              <w:t xml:space="preserve">  </w:t>
            </w:r>
            <w:r w:rsidRPr="00F06200">
              <w:rPr>
                <w:rFonts w:ascii="仿宋" w:eastAsia="仿宋" w:hAnsi="仿宋" w:hint="eastAsia"/>
                <w:szCs w:val="21"/>
              </w:rPr>
              <w:t>纯债券型基金□</w:t>
            </w:r>
            <w:r w:rsidRPr="00F06200">
              <w:rPr>
                <w:rFonts w:ascii="仿宋" w:eastAsia="仿宋" w:hAnsi="仿宋"/>
                <w:szCs w:val="21"/>
              </w:rPr>
              <w:t xml:space="preserve">  </w:t>
            </w:r>
            <w:r w:rsidRPr="00F06200">
              <w:rPr>
                <w:rFonts w:ascii="仿宋" w:eastAsia="仿宋" w:hAnsi="仿宋" w:hint="eastAsia"/>
                <w:szCs w:val="21"/>
              </w:rPr>
              <w:t>政策性金融债、商业银行债、保险公司债、证券公司债级其他金融机构债□</w:t>
            </w:r>
            <w:r w:rsidRPr="00F06200">
              <w:rPr>
                <w:rFonts w:ascii="仿宋" w:eastAsia="仿宋" w:hAnsi="仿宋"/>
                <w:szCs w:val="21"/>
              </w:rPr>
              <w:t xml:space="preserve">  </w:t>
            </w:r>
            <w:r w:rsidRPr="00F06200">
              <w:rPr>
                <w:rFonts w:ascii="仿宋" w:eastAsia="仿宋" w:hAnsi="仿宋" w:hint="eastAsia"/>
                <w:szCs w:val="21"/>
              </w:rPr>
              <w:t>由国有商业银行、政策性银行、股份制银行、城市商业银行、中外合资银行出具保函的资产包□</w:t>
            </w:r>
            <w:r w:rsidRPr="00F06200">
              <w:rPr>
                <w:rFonts w:ascii="仿宋" w:eastAsia="仿宋" w:hAnsi="仿宋"/>
                <w:szCs w:val="21"/>
              </w:rPr>
              <w:t xml:space="preserve">  </w:t>
            </w:r>
            <w:r w:rsidRPr="00F06200">
              <w:rPr>
                <w:rFonts w:ascii="仿宋" w:eastAsia="仿宋" w:hAnsi="仿宋" w:hint="eastAsia"/>
                <w:szCs w:val="21"/>
              </w:rPr>
              <w:t>金融机构发行的保本型理财产品□</w:t>
            </w:r>
            <w:r w:rsidRPr="00F06200">
              <w:rPr>
                <w:rFonts w:ascii="仿宋" w:eastAsia="仿宋" w:hAnsi="仿宋"/>
                <w:szCs w:val="21"/>
              </w:rPr>
              <w:t xml:space="preserve">  </w:t>
            </w:r>
            <w:r w:rsidRPr="00F06200">
              <w:rPr>
                <w:rFonts w:ascii="仿宋" w:eastAsia="仿宋" w:hAnsi="仿宋" w:hint="eastAsia"/>
                <w:szCs w:val="21"/>
              </w:rPr>
              <w:t>本公司发行信托产品□</w:t>
            </w:r>
            <w:r w:rsidRPr="00F06200">
              <w:rPr>
                <w:rFonts w:ascii="仿宋" w:eastAsia="仿宋" w:hAnsi="仿宋"/>
                <w:szCs w:val="21"/>
              </w:rPr>
              <w:t xml:space="preserve">  </w:t>
            </w:r>
            <w:r w:rsidRPr="00F06200">
              <w:rPr>
                <w:rFonts w:ascii="仿宋" w:eastAsia="仿宋" w:hAnsi="仿宋" w:hint="eastAsia"/>
                <w:szCs w:val="21"/>
              </w:rPr>
              <w:t>其他信托公司发行的流通股票收益权类信托产品或由国有商业银行、政策性银行、股份制银行、城市商业银行、中外合资银行担保的信托产品□</w:t>
            </w:r>
            <w:r w:rsidRPr="00F06200">
              <w:rPr>
                <w:rFonts w:ascii="仿宋" w:eastAsia="仿宋" w:hAnsi="仿宋"/>
                <w:szCs w:val="21"/>
              </w:rPr>
              <w:t xml:space="preserve"> </w:t>
            </w:r>
            <w:r w:rsidRPr="00F06200">
              <w:rPr>
                <w:rFonts w:ascii="仿宋" w:eastAsia="仿宋" w:hAnsi="仿宋" w:hint="eastAsia"/>
                <w:szCs w:val="21"/>
              </w:rPr>
              <w:t>企业债□</w:t>
            </w:r>
            <w:r w:rsidRPr="00F06200">
              <w:rPr>
                <w:rFonts w:ascii="仿宋" w:eastAsia="仿宋" w:hAnsi="仿宋"/>
                <w:szCs w:val="21"/>
              </w:rPr>
              <w:t xml:space="preserve">  </w:t>
            </w:r>
            <w:r w:rsidRPr="00F06200">
              <w:rPr>
                <w:rFonts w:ascii="仿宋" w:eastAsia="仿宋" w:hAnsi="仿宋" w:hint="eastAsia"/>
                <w:szCs w:val="21"/>
              </w:rPr>
              <w:t>公司债□</w:t>
            </w:r>
            <w:r w:rsidRPr="00F06200">
              <w:rPr>
                <w:rFonts w:ascii="仿宋" w:eastAsia="仿宋" w:hAnsi="仿宋"/>
                <w:szCs w:val="21"/>
              </w:rPr>
              <w:t xml:space="preserve">  </w:t>
            </w:r>
            <w:r w:rsidRPr="00F06200">
              <w:rPr>
                <w:rFonts w:ascii="仿宋" w:eastAsia="仿宋" w:hAnsi="仿宋" w:hint="eastAsia"/>
                <w:szCs w:val="21"/>
              </w:rPr>
              <w:t>中期票据□</w:t>
            </w:r>
            <w:r w:rsidRPr="00F06200">
              <w:rPr>
                <w:rFonts w:ascii="仿宋" w:eastAsia="仿宋" w:hAnsi="仿宋"/>
                <w:szCs w:val="21"/>
              </w:rPr>
              <w:t xml:space="preserve">  </w:t>
            </w:r>
            <w:r w:rsidRPr="00F06200">
              <w:rPr>
                <w:rFonts w:ascii="仿宋" w:eastAsia="仿宋" w:hAnsi="仿宋" w:hint="eastAsia"/>
                <w:szCs w:val="21"/>
              </w:rPr>
              <w:t>短期融资券□</w:t>
            </w:r>
            <w:r w:rsidRPr="00F06200">
              <w:rPr>
                <w:rFonts w:ascii="仿宋" w:eastAsia="仿宋" w:hAnsi="仿宋"/>
                <w:szCs w:val="21"/>
              </w:rPr>
              <w:t xml:space="preserve">  </w:t>
            </w:r>
            <w:r w:rsidRPr="00F06200">
              <w:rPr>
                <w:rFonts w:ascii="仿宋" w:eastAsia="仿宋" w:hAnsi="仿宋" w:hint="eastAsia"/>
                <w:szCs w:val="21"/>
              </w:rPr>
              <w:t>期限</w:t>
            </w:r>
            <w:r w:rsidRPr="00F06200">
              <w:rPr>
                <w:rFonts w:ascii="仿宋" w:eastAsia="仿宋" w:hAnsi="仿宋"/>
                <w:szCs w:val="21"/>
              </w:rPr>
              <w:t>1</w:t>
            </w:r>
            <w:r w:rsidRPr="00F06200">
              <w:rPr>
                <w:rFonts w:ascii="仿宋" w:eastAsia="仿宋" w:hAnsi="仿宋" w:hint="eastAsia"/>
                <w:szCs w:val="21"/>
              </w:rPr>
              <w:t>年以内的债券回购（不包括正回购）□除纯债券型基金外的债券市场基金□</w:t>
            </w:r>
            <w:r w:rsidRPr="00F06200">
              <w:rPr>
                <w:rFonts w:ascii="仿宋" w:eastAsia="仿宋" w:hAnsi="仿宋"/>
                <w:szCs w:val="21"/>
              </w:rPr>
              <w:t xml:space="preserve">  </w:t>
            </w:r>
            <w:r w:rsidRPr="00F06200">
              <w:rPr>
                <w:rFonts w:ascii="仿宋" w:eastAsia="仿宋" w:hAnsi="仿宋" w:hint="eastAsia"/>
                <w:szCs w:val="21"/>
              </w:rPr>
              <w:t>由除国有商业银行、政策性银行、股份制银行、城市商业银行、中外合资银行外的银行出具保函的资产包□</w:t>
            </w:r>
            <w:r w:rsidRPr="00F06200">
              <w:rPr>
                <w:rFonts w:ascii="仿宋" w:eastAsia="仿宋" w:hAnsi="仿宋"/>
                <w:szCs w:val="21"/>
              </w:rPr>
              <w:t xml:space="preserve">  </w:t>
            </w:r>
            <w:r w:rsidRPr="00F06200">
              <w:rPr>
                <w:rFonts w:ascii="仿宋" w:eastAsia="仿宋" w:hAnsi="仿宋" w:hint="eastAsia"/>
                <w:szCs w:val="21"/>
              </w:rPr>
              <w:t>金融机构发行的非保本型理财产品□</w:t>
            </w:r>
            <w:r w:rsidRPr="00F06200">
              <w:rPr>
                <w:rFonts w:ascii="仿宋" w:eastAsia="仿宋" w:hAnsi="仿宋"/>
                <w:szCs w:val="21"/>
              </w:rPr>
              <w:t xml:space="preserve">  </w:t>
            </w:r>
            <w:r w:rsidRPr="00F06200">
              <w:rPr>
                <w:rFonts w:ascii="仿宋" w:eastAsia="仿宋" w:hAnsi="仿宋" w:hint="eastAsia"/>
                <w:szCs w:val="21"/>
              </w:rPr>
              <w:t>信托贷款□</w:t>
            </w:r>
            <w:r w:rsidRPr="00F06200">
              <w:rPr>
                <w:rFonts w:ascii="仿宋" w:eastAsia="仿宋" w:hAnsi="仿宋"/>
                <w:szCs w:val="21"/>
              </w:rPr>
              <w:t xml:space="preserve">  </w:t>
            </w:r>
            <w:r w:rsidRPr="00F06200">
              <w:rPr>
                <w:rFonts w:ascii="仿宋" w:eastAsia="仿宋" w:hAnsi="仿宋" w:hint="eastAsia"/>
                <w:szCs w:val="21"/>
              </w:rPr>
              <w:t>其他公司发行的信托产品</w:t>
            </w:r>
            <w:r w:rsidRPr="00F06200">
              <w:rPr>
                <w:rFonts w:ascii="仿宋" w:eastAsia="仿宋" w:hAnsi="仿宋"/>
                <w:szCs w:val="21"/>
              </w:rPr>
              <w:t xml:space="preserve"> (</w:t>
            </w:r>
            <w:r w:rsidRPr="00F06200">
              <w:rPr>
                <w:rFonts w:ascii="仿宋" w:eastAsia="仿宋" w:hAnsi="仿宋" w:hint="eastAsia"/>
                <w:szCs w:val="21"/>
              </w:rPr>
              <w:t>除流通股票收益权类信托产品或由国有商业银行、政策性银行、股份制银行、城市商业银行、中外合资银行担保的信托产品外</w:t>
            </w:r>
            <w:r w:rsidRPr="00F06200">
              <w:rPr>
                <w:rFonts w:ascii="仿宋" w:eastAsia="仿宋" w:hAnsi="仿宋"/>
                <w:szCs w:val="21"/>
              </w:rPr>
              <w:t xml:space="preserve">) </w:t>
            </w:r>
            <w:r w:rsidRPr="00F06200">
              <w:rPr>
                <w:rFonts w:ascii="仿宋" w:eastAsia="仿宋" w:hAnsi="仿宋" w:hint="eastAsia"/>
                <w:szCs w:val="21"/>
              </w:rPr>
              <w:t>□</w:t>
            </w:r>
            <w:r w:rsidRPr="00F06200">
              <w:rPr>
                <w:rFonts w:ascii="仿宋" w:eastAsia="仿宋" w:hAnsi="仿宋"/>
                <w:szCs w:val="21"/>
              </w:rPr>
              <w:t xml:space="preserve">  </w:t>
            </w:r>
            <w:r w:rsidRPr="00F06200">
              <w:rPr>
                <w:rFonts w:ascii="仿宋" w:eastAsia="仿宋" w:hAnsi="仿宋" w:hint="eastAsia"/>
                <w:szCs w:val="21"/>
              </w:rPr>
              <w:t>其他□</w:t>
            </w:r>
          </w:p>
        </w:tc>
      </w:tr>
      <w:tr w:rsidR="00306725" w:rsidRPr="00F06200" w:rsidTr="00913D87">
        <w:trPr>
          <w:trHeight w:val="764"/>
        </w:trPr>
        <w:tc>
          <w:tcPr>
            <w:tcW w:w="518" w:type="pct"/>
            <w:vMerge w:val="restar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金融产品信息</w:t>
            </w:r>
          </w:p>
        </w:tc>
        <w:tc>
          <w:tcPr>
            <w:tcW w:w="776"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金融产品全称</w:t>
            </w:r>
          </w:p>
        </w:tc>
        <w:tc>
          <w:tcPr>
            <w:tcW w:w="3706" w:type="pct"/>
            <w:gridSpan w:val="8"/>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r>
      <w:tr w:rsidR="00306725" w:rsidRPr="00F06200" w:rsidTr="00913D87">
        <w:trPr>
          <w:trHeight w:val="669"/>
        </w:trPr>
        <w:tc>
          <w:tcPr>
            <w:tcW w:w="518"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76"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金融产品期限</w:t>
            </w:r>
          </w:p>
        </w:tc>
        <w:tc>
          <w:tcPr>
            <w:tcW w:w="481"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649" w:type="pct"/>
            <w:gridSpan w:val="2"/>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金融产品代码</w:t>
            </w:r>
          </w:p>
        </w:tc>
        <w:tc>
          <w:tcPr>
            <w:tcW w:w="1198" w:type="pct"/>
            <w:gridSpan w:val="3"/>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29"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金融产品风险分级</w:t>
            </w:r>
          </w:p>
        </w:tc>
        <w:tc>
          <w:tcPr>
            <w:tcW w:w="649"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r>
      <w:tr w:rsidR="00306725" w:rsidRPr="00F06200" w:rsidTr="00913D87">
        <w:trPr>
          <w:trHeight w:val="270"/>
        </w:trPr>
        <w:tc>
          <w:tcPr>
            <w:tcW w:w="518" w:type="pct"/>
            <w:vMerge w:val="restar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交易信息</w:t>
            </w:r>
          </w:p>
        </w:tc>
        <w:tc>
          <w:tcPr>
            <w:tcW w:w="776" w:type="pct"/>
            <w:vMerge w:val="restar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期望交易时间</w:t>
            </w:r>
          </w:p>
        </w:tc>
        <w:tc>
          <w:tcPr>
            <w:tcW w:w="1130" w:type="pct"/>
            <w:gridSpan w:val="3"/>
            <w:vMerge w:val="restar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年</w:t>
            </w:r>
            <w:r w:rsidRPr="00F06200">
              <w:rPr>
                <w:rFonts w:ascii="仿宋" w:eastAsia="仿宋" w:hAnsi="仿宋"/>
                <w:szCs w:val="21"/>
              </w:rPr>
              <w:t xml:space="preserve">  </w:t>
            </w:r>
            <w:r w:rsidRPr="00F06200">
              <w:rPr>
                <w:rFonts w:ascii="仿宋" w:eastAsia="仿宋" w:hAnsi="仿宋" w:hint="eastAsia"/>
                <w:szCs w:val="21"/>
              </w:rPr>
              <w:t>月</w:t>
            </w:r>
            <w:r w:rsidRPr="00F06200">
              <w:rPr>
                <w:rFonts w:ascii="仿宋" w:eastAsia="仿宋" w:hAnsi="仿宋"/>
                <w:szCs w:val="21"/>
              </w:rPr>
              <w:t xml:space="preserve">  </w:t>
            </w:r>
            <w:r w:rsidRPr="00F06200">
              <w:rPr>
                <w:rFonts w:ascii="仿宋" w:eastAsia="仿宋" w:hAnsi="仿宋" w:hint="eastAsia"/>
                <w:szCs w:val="21"/>
              </w:rPr>
              <w:t>日</w:t>
            </w:r>
          </w:p>
        </w:tc>
        <w:tc>
          <w:tcPr>
            <w:tcW w:w="794" w:type="pct"/>
            <w:vMerge w:val="restar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交易总金额</w:t>
            </w:r>
            <w:r w:rsidRPr="00F06200">
              <w:rPr>
                <w:rFonts w:ascii="仿宋" w:eastAsia="仿宋" w:hAnsi="仿宋"/>
                <w:szCs w:val="21"/>
              </w:rPr>
              <w:t>/</w:t>
            </w:r>
            <w:r w:rsidRPr="00F06200">
              <w:rPr>
                <w:rFonts w:ascii="仿宋" w:eastAsia="仿宋" w:hAnsi="仿宋" w:hint="eastAsia"/>
                <w:szCs w:val="21"/>
              </w:rPr>
              <w:t>价格</w:t>
            </w:r>
          </w:p>
        </w:tc>
        <w:tc>
          <w:tcPr>
            <w:tcW w:w="1782" w:type="pct"/>
            <w:gridSpan w:val="4"/>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人民币</w:t>
            </w:r>
            <w:r w:rsidRPr="00F06200">
              <w:rPr>
                <w:rFonts w:ascii="仿宋" w:eastAsia="仿宋" w:hAnsi="仿宋"/>
                <w:szCs w:val="21"/>
              </w:rPr>
              <w:t>(</w:t>
            </w:r>
            <w:r w:rsidRPr="00F06200">
              <w:rPr>
                <w:rFonts w:ascii="仿宋" w:eastAsia="仿宋" w:hAnsi="仿宋" w:hint="eastAsia"/>
                <w:szCs w:val="21"/>
              </w:rPr>
              <w:t>大写</w:t>
            </w:r>
            <w:r w:rsidRPr="00F06200">
              <w:rPr>
                <w:rFonts w:ascii="仿宋" w:eastAsia="仿宋" w:hAnsi="仿宋"/>
                <w:szCs w:val="21"/>
              </w:rPr>
              <w:t>)</w:t>
            </w:r>
          </w:p>
        </w:tc>
      </w:tr>
      <w:tr w:rsidR="00306725" w:rsidRPr="00F06200" w:rsidTr="00913D87">
        <w:trPr>
          <w:trHeight w:val="275"/>
        </w:trPr>
        <w:tc>
          <w:tcPr>
            <w:tcW w:w="518"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76"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1130" w:type="pct"/>
            <w:gridSpan w:val="3"/>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94"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1782" w:type="pct"/>
            <w:gridSpan w:val="4"/>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人民币</w:t>
            </w:r>
            <w:r w:rsidRPr="00F06200">
              <w:rPr>
                <w:rFonts w:ascii="仿宋" w:eastAsia="仿宋" w:hAnsi="仿宋"/>
                <w:szCs w:val="21"/>
              </w:rPr>
              <w:t>(</w:t>
            </w:r>
            <w:r w:rsidRPr="00F06200">
              <w:rPr>
                <w:rFonts w:ascii="仿宋" w:eastAsia="仿宋" w:hAnsi="仿宋" w:hint="eastAsia"/>
                <w:szCs w:val="21"/>
              </w:rPr>
              <w:t>小写</w:t>
            </w:r>
            <w:r w:rsidRPr="00F06200">
              <w:rPr>
                <w:rFonts w:ascii="仿宋" w:eastAsia="仿宋" w:hAnsi="仿宋"/>
                <w:szCs w:val="21"/>
              </w:rPr>
              <w:t>)</w:t>
            </w:r>
            <w:r w:rsidRPr="00F06200">
              <w:rPr>
                <w:rFonts w:ascii="仿宋" w:eastAsia="仿宋" w:hAnsi="仿宋" w:hint="eastAsia"/>
                <w:szCs w:val="21"/>
              </w:rPr>
              <w:t>￥</w:t>
            </w:r>
          </w:p>
        </w:tc>
      </w:tr>
      <w:tr w:rsidR="00306725" w:rsidRPr="00F06200" w:rsidTr="00913D87">
        <w:trPr>
          <w:trHeight w:val="707"/>
        </w:trPr>
        <w:tc>
          <w:tcPr>
            <w:tcW w:w="518"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76"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1130" w:type="pct"/>
            <w:gridSpan w:val="3"/>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94"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1782" w:type="pct"/>
            <w:gridSpan w:val="4"/>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交易价格区间</w:t>
            </w:r>
          </w:p>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买：</w:t>
            </w:r>
            <w:r w:rsidRPr="00F06200">
              <w:rPr>
                <w:rFonts w:ascii="仿宋" w:eastAsia="仿宋" w:hAnsi="仿宋"/>
                <w:szCs w:val="21"/>
              </w:rPr>
              <w:t xml:space="preserve">               </w:t>
            </w:r>
            <w:r w:rsidRPr="00F06200">
              <w:rPr>
                <w:rFonts w:ascii="仿宋" w:eastAsia="仿宋" w:hAnsi="仿宋" w:hint="eastAsia"/>
                <w:szCs w:val="21"/>
              </w:rPr>
              <w:t>卖：</w:t>
            </w:r>
          </w:p>
        </w:tc>
      </w:tr>
      <w:tr w:rsidR="00306725" w:rsidRPr="00F06200" w:rsidTr="00913D87">
        <w:tc>
          <w:tcPr>
            <w:tcW w:w="518"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76"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交易账户名称</w:t>
            </w:r>
          </w:p>
        </w:tc>
        <w:tc>
          <w:tcPr>
            <w:tcW w:w="1130" w:type="pct"/>
            <w:gridSpan w:val="3"/>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94"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交易对手账户名称</w:t>
            </w:r>
          </w:p>
        </w:tc>
        <w:tc>
          <w:tcPr>
            <w:tcW w:w="1782" w:type="pct"/>
            <w:gridSpan w:val="4"/>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r>
      <w:tr w:rsidR="00306725" w:rsidRPr="00F06200" w:rsidTr="00913D87">
        <w:trPr>
          <w:trHeight w:val="907"/>
        </w:trPr>
        <w:tc>
          <w:tcPr>
            <w:tcW w:w="518"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76"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交易账户账号</w:t>
            </w:r>
          </w:p>
        </w:tc>
        <w:tc>
          <w:tcPr>
            <w:tcW w:w="1130" w:type="pct"/>
            <w:gridSpan w:val="3"/>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94"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交易对手账号</w:t>
            </w:r>
          </w:p>
        </w:tc>
        <w:tc>
          <w:tcPr>
            <w:tcW w:w="1782" w:type="pct"/>
            <w:gridSpan w:val="4"/>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r>
      <w:tr w:rsidR="00306725" w:rsidRPr="00F06200" w:rsidTr="00913D87">
        <w:tc>
          <w:tcPr>
            <w:tcW w:w="518" w:type="pct"/>
            <w:vMerge/>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76"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交易账户开户银行</w:t>
            </w:r>
          </w:p>
        </w:tc>
        <w:tc>
          <w:tcPr>
            <w:tcW w:w="1130" w:type="pct"/>
            <w:gridSpan w:val="3"/>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c>
          <w:tcPr>
            <w:tcW w:w="794" w:type="pct"/>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交易对手开户银行</w:t>
            </w:r>
          </w:p>
        </w:tc>
        <w:tc>
          <w:tcPr>
            <w:tcW w:w="1782" w:type="pct"/>
            <w:gridSpan w:val="4"/>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p>
        </w:tc>
      </w:tr>
      <w:tr w:rsidR="00306725" w:rsidRPr="00F06200" w:rsidTr="00913D87">
        <w:trPr>
          <w:trHeight w:val="744"/>
        </w:trPr>
        <w:tc>
          <w:tcPr>
            <w:tcW w:w="1843" w:type="pct"/>
            <w:gridSpan w:val="4"/>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私人信托业务部门经理</w:t>
            </w:r>
          </w:p>
        </w:tc>
        <w:tc>
          <w:tcPr>
            <w:tcW w:w="1700" w:type="pct"/>
            <w:gridSpan w:val="3"/>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资管部专员</w:t>
            </w:r>
          </w:p>
        </w:tc>
        <w:tc>
          <w:tcPr>
            <w:tcW w:w="1457" w:type="pct"/>
            <w:gridSpan w:val="3"/>
            <w:vAlign w:val="center"/>
          </w:tcPr>
          <w:p w:rsidR="00306725" w:rsidRPr="00F06200" w:rsidRDefault="00306725" w:rsidP="00913D87">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投资经理签收</w:t>
            </w:r>
          </w:p>
        </w:tc>
      </w:tr>
    </w:tbl>
    <w:p w:rsidR="00306725" w:rsidRPr="00F06200" w:rsidRDefault="00306725" w:rsidP="00306725">
      <w:pPr>
        <w:adjustRightInd w:val="0"/>
        <w:snapToGrid w:val="0"/>
        <w:spacing w:line="360" w:lineRule="auto"/>
        <w:ind w:leftChars="50" w:left="105" w:rightChars="50" w:right="105"/>
        <w:rPr>
          <w:rFonts w:ascii="仿宋" w:eastAsia="仿宋" w:hAnsi="仿宋"/>
          <w:szCs w:val="21"/>
        </w:rPr>
      </w:pPr>
      <w:r w:rsidRPr="00F06200">
        <w:rPr>
          <w:rFonts w:ascii="仿宋" w:eastAsia="仿宋" w:hAnsi="仿宋" w:hint="eastAsia"/>
          <w:szCs w:val="21"/>
        </w:rPr>
        <w:t>本投资指令一式三份，其中私人信托业务部门一份、投资经理员一份、风控部报备一份。</w:t>
      </w:r>
    </w:p>
    <w:p w:rsidR="00306725" w:rsidRDefault="00306725" w:rsidP="00306725">
      <w:pPr>
        <w:widowControl/>
        <w:spacing w:line="360" w:lineRule="auto"/>
        <w:jc w:val="left"/>
        <w:rPr>
          <w:rFonts w:ascii="仿宋" w:eastAsia="仿宋" w:hAnsi="仿宋"/>
          <w:b/>
          <w:szCs w:val="21"/>
        </w:rPr>
      </w:pPr>
      <w:r w:rsidRPr="00F06200">
        <w:rPr>
          <w:rFonts w:ascii="仿宋" w:eastAsia="仿宋" w:hAnsi="仿宋"/>
          <w:b/>
          <w:szCs w:val="21"/>
        </w:rPr>
        <w:lastRenderedPageBreak/>
        <w:br w:type="page"/>
      </w:r>
    </w:p>
    <w:p w:rsidR="00306725" w:rsidRPr="007823F7" w:rsidRDefault="00306725" w:rsidP="00306725">
      <w:pPr>
        <w:widowControl/>
        <w:spacing w:line="360" w:lineRule="auto"/>
        <w:jc w:val="left"/>
        <w:rPr>
          <w:rFonts w:ascii="仿宋" w:eastAsia="仿宋" w:hAnsi="仿宋"/>
          <w:b/>
          <w:sz w:val="30"/>
          <w:szCs w:val="30"/>
        </w:rPr>
      </w:pPr>
      <w:r w:rsidRPr="007823F7">
        <w:rPr>
          <w:rFonts w:ascii="仿宋" w:eastAsia="仿宋" w:hAnsi="仿宋" w:hint="eastAsia"/>
          <w:b/>
          <w:sz w:val="30"/>
          <w:szCs w:val="30"/>
        </w:rPr>
        <w:lastRenderedPageBreak/>
        <w:t>附件三：万向信托</w:t>
      </w:r>
      <w:r w:rsidRPr="007823F7">
        <w:rPr>
          <w:rFonts w:ascii="仿宋" w:eastAsia="仿宋" w:hAnsi="仿宋"/>
          <w:b/>
          <w:sz w:val="30"/>
          <w:szCs w:val="30"/>
        </w:rPr>
        <w:t>-</w:t>
      </w:r>
      <w:r w:rsidRPr="007823F7">
        <w:rPr>
          <w:rFonts w:ascii="仿宋" w:eastAsia="仿宋" w:hAnsi="仿宋" w:hint="eastAsia"/>
          <w:b/>
          <w:sz w:val="30"/>
          <w:szCs w:val="30"/>
        </w:rPr>
        <w:t>私人信托投资操作记录</w:t>
      </w:r>
    </w:p>
    <w:p w:rsidR="00306725" w:rsidRPr="00F06200" w:rsidRDefault="00306725" w:rsidP="00306725">
      <w:pPr>
        <w:adjustRightInd w:val="0"/>
        <w:snapToGrid w:val="0"/>
        <w:spacing w:line="360" w:lineRule="auto"/>
        <w:rPr>
          <w:rFonts w:ascii="仿宋" w:eastAsia="仿宋" w:hAnsi="仿宋"/>
          <w:szCs w:val="21"/>
        </w:rPr>
      </w:pPr>
      <w:r w:rsidRPr="00F06200">
        <w:rPr>
          <w:rFonts w:ascii="仿宋" w:eastAsia="仿宋" w:hAnsi="仿宋" w:hint="eastAsia"/>
          <w:szCs w:val="21"/>
        </w:rPr>
        <w:t>信托名称：</w:t>
      </w:r>
      <w:r w:rsidRPr="00F06200">
        <w:rPr>
          <w:rFonts w:ascii="仿宋" w:eastAsia="仿宋" w:hAnsi="仿宋"/>
          <w:szCs w:val="21"/>
        </w:rPr>
        <w:t xml:space="preserve">                  </w:t>
      </w:r>
      <w:r w:rsidRPr="00F06200">
        <w:rPr>
          <w:rFonts w:ascii="仿宋" w:eastAsia="仿宋" w:hAnsi="仿宋" w:hint="eastAsia"/>
          <w:szCs w:val="21"/>
        </w:rPr>
        <w:t>信托合同编号：</w:t>
      </w:r>
      <w:r w:rsidRPr="00F06200">
        <w:rPr>
          <w:rFonts w:ascii="仿宋" w:eastAsia="仿宋" w:hAnsi="仿宋"/>
          <w:szCs w:val="21"/>
        </w:rPr>
        <w:t xml:space="preserve">                   </w:t>
      </w:r>
      <w:r w:rsidRPr="00F06200">
        <w:rPr>
          <w:rFonts w:ascii="仿宋" w:eastAsia="仿宋" w:hAnsi="仿宋" w:hint="eastAsia"/>
          <w:szCs w:val="21"/>
        </w:rPr>
        <w:t>操作记录编号：</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10"/>
        <w:gridCol w:w="708"/>
        <w:gridCol w:w="1134"/>
        <w:gridCol w:w="1276"/>
        <w:gridCol w:w="995"/>
        <w:gridCol w:w="708"/>
        <w:gridCol w:w="1276"/>
        <w:gridCol w:w="849"/>
      </w:tblGrid>
      <w:tr w:rsidR="00306725" w:rsidRPr="00F06200" w:rsidTr="00913D87">
        <w:tc>
          <w:tcPr>
            <w:tcW w:w="482"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交易日期</w:t>
            </w:r>
          </w:p>
        </w:tc>
        <w:tc>
          <w:tcPr>
            <w:tcW w:w="419"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类型</w:t>
            </w: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w:t>
            </w:r>
          </w:p>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品种</w:t>
            </w:r>
          </w:p>
        </w:tc>
        <w:tc>
          <w:tcPr>
            <w:tcW w:w="669"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交易总金额</w:t>
            </w:r>
            <w:r w:rsidRPr="00F06200">
              <w:rPr>
                <w:rFonts w:ascii="仿宋" w:eastAsia="仿宋" w:hAnsi="仿宋"/>
                <w:szCs w:val="21"/>
              </w:rPr>
              <w:t>(</w:t>
            </w:r>
            <w:r w:rsidRPr="00F06200">
              <w:rPr>
                <w:rFonts w:ascii="仿宋" w:eastAsia="仿宋" w:hAnsi="仿宋" w:hint="eastAsia"/>
                <w:szCs w:val="21"/>
              </w:rPr>
              <w:t>万元</w:t>
            </w:r>
            <w:r w:rsidRPr="00F06200">
              <w:rPr>
                <w:rFonts w:ascii="仿宋" w:eastAsia="仿宋" w:hAnsi="仿宋"/>
                <w:szCs w:val="21"/>
              </w:rPr>
              <w:t>)</w:t>
            </w: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投资方案审批表编号</w:t>
            </w:r>
          </w:p>
        </w:tc>
        <w:tc>
          <w:tcPr>
            <w:tcW w:w="587"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交易指令编号</w:t>
            </w: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投资经理</w:t>
            </w: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私人信托业务部门复核</w:t>
            </w:r>
          </w:p>
        </w:tc>
        <w:tc>
          <w:tcPr>
            <w:tcW w:w="501" w:type="pct"/>
            <w:vAlign w:val="center"/>
          </w:tcPr>
          <w:p w:rsidR="00306725" w:rsidRPr="00F06200" w:rsidRDefault="00306725" w:rsidP="00913D87">
            <w:pPr>
              <w:adjustRightInd w:val="0"/>
              <w:snapToGrid w:val="0"/>
              <w:spacing w:line="360" w:lineRule="auto"/>
              <w:rPr>
                <w:rFonts w:ascii="仿宋" w:eastAsia="仿宋" w:hAnsi="仿宋"/>
                <w:szCs w:val="21"/>
              </w:rPr>
            </w:pPr>
            <w:r w:rsidRPr="00F06200">
              <w:rPr>
                <w:rFonts w:ascii="仿宋" w:eastAsia="仿宋" w:hAnsi="仿宋" w:hint="eastAsia"/>
                <w:szCs w:val="21"/>
              </w:rPr>
              <w:t>资管部复核</w:t>
            </w:r>
          </w:p>
        </w:tc>
      </w:tr>
      <w:tr w:rsidR="00306725" w:rsidRPr="00F06200" w:rsidTr="00913D87">
        <w:trPr>
          <w:trHeight w:val="549"/>
        </w:trPr>
        <w:tc>
          <w:tcPr>
            <w:tcW w:w="482"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9" w:type="pct"/>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669" w:type="pct"/>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87"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01" w:type="pct"/>
          </w:tcPr>
          <w:p w:rsidR="00306725" w:rsidRPr="00F06200" w:rsidRDefault="00306725" w:rsidP="00913D87">
            <w:pPr>
              <w:adjustRightInd w:val="0"/>
              <w:snapToGrid w:val="0"/>
              <w:spacing w:line="360" w:lineRule="auto"/>
              <w:rPr>
                <w:rFonts w:ascii="仿宋" w:eastAsia="仿宋" w:hAnsi="仿宋"/>
                <w:szCs w:val="21"/>
              </w:rPr>
            </w:pPr>
          </w:p>
        </w:tc>
      </w:tr>
      <w:tr w:rsidR="00306725" w:rsidRPr="00F06200" w:rsidTr="00913D87">
        <w:trPr>
          <w:trHeight w:val="543"/>
        </w:trPr>
        <w:tc>
          <w:tcPr>
            <w:tcW w:w="482"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9" w:type="pct"/>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669" w:type="pct"/>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87"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01" w:type="pct"/>
          </w:tcPr>
          <w:p w:rsidR="00306725" w:rsidRPr="00F06200" w:rsidRDefault="00306725" w:rsidP="00913D87">
            <w:pPr>
              <w:adjustRightInd w:val="0"/>
              <w:snapToGrid w:val="0"/>
              <w:spacing w:line="360" w:lineRule="auto"/>
              <w:rPr>
                <w:rFonts w:ascii="仿宋" w:eastAsia="仿宋" w:hAnsi="仿宋"/>
                <w:szCs w:val="21"/>
              </w:rPr>
            </w:pPr>
          </w:p>
        </w:tc>
      </w:tr>
      <w:tr w:rsidR="00306725" w:rsidRPr="00F06200" w:rsidTr="00913D87">
        <w:trPr>
          <w:trHeight w:val="409"/>
        </w:trPr>
        <w:tc>
          <w:tcPr>
            <w:tcW w:w="482"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9" w:type="pct"/>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669" w:type="pct"/>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87"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01" w:type="pct"/>
          </w:tcPr>
          <w:p w:rsidR="00306725" w:rsidRPr="00F06200" w:rsidRDefault="00306725" w:rsidP="00913D87">
            <w:pPr>
              <w:adjustRightInd w:val="0"/>
              <w:snapToGrid w:val="0"/>
              <w:spacing w:line="360" w:lineRule="auto"/>
              <w:rPr>
                <w:rFonts w:ascii="仿宋" w:eastAsia="仿宋" w:hAnsi="仿宋"/>
                <w:szCs w:val="21"/>
              </w:rPr>
            </w:pPr>
          </w:p>
        </w:tc>
      </w:tr>
      <w:tr w:rsidR="00306725" w:rsidRPr="00F06200" w:rsidTr="00913D87">
        <w:trPr>
          <w:trHeight w:val="416"/>
        </w:trPr>
        <w:tc>
          <w:tcPr>
            <w:tcW w:w="482"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9" w:type="pct"/>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669" w:type="pct"/>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87"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418"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753" w:type="pct"/>
            <w:vAlign w:val="center"/>
          </w:tcPr>
          <w:p w:rsidR="00306725" w:rsidRPr="00F06200" w:rsidRDefault="00306725" w:rsidP="00913D87">
            <w:pPr>
              <w:adjustRightInd w:val="0"/>
              <w:snapToGrid w:val="0"/>
              <w:spacing w:line="360" w:lineRule="auto"/>
              <w:rPr>
                <w:rFonts w:ascii="仿宋" w:eastAsia="仿宋" w:hAnsi="仿宋"/>
                <w:szCs w:val="21"/>
              </w:rPr>
            </w:pPr>
          </w:p>
        </w:tc>
        <w:tc>
          <w:tcPr>
            <w:tcW w:w="501" w:type="pct"/>
          </w:tcPr>
          <w:p w:rsidR="00306725" w:rsidRPr="00F06200" w:rsidRDefault="00306725" w:rsidP="00913D87">
            <w:pPr>
              <w:adjustRightInd w:val="0"/>
              <w:snapToGrid w:val="0"/>
              <w:spacing w:line="360" w:lineRule="auto"/>
              <w:rPr>
                <w:rFonts w:ascii="仿宋" w:eastAsia="仿宋" w:hAnsi="仿宋"/>
                <w:szCs w:val="21"/>
              </w:rPr>
            </w:pPr>
          </w:p>
        </w:tc>
      </w:tr>
    </w:tbl>
    <w:p w:rsidR="00306725" w:rsidRPr="00F06200" w:rsidRDefault="00306725" w:rsidP="00306725">
      <w:pPr>
        <w:adjustRightInd w:val="0"/>
        <w:snapToGrid w:val="0"/>
        <w:spacing w:line="360" w:lineRule="auto"/>
        <w:rPr>
          <w:rFonts w:ascii="仿宋" w:eastAsia="仿宋" w:hAnsi="仿宋"/>
          <w:szCs w:val="21"/>
        </w:rPr>
      </w:pPr>
      <w:r w:rsidRPr="00F06200">
        <w:rPr>
          <w:rFonts w:ascii="仿宋" w:eastAsia="仿宋" w:hAnsi="仿宋" w:hint="eastAsia"/>
          <w:szCs w:val="21"/>
        </w:rPr>
        <w:t>本投资操作记录一式三份，其中交易员一份、私人信托业务部门一份、风控部报备一份。</w:t>
      </w:r>
    </w:p>
    <w:bookmarkEnd w:id="3"/>
    <w:p w:rsidR="00F51333" w:rsidRPr="00306725" w:rsidRDefault="00F51333"/>
    <w:sectPr w:rsidR="00F51333" w:rsidRPr="003067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333" w:rsidRDefault="00F51333" w:rsidP="00306725">
      <w:r>
        <w:separator/>
      </w:r>
    </w:p>
  </w:endnote>
  <w:endnote w:type="continuationSeparator" w:id="1">
    <w:p w:rsidR="00F51333" w:rsidRDefault="00F51333" w:rsidP="0030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333" w:rsidRDefault="00F51333" w:rsidP="00306725">
      <w:r>
        <w:separator/>
      </w:r>
    </w:p>
  </w:footnote>
  <w:footnote w:type="continuationSeparator" w:id="1">
    <w:p w:rsidR="00F51333" w:rsidRDefault="00F51333" w:rsidP="003067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5C05"/>
    <w:multiLevelType w:val="hybridMultilevel"/>
    <w:tmpl w:val="0756E7A2"/>
    <w:lvl w:ilvl="0" w:tplc="925675B8">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51241C8"/>
    <w:multiLevelType w:val="hybridMultilevel"/>
    <w:tmpl w:val="8D103F7A"/>
    <w:lvl w:ilvl="0" w:tplc="BBFE95D4">
      <w:start w:val="1"/>
      <w:numFmt w:val="chineseCountingThousand"/>
      <w:lvlText w:val="第%1章"/>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1FD1A52"/>
    <w:multiLevelType w:val="hybridMultilevel"/>
    <w:tmpl w:val="CDBAD8D8"/>
    <w:lvl w:ilvl="0" w:tplc="F06267BE">
      <w:start w:val="1"/>
      <w:numFmt w:val="japaneseCounting"/>
      <w:lvlText w:val="第%1条"/>
      <w:lvlJc w:val="left"/>
      <w:pPr>
        <w:tabs>
          <w:tab w:val="num" w:pos="0"/>
        </w:tabs>
        <w:ind w:firstLine="454"/>
      </w:pPr>
      <w:rPr>
        <w:rFonts w:cs="Times New Roman" w:hint="default"/>
        <w:b/>
      </w:rPr>
    </w:lvl>
    <w:lvl w:ilvl="1" w:tplc="BD04B4B6">
      <w:start w:val="1"/>
      <w:numFmt w:val="japaneseCounting"/>
      <w:lvlText w:val="（%2）"/>
      <w:lvlJc w:val="left"/>
      <w:pPr>
        <w:ind w:left="1695" w:hanging="855"/>
      </w:pPr>
      <w:rPr>
        <w:rFonts w:cs="Times New Roman" w:hint="default"/>
        <w:color w:val="auto"/>
        <w:sz w:val="28"/>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388D4398"/>
    <w:multiLevelType w:val="hybridMultilevel"/>
    <w:tmpl w:val="1DF81C4E"/>
    <w:lvl w:ilvl="0" w:tplc="01CC3936">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5A9D1122"/>
    <w:multiLevelType w:val="hybridMultilevel"/>
    <w:tmpl w:val="409AB336"/>
    <w:lvl w:ilvl="0" w:tplc="D1600A0C">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651D4BAC"/>
    <w:multiLevelType w:val="hybridMultilevel"/>
    <w:tmpl w:val="984058AA"/>
    <w:lvl w:ilvl="0" w:tplc="3FEE07C0">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CEC7176"/>
    <w:multiLevelType w:val="hybridMultilevel"/>
    <w:tmpl w:val="3AB23EE6"/>
    <w:lvl w:ilvl="0" w:tplc="765C0486">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767250BB"/>
    <w:multiLevelType w:val="hybridMultilevel"/>
    <w:tmpl w:val="37787C74"/>
    <w:lvl w:ilvl="0" w:tplc="8B4EA542">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725"/>
    <w:rsid w:val="00306725"/>
    <w:rsid w:val="00F513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72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6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6725"/>
    <w:rPr>
      <w:sz w:val="18"/>
      <w:szCs w:val="18"/>
    </w:rPr>
  </w:style>
  <w:style w:type="paragraph" w:styleId="a4">
    <w:name w:val="footer"/>
    <w:basedOn w:val="a"/>
    <w:link w:val="Char0"/>
    <w:uiPriority w:val="99"/>
    <w:semiHidden/>
    <w:unhideWhenUsed/>
    <w:rsid w:val="003067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6725"/>
    <w:rPr>
      <w:sz w:val="18"/>
      <w:szCs w:val="18"/>
    </w:rPr>
  </w:style>
  <w:style w:type="paragraph" w:styleId="a5">
    <w:name w:val="List Paragraph"/>
    <w:basedOn w:val="a"/>
    <w:uiPriority w:val="99"/>
    <w:qFormat/>
    <w:rsid w:val="0030672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2015-01-20T02:57:00Z</dcterms:created>
  <dcterms:modified xsi:type="dcterms:W3CDTF">2015-01-20T02:57:00Z</dcterms:modified>
</cp:coreProperties>
</file>