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149" w:rsidRPr="0010588B" w:rsidRDefault="004E6149" w:rsidP="004E6149">
      <w:pPr>
        <w:adjustRightInd w:val="0"/>
        <w:snapToGrid w:val="0"/>
        <w:spacing w:beforeLines="100" w:line="360" w:lineRule="auto"/>
        <w:jc w:val="center"/>
        <w:outlineLvl w:val="1"/>
        <w:rPr>
          <w:rFonts w:ascii="仿宋" w:eastAsia="仿宋" w:hAnsi="仿宋"/>
          <w:b/>
          <w:sz w:val="32"/>
          <w:szCs w:val="32"/>
        </w:rPr>
      </w:pPr>
      <w:bookmarkStart w:id="0" w:name="_Toc391137603"/>
      <w:bookmarkStart w:id="1" w:name="_Toc407634390"/>
      <w:r w:rsidRPr="0010588B">
        <w:rPr>
          <w:rFonts w:ascii="仿宋" w:eastAsia="仿宋" w:hAnsi="仿宋" w:hint="eastAsia"/>
          <w:b/>
          <w:sz w:val="32"/>
          <w:szCs w:val="32"/>
        </w:rPr>
        <w:t>证券投资类信托业务管理办法</w:t>
      </w:r>
      <w:bookmarkEnd w:id="0"/>
      <w:bookmarkEnd w:id="1"/>
    </w:p>
    <w:p w:rsidR="004E6149" w:rsidRPr="007C03EE" w:rsidRDefault="004E6149" w:rsidP="004E6149">
      <w:pPr>
        <w:tabs>
          <w:tab w:val="left" w:pos="0"/>
          <w:tab w:val="left" w:pos="2340"/>
        </w:tabs>
        <w:adjustRightInd w:val="0"/>
        <w:snapToGrid w:val="0"/>
        <w:jc w:val="center"/>
        <w:rPr>
          <w:rFonts w:ascii="仿宋" w:eastAsia="仿宋" w:hAnsi="仿宋"/>
          <w:color w:val="000000"/>
          <w:sz w:val="24"/>
          <w:szCs w:val="24"/>
        </w:rPr>
      </w:pPr>
      <w:bookmarkStart w:id="2" w:name="_Toc391137604"/>
      <w:r w:rsidRPr="007C03EE">
        <w:rPr>
          <w:rFonts w:ascii="仿宋" w:eastAsia="仿宋" w:hAnsi="仿宋" w:hint="eastAsia"/>
          <w:color w:val="000000"/>
          <w:sz w:val="24"/>
          <w:szCs w:val="24"/>
        </w:rPr>
        <w:t>（</w:t>
      </w:r>
      <w:r w:rsidRPr="007C03EE">
        <w:rPr>
          <w:rFonts w:ascii="仿宋" w:eastAsia="仿宋" w:hAnsi="仿宋"/>
          <w:color w:val="000000"/>
          <w:sz w:val="24"/>
          <w:szCs w:val="24"/>
        </w:rPr>
        <w:t>2013</w:t>
      </w:r>
      <w:r w:rsidRPr="007C03EE">
        <w:rPr>
          <w:rFonts w:ascii="仿宋" w:eastAsia="仿宋" w:hAnsi="仿宋" w:hint="eastAsia"/>
          <w:color w:val="000000"/>
          <w:sz w:val="24"/>
          <w:szCs w:val="24"/>
        </w:rPr>
        <w:t>年</w:t>
      </w:r>
      <w:r w:rsidRPr="007C03EE">
        <w:rPr>
          <w:rFonts w:ascii="仿宋" w:eastAsia="仿宋" w:hAnsi="仿宋"/>
          <w:color w:val="000000"/>
          <w:sz w:val="24"/>
          <w:szCs w:val="24"/>
        </w:rPr>
        <w:t>5</w:t>
      </w:r>
      <w:r w:rsidRPr="007C03EE">
        <w:rPr>
          <w:rFonts w:ascii="仿宋" w:eastAsia="仿宋" w:hAnsi="仿宋" w:hint="eastAsia"/>
          <w:color w:val="000000"/>
          <w:sz w:val="24"/>
          <w:szCs w:val="24"/>
        </w:rPr>
        <w:t>月</w:t>
      </w:r>
      <w:r w:rsidRPr="007C03EE">
        <w:rPr>
          <w:rFonts w:ascii="仿宋" w:eastAsia="仿宋" w:hAnsi="仿宋"/>
          <w:color w:val="000000"/>
          <w:sz w:val="24"/>
          <w:szCs w:val="24"/>
        </w:rPr>
        <w:t>6</w:t>
      </w:r>
      <w:r w:rsidRPr="007C03EE">
        <w:rPr>
          <w:rFonts w:ascii="仿宋" w:eastAsia="仿宋" w:hAnsi="仿宋" w:hint="eastAsia"/>
          <w:color w:val="000000"/>
          <w:sz w:val="24"/>
          <w:szCs w:val="24"/>
        </w:rPr>
        <w:t>日风险管理部发起，</w:t>
      </w:r>
      <w:r w:rsidRPr="007C03EE">
        <w:rPr>
          <w:rFonts w:ascii="仿宋" w:eastAsia="仿宋" w:hAnsi="仿宋"/>
          <w:color w:val="000000"/>
          <w:sz w:val="24"/>
          <w:szCs w:val="24"/>
        </w:rPr>
        <w:t xml:space="preserve"> 6</w:t>
      </w:r>
      <w:r w:rsidRPr="007C03EE">
        <w:rPr>
          <w:rFonts w:ascii="仿宋" w:eastAsia="仿宋" w:hAnsi="仿宋" w:hint="eastAsia"/>
          <w:color w:val="000000"/>
          <w:sz w:val="24"/>
          <w:szCs w:val="24"/>
        </w:rPr>
        <w:t>月</w:t>
      </w:r>
      <w:r w:rsidRPr="007C03EE">
        <w:rPr>
          <w:rFonts w:ascii="仿宋" w:eastAsia="仿宋" w:hAnsi="仿宋"/>
          <w:color w:val="000000"/>
          <w:sz w:val="24"/>
          <w:szCs w:val="24"/>
        </w:rPr>
        <w:t>15</w:t>
      </w:r>
      <w:r w:rsidRPr="007C03EE">
        <w:rPr>
          <w:rFonts w:ascii="仿宋" w:eastAsia="仿宋" w:hAnsi="仿宋" w:hint="eastAsia"/>
          <w:color w:val="000000"/>
          <w:sz w:val="24"/>
          <w:szCs w:val="24"/>
        </w:rPr>
        <w:t>日总裁批准）</w:t>
      </w:r>
      <w:bookmarkEnd w:id="2"/>
    </w:p>
    <w:p w:rsidR="004E6149" w:rsidRPr="0010588B" w:rsidRDefault="004E6149" w:rsidP="004E6149">
      <w:pPr>
        <w:spacing w:line="360" w:lineRule="auto"/>
        <w:jc w:val="center"/>
        <w:rPr>
          <w:rFonts w:ascii="仿宋" w:eastAsia="仿宋" w:hAnsi="仿宋"/>
          <w:b/>
          <w:sz w:val="32"/>
          <w:szCs w:val="32"/>
        </w:rPr>
      </w:pPr>
      <w:r w:rsidRPr="0010588B">
        <w:rPr>
          <w:rFonts w:ascii="仿宋" w:eastAsia="仿宋" w:hAnsi="仿宋" w:hint="eastAsia"/>
          <w:b/>
          <w:sz w:val="32"/>
          <w:szCs w:val="32"/>
        </w:rPr>
        <w:t>第一章</w:t>
      </w:r>
      <w:r w:rsidRPr="0010588B">
        <w:rPr>
          <w:rFonts w:ascii="仿宋" w:eastAsia="仿宋" w:hAnsi="仿宋"/>
          <w:b/>
          <w:sz w:val="32"/>
          <w:szCs w:val="32"/>
        </w:rPr>
        <w:t xml:space="preserve">  </w:t>
      </w:r>
      <w:r w:rsidRPr="0010588B">
        <w:rPr>
          <w:rFonts w:ascii="仿宋" w:eastAsia="仿宋" w:hAnsi="仿宋" w:hint="eastAsia"/>
          <w:b/>
          <w:sz w:val="32"/>
          <w:szCs w:val="32"/>
        </w:rPr>
        <w:t>总</w:t>
      </w:r>
      <w:r w:rsidRPr="0010588B">
        <w:rPr>
          <w:rFonts w:ascii="仿宋" w:eastAsia="仿宋" w:hAnsi="仿宋"/>
          <w:b/>
          <w:sz w:val="32"/>
          <w:szCs w:val="32"/>
        </w:rPr>
        <w:t xml:space="preserve">  </w:t>
      </w:r>
      <w:r w:rsidRPr="0010588B">
        <w:rPr>
          <w:rFonts w:ascii="仿宋" w:eastAsia="仿宋" w:hAnsi="仿宋" w:hint="eastAsia"/>
          <w:b/>
          <w:sz w:val="32"/>
          <w:szCs w:val="32"/>
        </w:rPr>
        <w:t>则</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为保障和促进公司证券投资类信托业务的规范发展，有效防范风险，根据中国银监会《信托公司证券投资信托业务操作指引》（银监发</w:t>
      </w:r>
      <w:r w:rsidRPr="00F06200">
        <w:rPr>
          <w:rFonts w:ascii="仿宋" w:eastAsia="仿宋" w:hAnsi="仿宋"/>
          <w:color w:val="000000"/>
          <w:sz w:val="24"/>
          <w:szCs w:val="24"/>
        </w:rPr>
        <w:t>[2009]11</w:t>
      </w:r>
      <w:r w:rsidRPr="00F06200">
        <w:rPr>
          <w:rFonts w:ascii="仿宋" w:eastAsia="仿宋" w:hAnsi="仿宋" w:hint="eastAsia"/>
          <w:color w:val="000000"/>
          <w:sz w:val="24"/>
          <w:szCs w:val="24"/>
        </w:rPr>
        <w:t>号）以及有关法律、法规及公司有关制度，制定本办法。</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本办法充分体现了风险隔离、明确授权、规范操作、安全高效、严格监管的原则。业务操作流程分前、中、后台，并采取严密措施控制证券投资业务的操作风险。</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本公司证券投资类信托业务是指公司将集合资金信托计划、或者单独管理的信托产品项下的资金投资于依法公开发行，并在符合法律规定的交易场所公开交易证券的信托业务。</w:t>
      </w:r>
    </w:p>
    <w:p w:rsidR="004E6149" w:rsidRPr="0010588B" w:rsidRDefault="004E6149" w:rsidP="004E6149">
      <w:pPr>
        <w:spacing w:line="360" w:lineRule="auto"/>
        <w:jc w:val="center"/>
        <w:rPr>
          <w:rFonts w:ascii="仿宋" w:eastAsia="仿宋" w:hAnsi="仿宋"/>
          <w:b/>
          <w:sz w:val="32"/>
          <w:szCs w:val="32"/>
        </w:rPr>
      </w:pPr>
      <w:r w:rsidRPr="0010588B">
        <w:rPr>
          <w:rFonts w:ascii="仿宋" w:eastAsia="仿宋" w:hAnsi="仿宋" w:hint="eastAsia"/>
          <w:b/>
          <w:sz w:val="32"/>
          <w:szCs w:val="32"/>
        </w:rPr>
        <w:t>第二章</w:t>
      </w:r>
      <w:r w:rsidRPr="0010588B">
        <w:rPr>
          <w:rFonts w:ascii="仿宋" w:eastAsia="仿宋" w:hAnsi="仿宋"/>
          <w:b/>
          <w:sz w:val="32"/>
          <w:szCs w:val="32"/>
        </w:rPr>
        <w:t xml:space="preserve">  </w:t>
      </w:r>
      <w:r w:rsidRPr="0010588B">
        <w:rPr>
          <w:rFonts w:ascii="仿宋" w:eastAsia="仿宋" w:hAnsi="仿宋" w:hint="eastAsia"/>
          <w:b/>
          <w:sz w:val="32"/>
          <w:szCs w:val="32"/>
        </w:rPr>
        <w:t>业务分离原则及部门职责</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证券投资类信托业务必须独立操作，项目应在资金、人员、管理等方面实行“三分离”，建立严格的防火墙隔离制度。</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公司业务部门负责证券投资类信托项目的开发，项目运营期间与其它各相关部门配合做好有关各方的沟通与协调工作；风险管理部负责风险、合规评审并负责证券投资类项目信托合同及相关法律文件的修改和审定，参与预警（平仓）指令的会签；在收到投资运营部、资产管理部每季一次的存续期管理报告后完成存续期管理综合评价表；投资运营部负责证券投资类信托项目运营期间的统一管理，具体包括投资交易的执行、风险监控、项目运营期间分析与存续期管理报告的撰写；资产管理部负责证券投资类信托项目运营期间的日常管理，包括信息披露、收益分配、风险监控、项目运营期间分析与管理报告的撰写、发起预警（平仓）指令；财富管理总部负责集合类信托项目的发行、负责集合类项目的申购、赎回、客户管理和信息披露文件的寄送；财务部负责每日结算、每日估值、与保管行核对账目及净值、证券投资类信托项目的财务核算、编制相关报表，并向资产管理部及时提供资金划转流水记录；信息技术部负责网络、交易管理及估值系统的保障和维护，确保证券投资所需的软硬件环境正常及稳定。</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lastRenderedPageBreak/>
        <w:t>公司管理不同信托项目的信托资金，不得混同使用。各信托项目项下的资金必须封闭管理</w:t>
      </w:r>
      <w:r w:rsidRPr="00F06200">
        <w:rPr>
          <w:rFonts w:ascii="仿宋" w:eastAsia="仿宋" w:hAnsi="仿宋"/>
          <w:color w:val="000000"/>
          <w:sz w:val="24"/>
          <w:szCs w:val="24"/>
        </w:rPr>
        <w:t>,</w:t>
      </w:r>
      <w:r w:rsidRPr="00F06200">
        <w:rPr>
          <w:rFonts w:ascii="仿宋" w:eastAsia="仿宋" w:hAnsi="仿宋" w:hint="eastAsia"/>
          <w:color w:val="000000"/>
          <w:sz w:val="24"/>
          <w:szCs w:val="24"/>
        </w:rPr>
        <w:t>独立开立信托财产保管账户、信托专用证券账户、信托专用资金账户，并独立进行操作与核算。</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证券投资类信托业务的每一环节应由专人专岗负责，各岗位人员须严格执行相应的岗位职责，不得与其他非岗位人员混兼操作。</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证券投资类信托业务所用账号、账本、合同、协议书、授权书、柜员号及权限等有关资产及具体业务往来凭据，根据公司制度要求须单独设立、保存与管理。</w:t>
      </w:r>
    </w:p>
    <w:p w:rsidR="004E6149" w:rsidRPr="0010588B" w:rsidRDefault="004E6149" w:rsidP="004E6149">
      <w:pPr>
        <w:spacing w:line="360" w:lineRule="auto"/>
        <w:jc w:val="center"/>
        <w:rPr>
          <w:rFonts w:ascii="仿宋" w:eastAsia="仿宋" w:hAnsi="仿宋"/>
          <w:b/>
          <w:sz w:val="32"/>
          <w:szCs w:val="32"/>
        </w:rPr>
      </w:pPr>
      <w:r w:rsidRPr="0010588B">
        <w:rPr>
          <w:rFonts w:ascii="仿宋" w:eastAsia="仿宋" w:hAnsi="仿宋" w:hint="eastAsia"/>
          <w:b/>
          <w:sz w:val="32"/>
          <w:szCs w:val="32"/>
        </w:rPr>
        <w:t>第三章</w:t>
      </w:r>
      <w:r w:rsidRPr="0010588B">
        <w:rPr>
          <w:rFonts w:ascii="仿宋" w:eastAsia="仿宋" w:hAnsi="仿宋"/>
          <w:b/>
          <w:sz w:val="32"/>
          <w:szCs w:val="32"/>
        </w:rPr>
        <w:t xml:space="preserve">  </w:t>
      </w:r>
      <w:r w:rsidRPr="0010588B">
        <w:rPr>
          <w:rFonts w:ascii="仿宋" w:eastAsia="仿宋" w:hAnsi="仿宋" w:hint="eastAsia"/>
          <w:b/>
          <w:sz w:val="32"/>
          <w:szCs w:val="32"/>
        </w:rPr>
        <w:t>授权制度</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在证券投资类信托业务的操作过程中，公司授权投资运营部按照有关法律、法规、公司相关制度及信托计划相关文件规定，具体负责证券投资类信托项目运营期间的统一管理。</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投资运营部根据业务操作的需要，由部门总经理合理安排项目管理岗位及人员，做好项目管理与授权工作，建立相互监督、相互制约的管理机制。</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证券投资类信托业务相关人员上岗实行授权指定制度。保管银行、证券公司、投资顾问等人员授权依据“保管协议”、“证券经纪服务协议”和“投资顾问协议”的约定出具授权书。公司内部各岗位人员由各部门总经理依据本办法指派授权。在信托项目正式运营前，由该项目的信托经理协调各方制作相关业务人员联系表（见附件</w:t>
      </w:r>
      <w:r w:rsidRPr="00F06200">
        <w:rPr>
          <w:rFonts w:ascii="仿宋" w:eastAsia="仿宋" w:hAnsi="仿宋"/>
          <w:color w:val="000000"/>
          <w:sz w:val="24"/>
          <w:szCs w:val="24"/>
        </w:rPr>
        <w:t>1</w:t>
      </w:r>
      <w:r w:rsidRPr="00F06200">
        <w:rPr>
          <w:rFonts w:ascii="仿宋" w:eastAsia="仿宋" w:hAnsi="仿宋" w:hint="eastAsia"/>
          <w:color w:val="000000"/>
          <w:sz w:val="24"/>
          <w:szCs w:val="24"/>
        </w:rPr>
        <w:t>）。相关授权人根据信托项目文件需要在相关文件中附明。各岗位人员应严格在授权范围内实施业务操作，不得有超越信托文件约定范围和权限的行为。</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各岗位人员均须按本办法和公司相关业务制度规定，严格遵循职业操守，审慎使用本人的岗位权限，不得滥用岗位权限；对接触到的数据、资料和信息应承担保密义务，不得泄漏未经公开的业务资料及信息。</w:t>
      </w:r>
    </w:p>
    <w:p w:rsidR="004E6149" w:rsidRPr="0010588B" w:rsidRDefault="004E6149" w:rsidP="004E6149">
      <w:pPr>
        <w:pStyle w:val="a5"/>
        <w:spacing w:line="360" w:lineRule="auto"/>
        <w:ind w:left="420" w:firstLineChars="0" w:firstLine="0"/>
        <w:jc w:val="center"/>
        <w:rPr>
          <w:rFonts w:ascii="仿宋" w:eastAsia="仿宋" w:hAnsi="仿宋"/>
          <w:b/>
          <w:sz w:val="32"/>
          <w:szCs w:val="32"/>
        </w:rPr>
      </w:pPr>
      <w:r w:rsidRPr="0010588B">
        <w:rPr>
          <w:rFonts w:ascii="仿宋" w:eastAsia="仿宋" w:hAnsi="仿宋" w:hint="eastAsia"/>
          <w:b/>
          <w:sz w:val="32"/>
          <w:szCs w:val="32"/>
        </w:rPr>
        <w:t>第四章</w:t>
      </w:r>
      <w:r w:rsidRPr="0010588B">
        <w:rPr>
          <w:rFonts w:ascii="仿宋" w:eastAsia="仿宋" w:hAnsi="仿宋"/>
          <w:b/>
          <w:sz w:val="32"/>
          <w:szCs w:val="32"/>
        </w:rPr>
        <w:t xml:space="preserve">  </w:t>
      </w:r>
      <w:r w:rsidRPr="0010588B">
        <w:rPr>
          <w:rFonts w:ascii="仿宋" w:eastAsia="仿宋" w:hAnsi="仿宋" w:hint="eastAsia"/>
          <w:b/>
          <w:sz w:val="32"/>
          <w:szCs w:val="32"/>
        </w:rPr>
        <w:t>岗位设置和职责</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公司证券投资类信托业务依据操作流程设置授权岗位，分别为信托经理、投资经理、交易员、清算员、信托会计、客服经理（集合类信托项目中设置）等，其中投资经理和交易员须具备三年以上从事证券投资业务的经历。上述人员由所在部门总经理指派，经公司授权担任。各岗位人员必须熟悉信托文件</w:t>
      </w:r>
      <w:r w:rsidRPr="00F06200">
        <w:rPr>
          <w:rFonts w:ascii="仿宋" w:eastAsia="仿宋" w:hAnsi="仿宋" w:hint="eastAsia"/>
          <w:color w:val="000000"/>
          <w:sz w:val="24"/>
          <w:szCs w:val="24"/>
        </w:rPr>
        <w:lastRenderedPageBreak/>
        <w:t>的相关内容。</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公司投资运营部作为负责实施证券投资类信托业务统一管理的部门，应按照本办法的要求制定严格、详细的内部管理规章制度和业务操作细则。</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信托经理的岗位职责包括：</w:t>
      </w:r>
    </w:p>
    <w:p w:rsidR="004E6149" w:rsidRPr="00F06200" w:rsidRDefault="004E6149" w:rsidP="004E6149">
      <w:pPr>
        <w:pStyle w:val="a5"/>
        <w:numPr>
          <w:ilvl w:val="0"/>
          <w:numId w:val="1"/>
        </w:numPr>
        <w:tabs>
          <w:tab w:val="left" w:pos="0"/>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负责证券投资类信托项目成立、发行过程中公司各相关部门的衔接与协调；</w:t>
      </w:r>
    </w:p>
    <w:p w:rsidR="004E6149" w:rsidRPr="00F06200" w:rsidRDefault="004E6149" w:rsidP="004E6149">
      <w:pPr>
        <w:pStyle w:val="a5"/>
        <w:numPr>
          <w:ilvl w:val="0"/>
          <w:numId w:val="1"/>
        </w:numPr>
        <w:tabs>
          <w:tab w:val="left" w:pos="0"/>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协调各部门做好证券投资类信托项目运营期间管理过程中的沟通与协调；</w:t>
      </w:r>
    </w:p>
    <w:p w:rsidR="004E6149" w:rsidRPr="00F06200" w:rsidRDefault="004E6149" w:rsidP="004E6149">
      <w:pPr>
        <w:pStyle w:val="a5"/>
        <w:numPr>
          <w:ilvl w:val="0"/>
          <w:numId w:val="1"/>
        </w:numPr>
        <w:tabs>
          <w:tab w:val="left" w:pos="0"/>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负责证券投资类信托项目非交易过程中的资金划转。</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信息技术部应设置系统管理员岗位，可由部门管理人员或非操作岗位员工兼任，职责包括：</w:t>
      </w:r>
    </w:p>
    <w:p w:rsidR="004E6149" w:rsidRPr="00F06200" w:rsidRDefault="004E6149" w:rsidP="004E6149">
      <w:pPr>
        <w:pStyle w:val="a5"/>
        <w:numPr>
          <w:ilvl w:val="0"/>
          <w:numId w:val="2"/>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根据公司授权和信托文件的要求，对证券投资类信托项目相关人员分配恒生资产管理系统的权限；</w:t>
      </w:r>
    </w:p>
    <w:p w:rsidR="004E6149" w:rsidRPr="00F06200" w:rsidRDefault="004E6149" w:rsidP="004E6149">
      <w:pPr>
        <w:pStyle w:val="a5"/>
        <w:numPr>
          <w:ilvl w:val="0"/>
          <w:numId w:val="2"/>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负责证券投资类信托业务相关人员在恒生资产管理系统中的权限分配。</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投资经理的岗位职责包括：</w:t>
      </w:r>
    </w:p>
    <w:p w:rsidR="004E6149" w:rsidRPr="00F06200" w:rsidRDefault="004E6149" w:rsidP="004E6149">
      <w:pPr>
        <w:pStyle w:val="a5"/>
        <w:numPr>
          <w:ilvl w:val="0"/>
          <w:numId w:val="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协助业务部门做好证券投资类信托项目的拓展工作，为业务部门的项目开发提供专业咨询和支持；</w:t>
      </w:r>
    </w:p>
    <w:p w:rsidR="004E6149" w:rsidRPr="00F06200" w:rsidRDefault="004E6149" w:rsidP="004E6149">
      <w:pPr>
        <w:pStyle w:val="a5"/>
        <w:numPr>
          <w:ilvl w:val="0"/>
          <w:numId w:val="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负责公司证券类信托创新项目的产品方案和风控条件的拟定；</w:t>
      </w:r>
    </w:p>
    <w:p w:rsidR="004E6149" w:rsidRPr="00F06200" w:rsidRDefault="004E6149" w:rsidP="004E6149">
      <w:pPr>
        <w:pStyle w:val="a5"/>
        <w:numPr>
          <w:ilvl w:val="0"/>
          <w:numId w:val="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负责证券投资类信托产品方案预审中操作条款及风控条件的审核与会签；</w:t>
      </w:r>
    </w:p>
    <w:p w:rsidR="004E6149" w:rsidRPr="00F06200" w:rsidRDefault="004E6149" w:rsidP="004E6149">
      <w:pPr>
        <w:pStyle w:val="a5"/>
        <w:numPr>
          <w:ilvl w:val="0"/>
          <w:numId w:val="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监督交易员对投资交易的审核与执行，风险监控、减仓及止损，交易结果是否及时发送给相关方；</w:t>
      </w:r>
    </w:p>
    <w:p w:rsidR="004E6149" w:rsidRPr="00F06200" w:rsidRDefault="004E6149" w:rsidP="004E6149">
      <w:pPr>
        <w:pStyle w:val="a5"/>
        <w:numPr>
          <w:ilvl w:val="0"/>
          <w:numId w:val="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负责证券投资类信托项目风控条件在恒生资产管理系统中参数设置的复核与检查；</w:t>
      </w:r>
    </w:p>
    <w:p w:rsidR="004E6149" w:rsidRPr="00F06200" w:rsidRDefault="004E6149" w:rsidP="004E6149">
      <w:pPr>
        <w:pStyle w:val="a5"/>
        <w:numPr>
          <w:ilvl w:val="0"/>
          <w:numId w:val="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严格按照公司的授权制定投资决策方案进行投资运作，对投资顾问提交的投资建议书、或委托人代表提交的委托人指令进行审核，并下达交易指令；</w:t>
      </w:r>
    </w:p>
    <w:p w:rsidR="004E6149" w:rsidRPr="00F06200" w:rsidRDefault="004E6149" w:rsidP="004E6149">
      <w:pPr>
        <w:pStyle w:val="a5"/>
        <w:numPr>
          <w:ilvl w:val="0"/>
          <w:numId w:val="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实时监控证券交易过程中的风险变化，密切关注持仓证券及交易标的的市场变化，随时监控投资风险，及时提出应对措施；</w:t>
      </w:r>
    </w:p>
    <w:p w:rsidR="004E6149" w:rsidRPr="00F06200" w:rsidRDefault="004E6149" w:rsidP="004E6149">
      <w:pPr>
        <w:pStyle w:val="a5"/>
        <w:numPr>
          <w:ilvl w:val="0"/>
          <w:numId w:val="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对交易过程中出现的突发性问题，及时与投资顾问、券商等机构进</w:t>
      </w:r>
      <w:r w:rsidRPr="00F06200">
        <w:rPr>
          <w:rFonts w:ascii="仿宋" w:eastAsia="仿宋" w:hAnsi="仿宋" w:hint="eastAsia"/>
          <w:color w:val="000000"/>
          <w:sz w:val="24"/>
          <w:szCs w:val="24"/>
        </w:rPr>
        <w:lastRenderedPageBreak/>
        <w:t>行沟通、解决；</w:t>
      </w:r>
    </w:p>
    <w:p w:rsidR="004E6149" w:rsidRPr="00F06200" w:rsidRDefault="004E6149" w:rsidP="004E6149">
      <w:pPr>
        <w:pStyle w:val="a5"/>
        <w:numPr>
          <w:ilvl w:val="0"/>
          <w:numId w:val="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未设投资顾问的证券投资类信托项目，由投资经理提出公司股票池的建立、更新及投资策略、计划并经批准后下达交易指令给交易员，并监督交易指令的执行；</w:t>
      </w:r>
    </w:p>
    <w:p w:rsidR="004E6149" w:rsidRPr="00F06200" w:rsidRDefault="004E6149" w:rsidP="004E6149">
      <w:pPr>
        <w:pStyle w:val="a5"/>
        <w:numPr>
          <w:ilvl w:val="0"/>
          <w:numId w:val="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负责撰写证券投资类信托项目的期间分析与管理报告。</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风控专员的岗位职责包括：</w:t>
      </w:r>
    </w:p>
    <w:p w:rsidR="004E6149" w:rsidRPr="00F06200" w:rsidRDefault="004E6149" w:rsidP="004E6149">
      <w:pPr>
        <w:pStyle w:val="a5"/>
        <w:numPr>
          <w:ilvl w:val="0"/>
          <w:numId w:val="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负责证券投资类信托项目评审过程的风险评审；</w:t>
      </w:r>
    </w:p>
    <w:p w:rsidR="004E6149" w:rsidRPr="00F06200" w:rsidRDefault="004E6149" w:rsidP="004E6149">
      <w:pPr>
        <w:pStyle w:val="a5"/>
        <w:numPr>
          <w:ilvl w:val="0"/>
          <w:numId w:val="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对证券投资类信托项目在恒生资产管理系统中设置的风控条件进行检查；</w:t>
      </w:r>
    </w:p>
    <w:p w:rsidR="004E6149" w:rsidRPr="00F06200" w:rsidRDefault="004E6149" w:rsidP="004E6149">
      <w:pPr>
        <w:pStyle w:val="a5"/>
        <w:numPr>
          <w:ilvl w:val="0"/>
          <w:numId w:val="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参与预警（止损）通知书的会签。</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交易员的岗位职责包括：</w:t>
      </w:r>
    </w:p>
    <w:p w:rsidR="004E6149" w:rsidRPr="00F06200" w:rsidRDefault="004E6149" w:rsidP="004E6149">
      <w:pPr>
        <w:pStyle w:val="a5"/>
        <w:numPr>
          <w:ilvl w:val="0"/>
          <w:numId w:val="5"/>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根据信托文件的规定，审核经授权的授权代表（专职投资顾问或委托人代表）的投资建议；</w:t>
      </w:r>
    </w:p>
    <w:p w:rsidR="004E6149" w:rsidRPr="00F06200" w:rsidRDefault="004E6149" w:rsidP="004E6149">
      <w:pPr>
        <w:pStyle w:val="a5"/>
        <w:numPr>
          <w:ilvl w:val="0"/>
          <w:numId w:val="5"/>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经审核后认为可以采纳的，按照投资建议进行证券投资操作；</w:t>
      </w:r>
    </w:p>
    <w:p w:rsidR="004E6149" w:rsidRPr="00F06200" w:rsidRDefault="004E6149" w:rsidP="004E6149">
      <w:pPr>
        <w:pStyle w:val="a5"/>
        <w:numPr>
          <w:ilvl w:val="0"/>
          <w:numId w:val="5"/>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实时监控证券交易过程中的风险变化，密切关注持仓证券及交易标的的市场变化，随时监控投资风险，及时提出应对建议并经批准后实施；</w:t>
      </w:r>
    </w:p>
    <w:p w:rsidR="004E6149" w:rsidRPr="00F06200" w:rsidRDefault="004E6149" w:rsidP="004E6149">
      <w:pPr>
        <w:pStyle w:val="a5"/>
        <w:numPr>
          <w:ilvl w:val="0"/>
          <w:numId w:val="5"/>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定期整理经授权的授权代表（专职投资顾问或委托人代表）的投资建议等信息资料，并按期按项及时归档，以备查阅；</w:t>
      </w:r>
    </w:p>
    <w:p w:rsidR="004E6149" w:rsidRPr="00F06200" w:rsidRDefault="004E6149" w:rsidP="004E6149">
      <w:pPr>
        <w:pStyle w:val="a5"/>
        <w:numPr>
          <w:ilvl w:val="0"/>
          <w:numId w:val="5"/>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未设投资顾问的信托项目，根据投资经理的指令进行交易；</w:t>
      </w:r>
      <w:r w:rsidRPr="00F06200">
        <w:rPr>
          <w:rFonts w:ascii="仿宋" w:eastAsia="仿宋" w:hAnsi="仿宋"/>
          <w:color w:val="000000"/>
          <w:sz w:val="24"/>
          <w:szCs w:val="24"/>
        </w:rPr>
        <w:t xml:space="preserve"> </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清算员的岗位职责包括：</w:t>
      </w:r>
    </w:p>
    <w:p w:rsidR="004E6149" w:rsidRPr="00F06200" w:rsidRDefault="004E6149" w:rsidP="004E6149">
      <w:pPr>
        <w:pStyle w:val="a5"/>
        <w:numPr>
          <w:ilvl w:val="0"/>
          <w:numId w:val="6"/>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每个交易日开市之前完成恒生资产管理系统的清算和日初始化；</w:t>
      </w:r>
    </w:p>
    <w:p w:rsidR="004E6149" w:rsidRPr="00F06200" w:rsidRDefault="004E6149" w:rsidP="004E6149">
      <w:pPr>
        <w:pStyle w:val="a5"/>
        <w:numPr>
          <w:ilvl w:val="0"/>
          <w:numId w:val="6"/>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负责接收并整理券商传送的上个交易日的交易数据；</w:t>
      </w:r>
    </w:p>
    <w:p w:rsidR="004E6149" w:rsidRPr="00F06200" w:rsidRDefault="004E6149" w:rsidP="004E6149">
      <w:pPr>
        <w:pStyle w:val="a5"/>
        <w:numPr>
          <w:ilvl w:val="0"/>
          <w:numId w:val="6"/>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每个交易日对证券投资类信托项目进行估值；</w:t>
      </w:r>
    </w:p>
    <w:p w:rsidR="004E6149" w:rsidRPr="00F06200" w:rsidRDefault="004E6149" w:rsidP="004E6149">
      <w:pPr>
        <w:pStyle w:val="a5"/>
        <w:numPr>
          <w:ilvl w:val="0"/>
          <w:numId w:val="6"/>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信托产品的估值日、开放日与保管银行核对估值结果，每周一发送上周五项目净值表至资产管理部；</w:t>
      </w:r>
    </w:p>
    <w:p w:rsidR="004E6149" w:rsidRPr="00F06200" w:rsidRDefault="004E6149" w:rsidP="004E6149">
      <w:pPr>
        <w:pStyle w:val="a5"/>
        <w:numPr>
          <w:ilvl w:val="0"/>
          <w:numId w:val="6"/>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配合相关部门提供相关报表中的净值信息。</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信托会计的岗位职责包括：</w:t>
      </w:r>
    </w:p>
    <w:p w:rsidR="004E6149" w:rsidRPr="00F06200" w:rsidRDefault="004E6149" w:rsidP="004E6149">
      <w:pPr>
        <w:pStyle w:val="a5"/>
        <w:numPr>
          <w:ilvl w:val="0"/>
          <w:numId w:val="7"/>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负责证券投资类信托项目的拨款审核；</w:t>
      </w:r>
    </w:p>
    <w:p w:rsidR="004E6149" w:rsidRPr="00F06200" w:rsidRDefault="004E6149" w:rsidP="004E6149">
      <w:pPr>
        <w:pStyle w:val="a5"/>
        <w:numPr>
          <w:ilvl w:val="0"/>
          <w:numId w:val="7"/>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负责证券投资类信托项目的会计核算；</w:t>
      </w:r>
    </w:p>
    <w:p w:rsidR="004E6149" w:rsidRPr="00F06200" w:rsidRDefault="004E6149" w:rsidP="004E6149">
      <w:pPr>
        <w:pStyle w:val="a5"/>
        <w:numPr>
          <w:ilvl w:val="0"/>
          <w:numId w:val="7"/>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负责证券投资类信托项目所投资合伙企业的纳税申报；</w:t>
      </w:r>
    </w:p>
    <w:p w:rsidR="004E6149" w:rsidRPr="00F06200" w:rsidRDefault="004E6149" w:rsidP="004E6149">
      <w:pPr>
        <w:pStyle w:val="a5"/>
        <w:numPr>
          <w:ilvl w:val="0"/>
          <w:numId w:val="7"/>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lastRenderedPageBreak/>
        <w:t>在开放日根据财富管理总部提供的申购、赎回明细及资产管理部提供的净值计算申购份额及赎回金额；</w:t>
      </w:r>
    </w:p>
    <w:p w:rsidR="004E6149" w:rsidRPr="00F06200" w:rsidRDefault="004E6149" w:rsidP="004E6149">
      <w:pPr>
        <w:pStyle w:val="a5"/>
        <w:numPr>
          <w:ilvl w:val="0"/>
          <w:numId w:val="7"/>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负责证券投资类信托项目会计报表的编制；</w:t>
      </w:r>
    </w:p>
    <w:p w:rsidR="004E6149" w:rsidRPr="00F06200" w:rsidRDefault="004E6149" w:rsidP="004E6149">
      <w:pPr>
        <w:pStyle w:val="a5"/>
        <w:numPr>
          <w:ilvl w:val="0"/>
          <w:numId w:val="7"/>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负责审核证券投资类信托项目的兑付清算。</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客服经理的岗位职责包括：</w:t>
      </w:r>
    </w:p>
    <w:p w:rsidR="004E6149" w:rsidRPr="00F06200" w:rsidRDefault="004E6149" w:rsidP="004E6149">
      <w:pPr>
        <w:pStyle w:val="a5"/>
        <w:numPr>
          <w:ilvl w:val="0"/>
          <w:numId w:val="8"/>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集合类证券信托项目设置客服经理，客服经理负责集合类证券信托项目的客户服务管理工作；</w:t>
      </w:r>
    </w:p>
    <w:p w:rsidR="004E6149" w:rsidRPr="00F06200" w:rsidRDefault="004E6149" w:rsidP="004E6149">
      <w:pPr>
        <w:pStyle w:val="a5"/>
        <w:numPr>
          <w:ilvl w:val="0"/>
          <w:numId w:val="8"/>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负责按照信托文件约定的披露方式依据清算员提供的信托单位净值向客户进行信息披露；</w:t>
      </w:r>
    </w:p>
    <w:p w:rsidR="004E6149" w:rsidRPr="00F06200" w:rsidRDefault="004E6149" w:rsidP="004E6149">
      <w:pPr>
        <w:pStyle w:val="a5"/>
        <w:numPr>
          <w:ilvl w:val="0"/>
          <w:numId w:val="8"/>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随时应委托人、受益人要求披露上一个交易日的信托单位净值。</w:t>
      </w:r>
    </w:p>
    <w:p w:rsidR="004E6149" w:rsidRPr="0010588B" w:rsidRDefault="004E6149" w:rsidP="004E6149">
      <w:pPr>
        <w:spacing w:line="360" w:lineRule="auto"/>
        <w:jc w:val="center"/>
        <w:rPr>
          <w:rFonts w:ascii="仿宋" w:eastAsia="仿宋" w:hAnsi="仿宋"/>
          <w:b/>
          <w:sz w:val="32"/>
          <w:szCs w:val="32"/>
        </w:rPr>
      </w:pPr>
      <w:r w:rsidRPr="0010588B">
        <w:rPr>
          <w:rFonts w:ascii="仿宋" w:eastAsia="仿宋" w:hAnsi="仿宋" w:hint="eastAsia"/>
          <w:b/>
          <w:sz w:val="32"/>
          <w:szCs w:val="32"/>
        </w:rPr>
        <w:t>第五章</w:t>
      </w:r>
      <w:r w:rsidRPr="0010588B">
        <w:rPr>
          <w:rFonts w:ascii="仿宋" w:eastAsia="仿宋" w:hAnsi="仿宋"/>
          <w:b/>
          <w:sz w:val="32"/>
          <w:szCs w:val="32"/>
        </w:rPr>
        <w:t xml:space="preserve">  </w:t>
      </w:r>
      <w:r w:rsidRPr="0010588B">
        <w:rPr>
          <w:rFonts w:ascii="仿宋" w:eastAsia="仿宋" w:hAnsi="仿宋" w:hint="eastAsia"/>
          <w:b/>
          <w:sz w:val="32"/>
          <w:szCs w:val="32"/>
        </w:rPr>
        <w:t>信托计划相关账户的开立与移交</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公司财务部开立信托专用银行账户，资产管理部指定专人负责开立信托专用证券账户、信托专用资金账户。</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为了保证证券投资类项目的顺利运营，投资顾问或委托人代表能够及时使用远程客户端，业务部门及信托经理应按照下列流程实施移交工作：</w:t>
      </w:r>
    </w:p>
    <w:p w:rsidR="004E6149" w:rsidRPr="00F06200" w:rsidRDefault="004E6149" w:rsidP="004E6149">
      <w:pPr>
        <w:pStyle w:val="a5"/>
        <w:numPr>
          <w:ilvl w:val="0"/>
          <w:numId w:val="9"/>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证券投资类集合信托项目立项时，业务部门应将下列相关文件、信息要素及时移交到风险管理部，风险管理部在信托计划成立后一个工作日内将其移交给资产管理部：</w:t>
      </w:r>
    </w:p>
    <w:p w:rsidR="004E6149" w:rsidRPr="00F06200" w:rsidRDefault="004E6149" w:rsidP="004E6149">
      <w:pPr>
        <w:pStyle w:val="a5"/>
        <w:numPr>
          <w:ilvl w:val="0"/>
          <w:numId w:val="10"/>
        </w:numPr>
        <w:tabs>
          <w:tab w:val="left" w:pos="84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尽职调查报告等立项所需全套资料；</w:t>
      </w:r>
    </w:p>
    <w:p w:rsidR="004E6149" w:rsidRPr="00F06200" w:rsidRDefault="004E6149" w:rsidP="004E6149">
      <w:pPr>
        <w:pStyle w:val="a5"/>
        <w:numPr>
          <w:ilvl w:val="0"/>
          <w:numId w:val="10"/>
        </w:numPr>
        <w:tabs>
          <w:tab w:val="left" w:pos="84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该项目的全套信托文件；</w:t>
      </w:r>
    </w:p>
    <w:p w:rsidR="004E6149" w:rsidRPr="00F06200" w:rsidRDefault="004E6149" w:rsidP="004E6149">
      <w:pPr>
        <w:pStyle w:val="a5"/>
        <w:numPr>
          <w:ilvl w:val="0"/>
          <w:numId w:val="10"/>
        </w:numPr>
        <w:tabs>
          <w:tab w:val="left" w:pos="84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投资顾问协议（包括投资顾问授权代表签字、盖章的授权书）、联系方式（电话、传真、</w:t>
      </w:r>
      <w:r w:rsidRPr="00F06200">
        <w:rPr>
          <w:rFonts w:ascii="仿宋" w:eastAsia="仿宋" w:hAnsi="仿宋"/>
          <w:color w:val="000000"/>
          <w:sz w:val="24"/>
          <w:szCs w:val="24"/>
        </w:rPr>
        <w:t>QQ</w:t>
      </w:r>
      <w:r w:rsidRPr="00F06200">
        <w:rPr>
          <w:rFonts w:ascii="仿宋" w:eastAsia="仿宋" w:hAnsi="仿宋" w:hint="eastAsia"/>
          <w:color w:val="000000"/>
          <w:sz w:val="24"/>
          <w:szCs w:val="24"/>
        </w:rPr>
        <w:t>号、邮箱）、已签署的《开通恒生资产管理系统远程客户端承诺函》（见附件</w:t>
      </w:r>
      <w:r w:rsidRPr="00F06200">
        <w:rPr>
          <w:rFonts w:ascii="仿宋" w:eastAsia="仿宋" w:hAnsi="仿宋"/>
          <w:color w:val="000000"/>
          <w:sz w:val="24"/>
          <w:szCs w:val="24"/>
        </w:rPr>
        <w:t>2</w:t>
      </w:r>
      <w:r w:rsidRPr="00F06200">
        <w:rPr>
          <w:rFonts w:ascii="仿宋" w:eastAsia="仿宋" w:hAnsi="仿宋" w:hint="eastAsia"/>
          <w:color w:val="000000"/>
          <w:sz w:val="24"/>
          <w:szCs w:val="24"/>
        </w:rPr>
        <w:t>）；</w:t>
      </w:r>
    </w:p>
    <w:p w:rsidR="004E6149" w:rsidRPr="00F06200" w:rsidRDefault="004E6149" w:rsidP="004E6149">
      <w:pPr>
        <w:pStyle w:val="a5"/>
        <w:numPr>
          <w:ilvl w:val="0"/>
          <w:numId w:val="10"/>
        </w:numPr>
        <w:tabs>
          <w:tab w:val="left" w:pos="84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经纪服务协议（项目开户所在券商、券商相关授权人员联系方式、项目的费率表等）；</w:t>
      </w:r>
    </w:p>
    <w:p w:rsidR="004E6149" w:rsidRPr="00F06200" w:rsidRDefault="004E6149" w:rsidP="004E6149">
      <w:pPr>
        <w:pStyle w:val="a5"/>
        <w:numPr>
          <w:ilvl w:val="0"/>
          <w:numId w:val="10"/>
        </w:numPr>
        <w:tabs>
          <w:tab w:val="left" w:pos="84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其他相关资料。</w:t>
      </w:r>
    </w:p>
    <w:p w:rsidR="004E6149" w:rsidRPr="00F06200" w:rsidRDefault="004E6149" w:rsidP="004E6149">
      <w:pPr>
        <w:pStyle w:val="a5"/>
        <w:tabs>
          <w:tab w:val="left" w:pos="0"/>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以上资料提供复印件即可，由业务部门相关人员填写《资料移交清单》（见附件</w:t>
      </w:r>
      <w:r w:rsidRPr="00F06200">
        <w:rPr>
          <w:rFonts w:ascii="仿宋" w:eastAsia="仿宋" w:hAnsi="仿宋"/>
          <w:color w:val="000000"/>
          <w:sz w:val="24"/>
          <w:szCs w:val="24"/>
        </w:rPr>
        <w:t>3</w:t>
      </w:r>
      <w:r w:rsidRPr="00F06200">
        <w:rPr>
          <w:rFonts w:ascii="仿宋" w:eastAsia="仿宋" w:hAnsi="仿宋" w:hint="eastAsia"/>
          <w:color w:val="000000"/>
          <w:sz w:val="24"/>
          <w:szCs w:val="24"/>
        </w:rPr>
        <w:t>）办理移交手续。</w:t>
      </w:r>
    </w:p>
    <w:p w:rsidR="004E6149" w:rsidRPr="00F06200" w:rsidRDefault="004E6149" w:rsidP="004E6149">
      <w:pPr>
        <w:pStyle w:val="a5"/>
        <w:numPr>
          <w:ilvl w:val="0"/>
          <w:numId w:val="9"/>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信托经理在移交上述资料前及时将相关信息录入到恒生资产管理</w:t>
      </w:r>
      <w:r w:rsidRPr="00F06200">
        <w:rPr>
          <w:rFonts w:ascii="仿宋" w:eastAsia="仿宋" w:hAnsi="仿宋" w:hint="eastAsia"/>
          <w:color w:val="000000"/>
          <w:sz w:val="24"/>
          <w:szCs w:val="24"/>
        </w:rPr>
        <w:lastRenderedPageBreak/>
        <w:t>系统，建立该项目的基本信息；并由信息技术部根据信托文件约定分配投资经理、交易员的权限，安排投资顾问的操作员号。</w:t>
      </w:r>
    </w:p>
    <w:p w:rsidR="004E6149" w:rsidRPr="00F06200" w:rsidRDefault="004E6149" w:rsidP="004E6149">
      <w:pPr>
        <w:pStyle w:val="a5"/>
        <w:numPr>
          <w:ilvl w:val="0"/>
          <w:numId w:val="9"/>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投资经理在接收上述资料的同时，将证券投资类信托项目开户券商信息、投资顾问的联系方式、投资顾问的操作员号以《投资顾问开通远程客户端联系信息表》（附件</w:t>
      </w:r>
      <w:r w:rsidRPr="00F06200">
        <w:rPr>
          <w:rFonts w:ascii="仿宋" w:eastAsia="仿宋" w:hAnsi="仿宋"/>
          <w:color w:val="000000"/>
          <w:sz w:val="24"/>
          <w:szCs w:val="24"/>
        </w:rPr>
        <w:t>4</w:t>
      </w:r>
      <w:r w:rsidRPr="00F06200">
        <w:rPr>
          <w:rFonts w:ascii="仿宋" w:eastAsia="仿宋" w:hAnsi="仿宋" w:hint="eastAsia"/>
          <w:color w:val="000000"/>
          <w:sz w:val="24"/>
          <w:szCs w:val="24"/>
        </w:rPr>
        <w:t>）的形式递交给信息技术部，由信息技术部负责给投资顾问安装恒生资产管理系统远程客户端，并将投资顾问使用的电脑站点备案。</w:t>
      </w:r>
    </w:p>
    <w:p w:rsidR="004E6149" w:rsidRPr="00F06200" w:rsidRDefault="004E6149" w:rsidP="004E6149">
      <w:pPr>
        <w:pStyle w:val="a5"/>
        <w:numPr>
          <w:ilvl w:val="0"/>
          <w:numId w:val="9"/>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对于证券投资类信托项目开户券商未与公司实现直连模式的，信托经理应提前与资产管理部和信息技术部沟通，提早安排系统直连事项，以便投资顾问能及时使用远程客户端，也便于实时监控、估值和财务部进行账务处理。</w:t>
      </w:r>
    </w:p>
    <w:p w:rsidR="004E6149" w:rsidRPr="0010588B" w:rsidRDefault="004E6149" w:rsidP="004E6149">
      <w:pPr>
        <w:pStyle w:val="a5"/>
        <w:spacing w:line="360" w:lineRule="auto"/>
        <w:ind w:firstLineChars="0" w:firstLine="0"/>
        <w:jc w:val="center"/>
        <w:rPr>
          <w:rFonts w:ascii="仿宋" w:eastAsia="仿宋" w:hAnsi="仿宋"/>
          <w:b/>
          <w:sz w:val="32"/>
          <w:szCs w:val="32"/>
        </w:rPr>
      </w:pPr>
      <w:r w:rsidRPr="0010588B">
        <w:rPr>
          <w:rFonts w:ascii="仿宋" w:eastAsia="仿宋" w:hAnsi="仿宋" w:hint="eastAsia"/>
          <w:b/>
          <w:sz w:val="32"/>
          <w:szCs w:val="32"/>
        </w:rPr>
        <w:t>第六章</w:t>
      </w:r>
      <w:r w:rsidRPr="0010588B">
        <w:rPr>
          <w:rFonts w:ascii="仿宋" w:eastAsia="仿宋" w:hAnsi="仿宋"/>
          <w:b/>
          <w:sz w:val="32"/>
          <w:szCs w:val="32"/>
        </w:rPr>
        <w:t xml:space="preserve"> </w:t>
      </w:r>
      <w:r w:rsidRPr="0010588B">
        <w:rPr>
          <w:rFonts w:ascii="仿宋" w:eastAsia="仿宋" w:hAnsi="仿宋" w:hint="eastAsia"/>
          <w:b/>
          <w:sz w:val="32"/>
          <w:szCs w:val="32"/>
        </w:rPr>
        <w:t>划款、交易</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证券投资类信托计划开始实施时，信托经理根据信托文件中的约定办理内部划款手续，财务部依照信托文件审核划款手续无误后向保管银行出具划款指令办理资金划转，保管银行审核无误后将进行资金划拨。</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交易流程</w:t>
      </w:r>
      <w:r w:rsidRPr="00F06200">
        <w:rPr>
          <w:rFonts w:ascii="仿宋" w:eastAsia="仿宋" w:hAnsi="仿宋"/>
          <w:color w:val="000000"/>
          <w:sz w:val="24"/>
          <w:szCs w:val="24"/>
        </w:rPr>
        <w:t xml:space="preserve"> </w:t>
      </w:r>
    </w:p>
    <w:p w:rsidR="004E6149" w:rsidRPr="00F06200" w:rsidRDefault="004E6149" w:rsidP="004E6149">
      <w:pPr>
        <w:pStyle w:val="a5"/>
        <w:numPr>
          <w:ilvl w:val="0"/>
          <w:numId w:val="11"/>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投资建议的下达。</w:t>
      </w:r>
    </w:p>
    <w:p w:rsidR="004E6149" w:rsidRPr="00F06200" w:rsidRDefault="004E6149" w:rsidP="004E6149">
      <w:pPr>
        <w:pStyle w:val="a5"/>
        <w:tabs>
          <w:tab w:val="left" w:pos="-105"/>
          <w:tab w:val="left" w:pos="1380"/>
        </w:tabs>
        <w:adjustRightInd w:val="0"/>
        <w:snapToGrid w:val="0"/>
        <w:spacing w:line="360" w:lineRule="auto"/>
        <w:ind w:firstLineChars="174" w:firstLine="418"/>
        <w:rPr>
          <w:rFonts w:ascii="仿宋" w:eastAsia="仿宋" w:hAnsi="仿宋"/>
          <w:color w:val="000000"/>
          <w:sz w:val="24"/>
          <w:szCs w:val="24"/>
        </w:rPr>
      </w:pPr>
      <w:r w:rsidRPr="00F06200">
        <w:rPr>
          <w:rFonts w:ascii="仿宋" w:eastAsia="仿宋" w:hAnsi="仿宋" w:hint="eastAsia"/>
          <w:color w:val="000000"/>
          <w:sz w:val="24"/>
          <w:szCs w:val="24"/>
        </w:rPr>
        <w:t>经授权的授权代表（专职投资顾问或委托人代表）在正常情况下应优先使用恒生资产管理系统远程客户端下达投资建议。出现突发性事件导致不能通过远程客户端提供投资建议时，授权代表可通过网络、录音电话或传真等方式下达投资建议；</w:t>
      </w:r>
    </w:p>
    <w:p w:rsidR="004E6149" w:rsidRPr="00F06200" w:rsidRDefault="004E6149" w:rsidP="004E6149">
      <w:pPr>
        <w:pStyle w:val="a5"/>
        <w:tabs>
          <w:tab w:val="left" w:pos="-105"/>
          <w:tab w:val="left" w:pos="1380"/>
        </w:tabs>
        <w:adjustRightInd w:val="0"/>
        <w:snapToGrid w:val="0"/>
        <w:spacing w:line="360" w:lineRule="auto"/>
        <w:ind w:firstLineChars="174" w:firstLine="418"/>
        <w:rPr>
          <w:rFonts w:ascii="仿宋" w:eastAsia="仿宋" w:hAnsi="仿宋"/>
          <w:color w:val="000000"/>
          <w:sz w:val="24"/>
          <w:szCs w:val="24"/>
        </w:rPr>
      </w:pPr>
      <w:r w:rsidRPr="00F06200">
        <w:rPr>
          <w:rFonts w:ascii="仿宋" w:eastAsia="仿宋" w:hAnsi="仿宋" w:hint="eastAsia"/>
          <w:color w:val="000000"/>
          <w:sz w:val="24"/>
          <w:szCs w:val="24"/>
        </w:rPr>
        <w:t>如果投资建议已经由交易员审核通过，但由于交易条件发生变化，使得投资建议无法实施时，该投资建议自动失效，第二天由经授权的授权代表重新发送。</w:t>
      </w:r>
    </w:p>
    <w:p w:rsidR="004E6149" w:rsidRPr="00F06200" w:rsidRDefault="004E6149" w:rsidP="004E6149">
      <w:pPr>
        <w:pStyle w:val="a5"/>
        <w:numPr>
          <w:ilvl w:val="0"/>
          <w:numId w:val="11"/>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投资建议的复核。投资建议下达至交易员，交易员对投资建议进行审查。</w:t>
      </w:r>
    </w:p>
    <w:p w:rsidR="004E6149" w:rsidRPr="00F06200" w:rsidRDefault="004E6149" w:rsidP="004E6149">
      <w:pPr>
        <w:pStyle w:val="a5"/>
        <w:numPr>
          <w:ilvl w:val="0"/>
          <w:numId w:val="11"/>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交易实施。投资建议审查无误后交易员通过恒生资管系统下达交易指令，指令通过券商专线下达到券商柜台实施交易。</w:t>
      </w:r>
    </w:p>
    <w:p w:rsidR="004E6149" w:rsidRPr="00F06200" w:rsidRDefault="004E6149" w:rsidP="004E6149">
      <w:pPr>
        <w:pStyle w:val="a5"/>
        <w:numPr>
          <w:ilvl w:val="0"/>
          <w:numId w:val="11"/>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交易结果确认。交易员对当日交易结果与交易指令进行核对，将实际成交情况报告给授权代表</w:t>
      </w:r>
      <w:r w:rsidRPr="00F06200">
        <w:rPr>
          <w:rFonts w:ascii="仿宋" w:eastAsia="仿宋" w:hAnsi="仿宋"/>
          <w:color w:val="000000"/>
          <w:sz w:val="24"/>
          <w:szCs w:val="24"/>
        </w:rPr>
        <w:t>,</w:t>
      </w:r>
      <w:r w:rsidRPr="00F06200">
        <w:rPr>
          <w:rFonts w:ascii="仿宋" w:eastAsia="仿宋" w:hAnsi="仿宋" w:hint="eastAsia"/>
          <w:color w:val="000000"/>
          <w:sz w:val="24"/>
          <w:szCs w:val="24"/>
        </w:rPr>
        <w:t>并对产生差异的原因做出说明。</w:t>
      </w:r>
      <w:r w:rsidRPr="00F06200">
        <w:rPr>
          <w:rFonts w:ascii="仿宋" w:eastAsia="仿宋" w:hAnsi="仿宋"/>
          <w:color w:val="000000"/>
          <w:sz w:val="24"/>
          <w:szCs w:val="24"/>
        </w:rPr>
        <w:t xml:space="preserve">   </w:t>
      </w:r>
    </w:p>
    <w:p w:rsidR="004E6149" w:rsidRPr="00F06200" w:rsidRDefault="004E6149" w:rsidP="004E6149">
      <w:pPr>
        <w:pStyle w:val="a5"/>
        <w:numPr>
          <w:ilvl w:val="0"/>
          <w:numId w:val="11"/>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投资风险的监控、预警。信托计划的投资行为不得超出信托文件中约定的投资范围，交易员应认真审查投资建议、严格监控，对超出约定投资范围</w:t>
      </w:r>
      <w:r w:rsidRPr="00F06200">
        <w:rPr>
          <w:rFonts w:ascii="仿宋" w:eastAsia="仿宋" w:hAnsi="仿宋" w:hint="eastAsia"/>
          <w:color w:val="000000"/>
          <w:sz w:val="24"/>
          <w:szCs w:val="24"/>
        </w:rPr>
        <w:lastRenderedPageBreak/>
        <w:t>的投资建议不予执行。</w:t>
      </w:r>
    </w:p>
    <w:p w:rsidR="004E6149" w:rsidRPr="00F06200" w:rsidRDefault="004E6149" w:rsidP="004E6149">
      <w:pPr>
        <w:pStyle w:val="a5"/>
        <w:tabs>
          <w:tab w:val="left" w:pos="0"/>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当信托计划总资产或单位净值低于信托文件规定的风险预警线（止损线）时，资产管理部应安排专人向投资顾问、委托人代表和信托经理下达《风险预警（止损）通知书》（见附件</w:t>
      </w:r>
      <w:r w:rsidRPr="00F06200">
        <w:rPr>
          <w:rFonts w:ascii="仿宋" w:eastAsia="仿宋" w:hAnsi="仿宋"/>
          <w:color w:val="000000"/>
          <w:sz w:val="24"/>
          <w:szCs w:val="24"/>
        </w:rPr>
        <w:t>6</w:t>
      </w:r>
      <w:r w:rsidRPr="00F06200">
        <w:rPr>
          <w:rFonts w:ascii="仿宋" w:eastAsia="仿宋" w:hAnsi="仿宋" w:hint="eastAsia"/>
          <w:color w:val="000000"/>
          <w:sz w:val="24"/>
          <w:szCs w:val="24"/>
        </w:rPr>
        <w:t>）。</w:t>
      </w:r>
    </w:p>
    <w:p w:rsidR="004E6149" w:rsidRPr="00F06200" w:rsidRDefault="004E6149" w:rsidP="004E6149">
      <w:pPr>
        <w:pStyle w:val="a5"/>
        <w:numPr>
          <w:ilvl w:val="0"/>
          <w:numId w:val="11"/>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减仓、平仓止损操作。一旦信托计划总资产或单位净值触发信托文件中规定的减仓或止损条款时，则由资产管理部填报《减仓（止损）交易指令》（见附件</w:t>
      </w:r>
      <w:r w:rsidRPr="00F06200">
        <w:rPr>
          <w:rFonts w:ascii="仿宋" w:eastAsia="仿宋" w:hAnsi="仿宋"/>
          <w:color w:val="000000"/>
          <w:sz w:val="24"/>
          <w:szCs w:val="24"/>
        </w:rPr>
        <w:t>7</w:t>
      </w:r>
      <w:r w:rsidRPr="00F06200">
        <w:rPr>
          <w:rFonts w:ascii="仿宋" w:eastAsia="仿宋" w:hAnsi="仿宋" w:hint="eastAsia"/>
          <w:color w:val="000000"/>
          <w:sz w:val="24"/>
          <w:szCs w:val="24"/>
        </w:rPr>
        <w:t>），经风险管理部会签审核并由风险总监批准后，交由交易员执行操作。当日收市后交易员应及时将平仓执行结果以电子邮件形式发送给投资顾问、委托人代表、信托经理、投资运营部、风险管理部、资产管理部并向公司管理层汇报。</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密码的管理</w:t>
      </w:r>
      <w:r w:rsidRPr="00F06200">
        <w:rPr>
          <w:rFonts w:ascii="仿宋" w:eastAsia="仿宋" w:hAnsi="仿宋"/>
          <w:color w:val="000000"/>
          <w:sz w:val="24"/>
          <w:szCs w:val="24"/>
        </w:rPr>
        <w:t xml:space="preserve">  </w:t>
      </w:r>
    </w:p>
    <w:p w:rsidR="004E6149" w:rsidRPr="00F06200" w:rsidRDefault="004E6149" w:rsidP="004E6149">
      <w:pPr>
        <w:pStyle w:val="a5"/>
        <w:tabs>
          <w:tab w:val="left" w:pos="0"/>
          <w:tab w:val="left" w:pos="1380"/>
        </w:tabs>
        <w:adjustRightInd w:val="0"/>
        <w:snapToGrid w:val="0"/>
        <w:spacing w:line="360" w:lineRule="auto"/>
        <w:ind w:firstLine="480"/>
        <w:rPr>
          <w:rFonts w:ascii="仿宋" w:eastAsia="仿宋" w:hAnsi="仿宋"/>
          <w:color w:val="000000"/>
          <w:sz w:val="24"/>
          <w:szCs w:val="24"/>
        </w:rPr>
      </w:pPr>
      <w:r w:rsidRPr="00F06200">
        <w:rPr>
          <w:rFonts w:ascii="仿宋" w:eastAsia="仿宋" w:hAnsi="仿宋" w:hint="eastAsia"/>
          <w:color w:val="000000"/>
          <w:sz w:val="24"/>
          <w:szCs w:val="24"/>
        </w:rPr>
        <w:t>证券投资类信托项目涉及到的密码有：券商网上交易密码、资金密码、恒生资产管理系统超级用户密码及相关业务人员登陆恒生资产管理系统的操作员密码。</w:t>
      </w:r>
    </w:p>
    <w:p w:rsidR="004E6149" w:rsidRPr="00F06200" w:rsidRDefault="004E6149" w:rsidP="004E6149">
      <w:pPr>
        <w:pStyle w:val="a5"/>
        <w:numPr>
          <w:ilvl w:val="0"/>
          <w:numId w:val="12"/>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证券账户交易密码、资金密码的知晓范围为交易员和投资经理。交易密码的管理采取定期变更制度，因业务需要让其他人员知晓后应立即更换。</w:t>
      </w:r>
    </w:p>
    <w:p w:rsidR="004E6149" w:rsidRPr="00F06200" w:rsidRDefault="004E6149" w:rsidP="004E6149">
      <w:pPr>
        <w:pStyle w:val="a5"/>
        <w:numPr>
          <w:ilvl w:val="0"/>
          <w:numId w:val="12"/>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恒生资产管理系统的超级用户密码由信息技术部和资产管理部共同管理，分别管理密码的前后段，使用时双方人员需同时在场。</w:t>
      </w:r>
    </w:p>
    <w:p w:rsidR="004E6149" w:rsidRPr="00F06200" w:rsidRDefault="004E6149" w:rsidP="004E6149">
      <w:pPr>
        <w:pStyle w:val="a5"/>
        <w:numPr>
          <w:ilvl w:val="0"/>
          <w:numId w:val="12"/>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项目信托专户的资金密码由财务部专门人员管理，采取定期变更制度。</w:t>
      </w:r>
    </w:p>
    <w:p w:rsidR="004E6149" w:rsidRDefault="004E6149" w:rsidP="004E6149">
      <w:pPr>
        <w:pStyle w:val="a5"/>
        <w:numPr>
          <w:ilvl w:val="0"/>
          <w:numId w:val="12"/>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恒生资产管理系统的操作员密码由具体授权的业务人员自行保管，泄露责任自行承担。</w:t>
      </w:r>
    </w:p>
    <w:p w:rsidR="004E6149" w:rsidRPr="00F06200" w:rsidRDefault="004E6149" w:rsidP="004E6149">
      <w:pPr>
        <w:pStyle w:val="a5"/>
        <w:tabs>
          <w:tab w:val="left" w:pos="1380"/>
        </w:tabs>
        <w:adjustRightInd w:val="0"/>
        <w:snapToGrid w:val="0"/>
        <w:spacing w:line="360" w:lineRule="auto"/>
        <w:ind w:firstLineChars="0" w:firstLine="0"/>
        <w:rPr>
          <w:rFonts w:ascii="仿宋" w:eastAsia="仿宋" w:hAnsi="仿宋"/>
          <w:color w:val="000000"/>
          <w:sz w:val="24"/>
          <w:szCs w:val="24"/>
        </w:rPr>
      </w:pP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交易通道的备份</w:t>
      </w:r>
      <w:r w:rsidRPr="00F06200">
        <w:rPr>
          <w:rFonts w:ascii="仿宋" w:eastAsia="仿宋" w:hAnsi="仿宋"/>
          <w:color w:val="000000"/>
          <w:sz w:val="24"/>
          <w:szCs w:val="24"/>
        </w:rPr>
        <w:t xml:space="preserve"> </w:t>
      </w:r>
    </w:p>
    <w:p w:rsidR="004E6149" w:rsidRPr="00F06200" w:rsidRDefault="004E6149" w:rsidP="004E6149">
      <w:pPr>
        <w:pStyle w:val="a5"/>
        <w:numPr>
          <w:ilvl w:val="0"/>
          <w:numId w:val="1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投资运营部交易所需的互联网应至少有一条备份线路。经纪券商应设立应急授权投资经理，因不可抗力的原因导致不能正常交易时，投资经理应通过电话通知经纪授权代表来完成委托交易。</w:t>
      </w:r>
    </w:p>
    <w:p w:rsidR="004E6149" w:rsidRPr="00F06200" w:rsidRDefault="004E6149" w:rsidP="004E6149">
      <w:pPr>
        <w:pStyle w:val="a5"/>
        <w:numPr>
          <w:ilvl w:val="0"/>
          <w:numId w:val="1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远程客户端的用户如果因突发原因导致资管系统无法使用时，可根据相关情况直接切换到开放监控模式。</w:t>
      </w:r>
    </w:p>
    <w:p w:rsidR="004E6149" w:rsidRPr="00F06200" w:rsidRDefault="004E6149" w:rsidP="004E6149">
      <w:pPr>
        <w:pStyle w:val="a5"/>
        <w:numPr>
          <w:ilvl w:val="0"/>
          <w:numId w:val="13"/>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上述两种情况必要时应兼顾使用。</w:t>
      </w:r>
    </w:p>
    <w:p w:rsidR="004E6149" w:rsidRPr="00647927" w:rsidRDefault="004E6149" w:rsidP="004E6149">
      <w:pPr>
        <w:spacing w:line="360" w:lineRule="auto"/>
        <w:jc w:val="center"/>
        <w:rPr>
          <w:rFonts w:ascii="仿宋" w:eastAsia="仿宋" w:hAnsi="仿宋"/>
          <w:b/>
          <w:sz w:val="32"/>
          <w:szCs w:val="32"/>
        </w:rPr>
      </w:pPr>
      <w:r w:rsidRPr="00647927">
        <w:rPr>
          <w:rFonts w:ascii="仿宋" w:eastAsia="仿宋" w:hAnsi="仿宋" w:hint="eastAsia"/>
          <w:b/>
          <w:sz w:val="32"/>
          <w:szCs w:val="32"/>
        </w:rPr>
        <w:lastRenderedPageBreak/>
        <w:t>第七章</w:t>
      </w:r>
      <w:r w:rsidRPr="00647927">
        <w:rPr>
          <w:rFonts w:ascii="仿宋" w:eastAsia="仿宋" w:hAnsi="仿宋"/>
          <w:b/>
          <w:sz w:val="32"/>
          <w:szCs w:val="32"/>
        </w:rPr>
        <w:t xml:space="preserve">  </w:t>
      </w:r>
      <w:r w:rsidRPr="00647927">
        <w:rPr>
          <w:rFonts w:ascii="仿宋" w:eastAsia="仿宋" w:hAnsi="仿宋" w:hint="eastAsia"/>
          <w:b/>
          <w:sz w:val="32"/>
          <w:szCs w:val="32"/>
        </w:rPr>
        <w:t>申购、赎回</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财富管理总部负责受理委托人在信托文件规定期限内提出的申购、赎回申请，根据信托文件规定将申购金额、赎回份额明细表交予资产管理部、财务部，并根据资产管理部、财务部计算的赎回、申购金额，为委托人办理相关事宜。</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财务部负责根据证券类信托项目开放日估值结果和财富管理总部提供的申购、赎回明细表计算客户申购、赎回金额，提交给财富管理总部并由销售交易部将申购、赎回结果录入恒生系统。</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交易员根据委托人赎回情况在开放日前安排落实赎回资金。</w:t>
      </w:r>
    </w:p>
    <w:p w:rsidR="004E6149" w:rsidRPr="00647927" w:rsidRDefault="004E6149" w:rsidP="004E6149">
      <w:pPr>
        <w:pStyle w:val="a5"/>
        <w:spacing w:line="360" w:lineRule="auto"/>
        <w:ind w:left="420" w:firstLineChars="0" w:firstLine="0"/>
        <w:jc w:val="center"/>
        <w:rPr>
          <w:rFonts w:ascii="仿宋" w:eastAsia="仿宋" w:hAnsi="仿宋"/>
          <w:b/>
          <w:sz w:val="32"/>
          <w:szCs w:val="32"/>
        </w:rPr>
      </w:pPr>
      <w:r w:rsidRPr="00647927">
        <w:rPr>
          <w:rFonts w:ascii="仿宋" w:eastAsia="仿宋" w:hAnsi="仿宋" w:hint="eastAsia"/>
          <w:b/>
          <w:sz w:val="32"/>
          <w:szCs w:val="32"/>
        </w:rPr>
        <w:t>第八章</w:t>
      </w:r>
      <w:r w:rsidRPr="00647927">
        <w:rPr>
          <w:rFonts w:ascii="仿宋" w:eastAsia="仿宋" w:hAnsi="仿宋"/>
          <w:b/>
          <w:sz w:val="32"/>
          <w:szCs w:val="32"/>
        </w:rPr>
        <w:t xml:space="preserve">  </w:t>
      </w:r>
      <w:r w:rsidRPr="00647927">
        <w:rPr>
          <w:rFonts w:ascii="仿宋" w:eastAsia="仿宋" w:hAnsi="仿宋" w:hint="eastAsia"/>
          <w:b/>
          <w:sz w:val="32"/>
          <w:szCs w:val="32"/>
        </w:rPr>
        <w:t>资产估值和信息披露</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估值。证券投资类集合资金信托业务存续期间实行</w:t>
      </w:r>
      <w:r w:rsidRPr="00F06200">
        <w:rPr>
          <w:rFonts w:ascii="仿宋" w:eastAsia="仿宋" w:hAnsi="仿宋"/>
          <w:color w:val="000000"/>
          <w:sz w:val="24"/>
          <w:szCs w:val="24"/>
        </w:rPr>
        <w:t>T+1</w:t>
      </w:r>
      <w:r w:rsidRPr="00F06200">
        <w:rPr>
          <w:rFonts w:ascii="仿宋" w:eastAsia="仿宋" w:hAnsi="仿宋" w:hint="eastAsia"/>
          <w:color w:val="000000"/>
          <w:sz w:val="24"/>
          <w:szCs w:val="24"/>
        </w:rPr>
        <w:t>日估值制度。清算员应在信托产品开放日、估值日与保管银行核对估值结果。每周一将上周五的信托项目单位净值表发送至财富管理总部。</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资产管理部应当按照信托文件规定进行对外信息披露，其中集合类信托项目中的信托单位净值由资产管理部根据清算员提供的净值信息，进行网络发布或以其他有效方式通知受益人。</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投资运营部应每季度撰写证券投资类信托项目的期间管理报告，并向风险管理部和公司主管领导报送。</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资产管理部应每季度撰写证券投资类信托项目的期间管理报告，并向风险管理部和公司主管领导报送。</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风险管理部在收到投资运营部、资产管理部的每季期间管理报告后，完成存续期管理综合评价表，并向公司管理层汇报。</w:t>
      </w:r>
    </w:p>
    <w:p w:rsidR="004E6149" w:rsidRPr="00647927" w:rsidRDefault="004E6149" w:rsidP="004E6149">
      <w:pPr>
        <w:spacing w:line="360" w:lineRule="auto"/>
        <w:jc w:val="center"/>
        <w:rPr>
          <w:rFonts w:ascii="仿宋" w:eastAsia="仿宋" w:hAnsi="仿宋"/>
          <w:b/>
          <w:sz w:val="32"/>
          <w:szCs w:val="32"/>
        </w:rPr>
      </w:pPr>
      <w:r w:rsidRPr="00647927">
        <w:rPr>
          <w:rFonts w:ascii="仿宋" w:eastAsia="仿宋" w:hAnsi="仿宋" w:hint="eastAsia"/>
          <w:b/>
          <w:sz w:val="32"/>
          <w:szCs w:val="32"/>
        </w:rPr>
        <w:t>第九章</w:t>
      </w:r>
      <w:r w:rsidRPr="00647927">
        <w:rPr>
          <w:rFonts w:ascii="仿宋" w:eastAsia="仿宋" w:hAnsi="仿宋"/>
          <w:b/>
          <w:sz w:val="32"/>
          <w:szCs w:val="32"/>
        </w:rPr>
        <w:t xml:space="preserve">  </w:t>
      </w:r>
      <w:r w:rsidRPr="00647927">
        <w:rPr>
          <w:rFonts w:ascii="仿宋" w:eastAsia="仿宋" w:hAnsi="仿宋" w:hint="eastAsia"/>
          <w:b/>
          <w:sz w:val="32"/>
          <w:szCs w:val="32"/>
        </w:rPr>
        <w:t>业务终止清算</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信托财产到期清算。投资运营部应将相应的证券资产全部转化为现金资产，由清算员和信托会计负责具体清算；由资产管理部撰写证券投资类信托项目的清算报告。</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证券投资类信托计划终止后，公司财务部办理信托专用银行账户销户手续，并及时通知资产管理部办理信托专用证券账户、信托专用资金账户的销户手续。</w:t>
      </w:r>
    </w:p>
    <w:p w:rsidR="004E6149" w:rsidRPr="00647927" w:rsidRDefault="004E6149" w:rsidP="004E6149">
      <w:pPr>
        <w:spacing w:line="360" w:lineRule="auto"/>
        <w:jc w:val="center"/>
        <w:rPr>
          <w:rFonts w:ascii="仿宋" w:eastAsia="仿宋" w:hAnsi="仿宋"/>
          <w:b/>
          <w:sz w:val="32"/>
          <w:szCs w:val="32"/>
        </w:rPr>
      </w:pPr>
      <w:r w:rsidRPr="00647927">
        <w:rPr>
          <w:rFonts w:ascii="仿宋" w:eastAsia="仿宋" w:hAnsi="仿宋" w:hint="eastAsia"/>
          <w:b/>
          <w:sz w:val="32"/>
          <w:szCs w:val="32"/>
        </w:rPr>
        <w:lastRenderedPageBreak/>
        <w:t>第十章</w:t>
      </w:r>
      <w:r w:rsidRPr="00647927">
        <w:rPr>
          <w:rFonts w:ascii="仿宋" w:eastAsia="仿宋" w:hAnsi="仿宋"/>
          <w:b/>
          <w:sz w:val="32"/>
          <w:szCs w:val="32"/>
        </w:rPr>
        <w:t xml:space="preserve">  </w:t>
      </w:r>
      <w:r w:rsidRPr="00647927">
        <w:rPr>
          <w:rFonts w:ascii="仿宋" w:eastAsia="仿宋" w:hAnsi="仿宋" w:hint="eastAsia"/>
          <w:b/>
          <w:sz w:val="32"/>
          <w:szCs w:val="32"/>
        </w:rPr>
        <w:t>附则</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本办法涉及到其他的业务人员包括：</w:t>
      </w:r>
    </w:p>
    <w:p w:rsidR="004E6149" w:rsidRPr="00F06200" w:rsidRDefault="004E6149" w:rsidP="004E6149">
      <w:pPr>
        <w:pStyle w:val="a5"/>
        <w:tabs>
          <w:tab w:val="left" w:pos="0"/>
          <w:tab w:val="left" w:pos="1380"/>
        </w:tabs>
        <w:adjustRightInd w:val="0"/>
        <w:snapToGrid w:val="0"/>
        <w:spacing w:line="360" w:lineRule="auto"/>
        <w:ind w:firstLine="480"/>
        <w:rPr>
          <w:rFonts w:ascii="仿宋" w:eastAsia="仿宋" w:hAnsi="仿宋"/>
          <w:color w:val="000000"/>
          <w:sz w:val="24"/>
          <w:szCs w:val="24"/>
        </w:rPr>
      </w:pPr>
      <w:r w:rsidRPr="00F06200">
        <w:rPr>
          <w:rFonts w:ascii="仿宋" w:eastAsia="仿宋" w:hAnsi="仿宋" w:hint="eastAsia"/>
          <w:color w:val="000000"/>
          <w:sz w:val="24"/>
          <w:szCs w:val="24"/>
        </w:rPr>
        <w:t>专职投资顾问或委托人代表：由信托计划中确定的投资顾问指派或委托人代表指派，具体职责由信托计划相关合同规定。</w:t>
      </w:r>
    </w:p>
    <w:p w:rsidR="004E6149" w:rsidRPr="00F06200" w:rsidRDefault="004E6149" w:rsidP="004E6149">
      <w:pPr>
        <w:pStyle w:val="a5"/>
        <w:tabs>
          <w:tab w:val="left" w:pos="0"/>
          <w:tab w:val="left" w:pos="1380"/>
        </w:tabs>
        <w:adjustRightInd w:val="0"/>
        <w:snapToGrid w:val="0"/>
        <w:spacing w:line="360" w:lineRule="auto"/>
        <w:ind w:firstLine="480"/>
        <w:rPr>
          <w:rFonts w:ascii="仿宋" w:eastAsia="仿宋" w:hAnsi="仿宋"/>
          <w:color w:val="000000"/>
          <w:sz w:val="24"/>
          <w:szCs w:val="24"/>
        </w:rPr>
      </w:pPr>
      <w:r w:rsidRPr="00F06200">
        <w:rPr>
          <w:rFonts w:ascii="仿宋" w:eastAsia="仿宋" w:hAnsi="仿宋" w:hint="eastAsia"/>
          <w:color w:val="000000"/>
          <w:sz w:val="24"/>
          <w:szCs w:val="24"/>
        </w:rPr>
        <w:t>银行保管专员：由信托计划中保管银行指派，具体职责由信托计划中《保管协议》规定。</w:t>
      </w:r>
    </w:p>
    <w:p w:rsidR="004E6149" w:rsidRPr="00F06200" w:rsidRDefault="004E6149" w:rsidP="004E6149">
      <w:pPr>
        <w:pStyle w:val="a5"/>
        <w:tabs>
          <w:tab w:val="left" w:pos="0"/>
          <w:tab w:val="left" w:pos="1380"/>
        </w:tabs>
        <w:adjustRightInd w:val="0"/>
        <w:snapToGrid w:val="0"/>
        <w:spacing w:line="360" w:lineRule="auto"/>
        <w:ind w:firstLine="480"/>
        <w:rPr>
          <w:rFonts w:ascii="仿宋" w:eastAsia="仿宋" w:hAnsi="仿宋"/>
          <w:color w:val="000000"/>
          <w:sz w:val="24"/>
          <w:szCs w:val="24"/>
        </w:rPr>
      </w:pPr>
      <w:r w:rsidRPr="00F06200">
        <w:rPr>
          <w:rFonts w:ascii="仿宋" w:eastAsia="仿宋" w:hAnsi="仿宋" w:hint="eastAsia"/>
          <w:color w:val="000000"/>
          <w:sz w:val="24"/>
          <w:szCs w:val="24"/>
        </w:rPr>
        <w:t>经纪授权代表：由信托计划中证券公司指派，专门负责与公司投资经理沟通联络，为公司提供必要服务。</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公司与保管银行、投资顾问、证券公司签订的协议条款，应当符合本办法。</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风险管理部、内审稽核部有权对证券投资类信托业务交易进行监督检查。</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对于违反本办法有关规定的责任人，视具体情况限期改正。对情节严重或已造成公司财产损失的责任人，应当追究责任，予以处理。</w:t>
      </w:r>
    </w:p>
    <w:p w:rsidR="004E6149" w:rsidRPr="00F06200" w:rsidRDefault="004E6149" w:rsidP="004E6149">
      <w:pPr>
        <w:pStyle w:val="a5"/>
        <w:numPr>
          <w:ilvl w:val="0"/>
          <w:numId w:val="14"/>
        </w:numPr>
        <w:tabs>
          <w:tab w:val="left" w:pos="1380"/>
        </w:tabs>
        <w:adjustRightInd w:val="0"/>
        <w:snapToGrid w:val="0"/>
        <w:spacing w:line="360" w:lineRule="auto"/>
        <w:ind w:firstLineChars="0"/>
        <w:rPr>
          <w:rFonts w:ascii="仿宋" w:eastAsia="仿宋" w:hAnsi="仿宋"/>
          <w:color w:val="000000"/>
          <w:sz w:val="24"/>
          <w:szCs w:val="24"/>
        </w:rPr>
      </w:pPr>
      <w:r w:rsidRPr="00F06200">
        <w:rPr>
          <w:rFonts w:ascii="仿宋" w:eastAsia="仿宋" w:hAnsi="仿宋" w:hint="eastAsia"/>
          <w:color w:val="000000"/>
          <w:sz w:val="24"/>
          <w:szCs w:val="24"/>
        </w:rPr>
        <w:t>本办法由公司负责解释。</w:t>
      </w:r>
    </w:p>
    <w:p w:rsidR="004E6149" w:rsidRPr="00F06200" w:rsidRDefault="004E6149" w:rsidP="004E6149">
      <w:pPr>
        <w:pStyle w:val="a5"/>
        <w:tabs>
          <w:tab w:val="left" w:pos="0"/>
          <w:tab w:val="left" w:pos="1380"/>
        </w:tabs>
        <w:adjustRightInd w:val="0"/>
        <w:snapToGrid w:val="0"/>
        <w:spacing w:line="360" w:lineRule="auto"/>
        <w:ind w:firstLineChars="0" w:firstLine="0"/>
        <w:jc w:val="left"/>
        <w:rPr>
          <w:rFonts w:ascii="仿宋" w:eastAsia="仿宋" w:hAnsi="仿宋"/>
          <w:color w:val="000000"/>
          <w:sz w:val="24"/>
          <w:szCs w:val="24"/>
        </w:rPr>
      </w:pPr>
      <w:r w:rsidRPr="00F06200">
        <w:rPr>
          <w:rFonts w:ascii="仿宋" w:eastAsia="仿宋" w:hAnsi="仿宋" w:hint="eastAsia"/>
          <w:b/>
          <w:color w:val="000000"/>
          <w:sz w:val="24"/>
          <w:szCs w:val="24"/>
        </w:rPr>
        <w:t>附件</w:t>
      </w:r>
      <w:r w:rsidRPr="00F06200">
        <w:rPr>
          <w:rFonts w:ascii="仿宋" w:eastAsia="仿宋" w:hAnsi="仿宋"/>
          <w:b/>
          <w:color w:val="000000"/>
          <w:sz w:val="24"/>
          <w:szCs w:val="24"/>
        </w:rPr>
        <w:t>1</w:t>
      </w:r>
      <w:r w:rsidRPr="00F06200">
        <w:rPr>
          <w:rFonts w:ascii="仿宋" w:eastAsia="仿宋" w:hAnsi="仿宋" w:hint="eastAsia"/>
          <w:b/>
          <w:color w:val="000000"/>
          <w:sz w:val="24"/>
          <w:szCs w:val="24"/>
        </w:rPr>
        <w:t>：</w:t>
      </w:r>
      <w:r w:rsidRPr="00F06200">
        <w:rPr>
          <w:rFonts w:ascii="仿宋" w:eastAsia="仿宋" w:hAnsi="仿宋" w:hint="eastAsia"/>
          <w:color w:val="000000"/>
          <w:sz w:val="24"/>
          <w:szCs w:val="24"/>
        </w:rPr>
        <w:t>万信·信托计划项目</w:t>
      </w:r>
      <w:r w:rsidRPr="00F06200">
        <w:rPr>
          <w:rFonts w:ascii="仿宋" w:eastAsia="仿宋" w:hAnsi="仿宋"/>
          <w:color w:val="000000"/>
          <w:sz w:val="24"/>
          <w:szCs w:val="24"/>
        </w:rPr>
        <w:t xml:space="preserve">  </w:t>
      </w:r>
      <w:r w:rsidRPr="00F06200">
        <w:rPr>
          <w:rFonts w:ascii="仿宋" w:eastAsia="仿宋" w:hAnsi="仿宋" w:hint="eastAsia"/>
          <w:color w:val="000000"/>
          <w:sz w:val="24"/>
          <w:szCs w:val="24"/>
        </w:rPr>
        <w:t>相关业务人员联系表（略）</w:t>
      </w:r>
    </w:p>
    <w:p w:rsidR="004E6149" w:rsidRPr="00F06200" w:rsidRDefault="004E6149" w:rsidP="004E6149">
      <w:pPr>
        <w:tabs>
          <w:tab w:val="left" w:pos="0"/>
          <w:tab w:val="left" w:pos="1380"/>
        </w:tabs>
        <w:adjustRightInd w:val="0"/>
        <w:snapToGrid w:val="0"/>
        <w:spacing w:line="360" w:lineRule="auto"/>
        <w:jc w:val="left"/>
        <w:rPr>
          <w:rFonts w:ascii="仿宋" w:eastAsia="仿宋" w:hAnsi="仿宋"/>
          <w:color w:val="000000"/>
          <w:sz w:val="24"/>
          <w:szCs w:val="24"/>
        </w:rPr>
      </w:pPr>
      <w:r w:rsidRPr="00F06200">
        <w:rPr>
          <w:rFonts w:ascii="仿宋" w:eastAsia="仿宋" w:hAnsi="仿宋" w:hint="eastAsia"/>
          <w:b/>
          <w:color w:val="000000"/>
          <w:sz w:val="24"/>
          <w:szCs w:val="24"/>
        </w:rPr>
        <w:t>附件</w:t>
      </w:r>
      <w:r w:rsidRPr="00F06200">
        <w:rPr>
          <w:rFonts w:ascii="仿宋" w:eastAsia="仿宋" w:hAnsi="仿宋"/>
          <w:b/>
          <w:color w:val="000000"/>
          <w:sz w:val="24"/>
          <w:szCs w:val="24"/>
        </w:rPr>
        <w:t>2</w:t>
      </w:r>
      <w:r w:rsidRPr="00F06200">
        <w:rPr>
          <w:rFonts w:ascii="仿宋" w:eastAsia="仿宋" w:hAnsi="仿宋" w:hint="eastAsia"/>
          <w:b/>
          <w:color w:val="000000"/>
          <w:sz w:val="24"/>
          <w:szCs w:val="24"/>
        </w:rPr>
        <w:t>：</w:t>
      </w:r>
      <w:r w:rsidRPr="00F06200">
        <w:rPr>
          <w:rFonts w:ascii="仿宋" w:eastAsia="仿宋" w:hAnsi="仿宋" w:hint="eastAsia"/>
          <w:color w:val="000000"/>
          <w:sz w:val="24"/>
          <w:szCs w:val="24"/>
        </w:rPr>
        <w:t>开通恒生资产管理系统远程客户端承诺函（略）</w:t>
      </w:r>
    </w:p>
    <w:p w:rsidR="004E6149" w:rsidRPr="00F06200" w:rsidRDefault="004E6149" w:rsidP="004E6149">
      <w:pPr>
        <w:tabs>
          <w:tab w:val="left" w:pos="0"/>
          <w:tab w:val="left" w:pos="1380"/>
        </w:tabs>
        <w:adjustRightInd w:val="0"/>
        <w:snapToGrid w:val="0"/>
        <w:spacing w:line="360" w:lineRule="auto"/>
        <w:jc w:val="left"/>
        <w:rPr>
          <w:rFonts w:ascii="仿宋" w:eastAsia="仿宋" w:hAnsi="仿宋"/>
          <w:color w:val="000000"/>
          <w:sz w:val="24"/>
          <w:szCs w:val="24"/>
        </w:rPr>
      </w:pPr>
      <w:r w:rsidRPr="00F06200">
        <w:rPr>
          <w:rFonts w:ascii="仿宋" w:eastAsia="仿宋" w:hAnsi="仿宋" w:hint="eastAsia"/>
          <w:b/>
          <w:color w:val="000000"/>
          <w:sz w:val="24"/>
          <w:szCs w:val="24"/>
        </w:rPr>
        <w:t>附件</w:t>
      </w:r>
      <w:r w:rsidRPr="00F06200">
        <w:rPr>
          <w:rFonts w:ascii="仿宋" w:eastAsia="仿宋" w:hAnsi="仿宋"/>
          <w:b/>
          <w:color w:val="000000"/>
          <w:sz w:val="24"/>
          <w:szCs w:val="24"/>
        </w:rPr>
        <w:t>3</w:t>
      </w:r>
      <w:r w:rsidRPr="00F06200">
        <w:rPr>
          <w:rFonts w:ascii="仿宋" w:eastAsia="仿宋" w:hAnsi="仿宋" w:hint="eastAsia"/>
          <w:b/>
          <w:color w:val="000000"/>
          <w:sz w:val="24"/>
          <w:szCs w:val="24"/>
        </w:rPr>
        <w:t>：</w:t>
      </w:r>
      <w:r w:rsidRPr="00F06200">
        <w:rPr>
          <w:rFonts w:ascii="仿宋" w:eastAsia="仿宋" w:hAnsi="仿宋" w:hint="eastAsia"/>
          <w:color w:val="000000"/>
          <w:sz w:val="24"/>
          <w:szCs w:val="24"/>
        </w:rPr>
        <w:t>万信·信托计划项目</w:t>
      </w:r>
      <w:r w:rsidRPr="00F06200">
        <w:rPr>
          <w:rFonts w:ascii="仿宋" w:eastAsia="仿宋" w:hAnsi="仿宋"/>
          <w:color w:val="000000"/>
          <w:sz w:val="24"/>
          <w:szCs w:val="24"/>
        </w:rPr>
        <w:t xml:space="preserve">  </w:t>
      </w:r>
      <w:r w:rsidRPr="00F06200">
        <w:rPr>
          <w:rFonts w:ascii="仿宋" w:eastAsia="仿宋" w:hAnsi="仿宋" w:hint="eastAsia"/>
          <w:color w:val="000000"/>
          <w:sz w:val="24"/>
          <w:szCs w:val="24"/>
        </w:rPr>
        <w:t>资料移交清单（略）</w:t>
      </w:r>
    </w:p>
    <w:p w:rsidR="004E6149" w:rsidRPr="00F06200" w:rsidRDefault="004E6149" w:rsidP="004E6149">
      <w:pPr>
        <w:tabs>
          <w:tab w:val="left" w:pos="0"/>
          <w:tab w:val="left" w:pos="1380"/>
        </w:tabs>
        <w:adjustRightInd w:val="0"/>
        <w:snapToGrid w:val="0"/>
        <w:spacing w:line="360" w:lineRule="auto"/>
        <w:jc w:val="left"/>
        <w:rPr>
          <w:rFonts w:ascii="仿宋" w:eastAsia="仿宋" w:hAnsi="仿宋"/>
          <w:color w:val="000000"/>
          <w:sz w:val="24"/>
          <w:szCs w:val="24"/>
        </w:rPr>
      </w:pPr>
      <w:r w:rsidRPr="00F06200">
        <w:rPr>
          <w:rFonts w:ascii="仿宋" w:eastAsia="仿宋" w:hAnsi="仿宋" w:hint="eastAsia"/>
          <w:b/>
          <w:color w:val="000000"/>
          <w:sz w:val="24"/>
          <w:szCs w:val="24"/>
        </w:rPr>
        <w:t>附件</w:t>
      </w:r>
      <w:r w:rsidRPr="00F06200">
        <w:rPr>
          <w:rFonts w:ascii="仿宋" w:eastAsia="仿宋" w:hAnsi="仿宋"/>
          <w:b/>
          <w:color w:val="000000"/>
          <w:sz w:val="24"/>
          <w:szCs w:val="24"/>
        </w:rPr>
        <w:t>4</w:t>
      </w:r>
      <w:r w:rsidRPr="00F06200">
        <w:rPr>
          <w:rFonts w:ascii="仿宋" w:eastAsia="仿宋" w:hAnsi="仿宋" w:hint="eastAsia"/>
          <w:b/>
          <w:color w:val="000000"/>
          <w:sz w:val="24"/>
          <w:szCs w:val="24"/>
        </w:rPr>
        <w:t>：</w:t>
      </w:r>
      <w:r w:rsidRPr="00F06200">
        <w:rPr>
          <w:rFonts w:ascii="仿宋" w:eastAsia="仿宋" w:hAnsi="仿宋" w:hint="eastAsia"/>
          <w:color w:val="000000"/>
          <w:sz w:val="24"/>
          <w:szCs w:val="24"/>
        </w:rPr>
        <w:t>投资顾问开通恒生资产管理系统</w:t>
      </w:r>
      <w:r w:rsidRPr="00F06200">
        <w:rPr>
          <w:rFonts w:ascii="仿宋" w:eastAsia="仿宋" w:hAnsi="仿宋"/>
          <w:color w:val="000000"/>
          <w:sz w:val="24"/>
          <w:szCs w:val="24"/>
        </w:rPr>
        <w:t xml:space="preserve">   </w:t>
      </w:r>
      <w:r w:rsidRPr="00F06200">
        <w:rPr>
          <w:rFonts w:ascii="仿宋" w:eastAsia="仿宋" w:hAnsi="仿宋" w:hint="eastAsia"/>
          <w:color w:val="000000"/>
          <w:sz w:val="24"/>
          <w:szCs w:val="24"/>
        </w:rPr>
        <w:t>远程客户端联系信息表（略）</w:t>
      </w:r>
    </w:p>
    <w:p w:rsidR="004E6149" w:rsidRPr="00F06200" w:rsidRDefault="004E6149" w:rsidP="004E6149">
      <w:pPr>
        <w:tabs>
          <w:tab w:val="left" w:pos="0"/>
          <w:tab w:val="left" w:pos="1380"/>
        </w:tabs>
        <w:adjustRightInd w:val="0"/>
        <w:snapToGrid w:val="0"/>
        <w:spacing w:line="360" w:lineRule="auto"/>
        <w:jc w:val="left"/>
        <w:rPr>
          <w:rFonts w:ascii="仿宋" w:eastAsia="仿宋" w:hAnsi="仿宋"/>
          <w:color w:val="000000"/>
          <w:sz w:val="24"/>
          <w:szCs w:val="24"/>
        </w:rPr>
      </w:pPr>
      <w:r w:rsidRPr="00F06200">
        <w:rPr>
          <w:rFonts w:ascii="仿宋" w:eastAsia="仿宋" w:hAnsi="仿宋" w:hint="eastAsia"/>
          <w:b/>
          <w:color w:val="000000"/>
          <w:sz w:val="24"/>
          <w:szCs w:val="24"/>
        </w:rPr>
        <w:t>附件</w:t>
      </w:r>
      <w:r w:rsidRPr="00F06200">
        <w:rPr>
          <w:rFonts w:ascii="仿宋" w:eastAsia="仿宋" w:hAnsi="仿宋"/>
          <w:b/>
          <w:color w:val="000000"/>
          <w:sz w:val="24"/>
          <w:szCs w:val="24"/>
        </w:rPr>
        <w:t>5</w:t>
      </w:r>
      <w:r w:rsidRPr="00F06200">
        <w:rPr>
          <w:rFonts w:ascii="仿宋" w:eastAsia="仿宋" w:hAnsi="仿宋" w:hint="eastAsia"/>
          <w:b/>
          <w:color w:val="000000"/>
          <w:sz w:val="24"/>
          <w:szCs w:val="24"/>
        </w:rPr>
        <w:t>：</w:t>
      </w:r>
      <w:r w:rsidRPr="00F06200">
        <w:rPr>
          <w:rFonts w:ascii="仿宋" w:eastAsia="仿宋" w:hAnsi="仿宋" w:hint="eastAsia"/>
          <w:color w:val="000000"/>
          <w:sz w:val="24"/>
          <w:szCs w:val="24"/>
        </w:rPr>
        <w:t>万信·信托计划项目</w:t>
      </w:r>
      <w:r w:rsidRPr="00F06200">
        <w:rPr>
          <w:rFonts w:ascii="仿宋" w:eastAsia="仿宋" w:hAnsi="仿宋"/>
          <w:color w:val="000000"/>
          <w:sz w:val="24"/>
          <w:szCs w:val="24"/>
        </w:rPr>
        <w:t xml:space="preserve">  </w:t>
      </w:r>
      <w:r w:rsidRPr="00F06200">
        <w:rPr>
          <w:rFonts w:ascii="仿宋" w:eastAsia="仿宋" w:hAnsi="仿宋" w:hint="eastAsia"/>
          <w:color w:val="000000"/>
          <w:sz w:val="24"/>
          <w:szCs w:val="24"/>
        </w:rPr>
        <w:t>投资建议书（略）</w:t>
      </w:r>
    </w:p>
    <w:p w:rsidR="004E6149" w:rsidRDefault="004E6149" w:rsidP="004E6149">
      <w:pPr>
        <w:tabs>
          <w:tab w:val="left" w:pos="0"/>
          <w:tab w:val="left" w:pos="1380"/>
        </w:tabs>
        <w:adjustRightInd w:val="0"/>
        <w:snapToGrid w:val="0"/>
        <w:spacing w:line="360" w:lineRule="auto"/>
        <w:jc w:val="left"/>
        <w:rPr>
          <w:rFonts w:ascii="仿宋" w:eastAsia="仿宋" w:hAnsi="仿宋"/>
          <w:color w:val="000000"/>
          <w:sz w:val="24"/>
          <w:szCs w:val="24"/>
        </w:rPr>
      </w:pPr>
      <w:r w:rsidRPr="00F06200">
        <w:rPr>
          <w:rFonts w:ascii="仿宋" w:eastAsia="仿宋" w:hAnsi="仿宋" w:hint="eastAsia"/>
          <w:b/>
          <w:color w:val="000000"/>
          <w:sz w:val="24"/>
          <w:szCs w:val="24"/>
        </w:rPr>
        <w:t>附件</w:t>
      </w:r>
      <w:r w:rsidRPr="00F06200">
        <w:rPr>
          <w:rFonts w:ascii="仿宋" w:eastAsia="仿宋" w:hAnsi="仿宋"/>
          <w:b/>
          <w:color w:val="000000"/>
          <w:sz w:val="24"/>
          <w:szCs w:val="24"/>
        </w:rPr>
        <w:t>6</w:t>
      </w:r>
      <w:r w:rsidRPr="00F06200">
        <w:rPr>
          <w:rFonts w:ascii="仿宋" w:eastAsia="仿宋" w:hAnsi="仿宋" w:hint="eastAsia"/>
          <w:b/>
          <w:color w:val="000000"/>
          <w:sz w:val="24"/>
          <w:szCs w:val="24"/>
        </w:rPr>
        <w:t>：</w:t>
      </w:r>
      <w:r w:rsidRPr="00F06200">
        <w:rPr>
          <w:rFonts w:ascii="仿宋" w:eastAsia="仿宋" w:hAnsi="仿宋" w:hint="eastAsia"/>
          <w:color w:val="000000"/>
          <w:sz w:val="24"/>
          <w:szCs w:val="24"/>
        </w:rPr>
        <w:t>万向信托有限公司</w:t>
      </w:r>
      <w:r w:rsidRPr="00F06200">
        <w:rPr>
          <w:rFonts w:ascii="仿宋" w:eastAsia="仿宋" w:hAnsi="仿宋"/>
          <w:color w:val="000000"/>
          <w:sz w:val="24"/>
          <w:szCs w:val="24"/>
        </w:rPr>
        <w:t xml:space="preserve">   </w:t>
      </w:r>
      <w:r w:rsidRPr="00F06200">
        <w:rPr>
          <w:rFonts w:ascii="仿宋" w:eastAsia="仿宋" w:hAnsi="仿宋" w:hint="eastAsia"/>
          <w:color w:val="000000"/>
          <w:sz w:val="24"/>
          <w:szCs w:val="24"/>
        </w:rPr>
        <w:t>风险预警（止损）通知书（略）</w:t>
      </w:r>
    </w:p>
    <w:p w:rsidR="004E6149" w:rsidRDefault="004E6149" w:rsidP="004E6149">
      <w:pPr>
        <w:tabs>
          <w:tab w:val="left" w:pos="0"/>
          <w:tab w:val="left" w:pos="1380"/>
        </w:tabs>
        <w:adjustRightInd w:val="0"/>
        <w:snapToGrid w:val="0"/>
        <w:spacing w:line="360" w:lineRule="auto"/>
        <w:jc w:val="left"/>
        <w:rPr>
          <w:rFonts w:ascii="仿宋" w:eastAsia="仿宋" w:hAnsi="仿宋"/>
          <w:color w:val="000000"/>
          <w:sz w:val="24"/>
          <w:szCs w:val="24"/>
        </w:rPr>
      </w:pPr>
    </w:p>
    <w:p w:rsidR="00C973A5" w:rsidRPr="004E6149" w:rsidRDefault="00C973A5"/>
    <w:sectPr w:rsidR="00C973A5" w:rsidRPr="004E61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3A5" w:rsidRDefault="00C973A5" w:rsidP="004E6149">
      <w:r>
        <w:separator/>
      </w:r>
    </w:p>
  </w:endnote>
  <w:endnote w:type="continuationSeparator" w:id="1">
    <w:p w:rsidR="00C973A5" w:rsidRDefault="00C973A5" w:rsidP="004E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3A5" w:rsidRDefault="00C973A5" w:rsidP="004E6149">
      <w:r>
        <w:separator/>
      </w:r>
    </w:p>
  </w:footnote>
  <w:footnote w:type="continuationSeparator" w:id="1">
    <w:p w:rsidR="00C973A5" w:rsidRDefault="00C973A5" w:rsidP="004E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0A6E"/>
    <w:multiLevelType w:val="hybridMultilevel"/>
    <w:tmpl w:val="5030DAA4"/>
    <w:lvl w:ilvl="0" w:tplc="8C4CC434">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0BC53E81"/>
    <w:multiLevelType w:val="hybridMultilevel"/>
    <w:tmpl w:val="3DD20940"/>
    <w:lvl w:ilvl="0" w:tplc="6B0AC45A">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
    <w:nsid w:val="0CCD564C"/>
    <w:multiLevelType w:val="hybridMultilevel"/>
    <w:tmpl w:val="E3EA3C46"/>
    <w:lvl w:ilvl="0" w:tplc="8EFE4854">
      <w:start w:val="1"/>
      <w:numFmt w:val="decimal"/>
      <w:lvlText w:val="%1."/>
      <w:lvlJc w:val="left"/>
      <w:pPr>
        <w:tabs>
          <w:tab w:val="num" w:pos="0"/>
        </w:tabs>
        <w:ind w:firstLine="454"/>
      </w:pPr>
      <w:rPr>
        <w:rFonts w:cs="Times New Roman" w:hint="eastAsia"/>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3">
    <w:nsid w:val="184E29BE"/>
    <w:multiLevelType w:val="hybridMultilevel"/>
    <w:tmpl w:val="4FC461EA"/>
    <w:lvl w:ilvl="0" w:tplc="6A2C793E">
      <w:start w:val="1"/>
      <w:numFmt w:val="chineseCountingThousand"/>
      <w:lvlText w:val="第%1条 "/>
      <w:lvlJc w:val="left"/>
      <w:pPr>
        <w:tabs>
          <w:tab w:val="num" w:pos="0"/>
        </w:tabs>
        <w:ind w:firstLine="454"/>
      </w:pPr>
      <w:rPr>
        <w:rFonts w:cs="Times New Roman" w:hint="eastAsia"/>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24905DFC"/>
    <w:multiLevelType w:val="hybridMultilevel"/>
    <w:tmpl w:val="D3B8C920"/>
    <w:lvl w:ilvl="0" w:tplc="DE4CC4D0">
      <w:start w:val="1"/>
      <w:numFmt w:val="japaneseCounting"/>
      <w:lvlText w:val="（%1）"/>
      <w:lvlJc w:val="left"/>
      <w:pPr>
        <w:tabs>
          <w:tab w:val="num" w:pos="0"/>
        </w:tabs>
        <w:ind w:firstLine="454"/>
      </w:pPr>
      <w:rPr>
        <w:rFonts w:cs="Times New Roman" w:hint="default"/>
      </w:rPr>
    </w:lvl>
    <w:lvl w:ilvl="1" w:tplc="49D03C5E">
      <w:start w:val="9"/>
      <w:numFmt w:val="japaneseCounting"/>
      <w:lvlText w:val="第%2条"/>
      <w:lvlJc w:val="left"/>
      <w:pPr>
        <w:tabs>
          <w:tab w:val="num" w:pos="1575"/>
        </w:tabs>
        <w:ind w:left="1575" w:hanging="735"/>
      </w:pPr>
      <w:rPr>
        <w:rFonts w:cs="Times New Roman" w:hint="default"/>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3AFA456F"/>
    <w:multiLevelType w:val="hybridMultilevel"/>
    <w:tmpl w:val="FFAAE35C"/>
    <w:lvl w:ilvl="0" w:tplc="9A401132">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nsid w:val="406C40F2"/>
    <w:multiLevelType w:val="hybridMultilevel"/>
    <w:tmpl w:val="656A1660"/>
    <w:lvl w:ilvl="0" w:tplc="B0D8D16C">
      <w:start w:val="1"/>
      <w:numFmt w:val="japaneseCounting"/>
      <w:lvlText w:val="（%1）"/>
      <w:lvlJc w:val="left"/>
      <w:pPr>
        <w:ind w:left="840" w:hanging="4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40F127F0"/>
    <w:multiLevelType w:val="hybridMultilevel"/>
    <w:tmpl w:val="73E24586"/>
    <w:lvl w:ilvl="0" w:tplc="8E8AE0AE">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nsid w:val="4CC85ED9"/>
    <w:multiLevelType w:val="hybridMultilevel"/>
    <w:tmpl w:val="FEC2EC7E"/>
    <w:lvl w:ilvl="0" w:tplc="D48C95D6">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nsid w:val="589229AB"/>
    <w:multiLevelType w:val="hybridMultilevel"/>
    <w:tmpl w:val="0B60AC6C"/>
    <w:lvl w:ilvl="0" w:tplc="FDDA5772">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5BBA3E73"/>
    <w:multiLevelType w:val="hybridMultilevel"/>
    <w:tmpl w:val="BF92B474"/>
    <w:lvl w:ilvl="0" w:tplc="E202087E">
      <w:start w:val="1"/>
      <w:numFmt w:val="japaneseCounting"/>
      <w:lvlText w:val="（%1）"/>
      <w:lvlJc w:val="left"/>
      <w:pPr>
        <w:tabs>
          <w:tab w:val="num" w:pos="0"/>
        </w:tabs>
        <w:ind w:firstLine="4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nsid w:val="62DF3FA3"/>
    <w:multiLevelType w:val="hybridMultilevel"/>
    <w:tmpl w:val="B110271C"/>
    <w:lvl w:ilvl="0" w:tplc="E196CD8A">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660C24EC"/>
    <w:multiLevelType w:val="hybridMultilevel"/>
    <w:tmpl w:val="656A1660"/>
    <w:lvl w:ilvl="0" w:tplc="B0D8D16C">
      <w:start w:val="1"/>
      <w:numFmt w:val="japaneseCounting"/>
      <w:lvlText w:val="（%1）"/>
      <w:lvlJc w:val="left"/>
      <w:pPr>
        <w:ind w:left="840" w:hanging="4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nsid w:val="70E83E46"/>
    <w:multiLevelType w:val="hybridMultilevel"/>
    <w:tmpl w:val="58342376"/>
    <w:lvl w:ilvl="0" w:tplc="F0E07C78">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12"/>
  </w:num>
  <w:num w:numId="2">
    <w:abstractNumId w:val="10"/>
  </w:num>
  <w:num w:numId="3">
    <w:abstractNumId w:val="13"/>
  </w:num>
  <w:num w:numId="4">
    <w:abstractNumId w:val="6"/>
  </w:num>
  <w:num w:numId="5">
    <w:abstractNumId w:val="5"/>
  </w:num>
  <w:num w:numId="6">
    <w:abstractNumId w:val="0"/>
  </w:num>
  <w:num w:numId="7">
    <w:abstractNumId w:val="7"/>
  </w:num>
  <w:num w:numId="8">
    <w:abstractNumId w:val="9"/>
  </w:num>
  <w:num w:numId="9">
    <w:abstractNumId w:val="8"/>
  </w:num>
  <w:num w:numId="10">
    <w:abstractNumId w:val="2"/>
  </w:num>
  <w:num w:numId="11">
    <w:abstractNumId w:val="11"/>
  </w:num>
  <w:num w:numId="12">
    <w:abstractNumId w:val="1"/>
  </w:num>
  <w:num w:numId="13">
    <w:abstractNumId w:val="4"/>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6149"/>
    <w:rsid w:val="004E6149"/>
    <w:rsid w:val="00C973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14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6149"/>
    <w:rPr>
      <w:sz w:val="18"/>
      <w:szCs w:val="18"/>
    </w:rPr>
  </w:style>
  <w:style w:type="paragraph" w:styleId="a4">
    <w:name w:val="footer"/>
    <w:basedOn w:val="a"/>
    <w:link w:val="Char0"/>
    <w:uiPriority w:val="99"/>
    <w:semiHidden/>
    <w:unhideWhenUsed/>
    <w:rsid w:val="004E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6149"/>
    <w:rPr>
      <w:sz w:val="18"/>
      <w:szCs w:val="18"/>
    </w:rPr>
  </w:style>
  <w:style w:type="paragraph" w:styleId="a5">
    <w:name w:val="List Paragraph"/>
    <w:basedOn w:val="a"/>
    <w:uiPriority w:val="99"/>
    <w:qFormat/>
    <w:rsid w:val="004E614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cp:revision>
  <dcterms:created xsi:type="dcterms:W3CDTF">2015-01-20T02:55:00Z</dcterms:created>
  <dcterms:modified xsi:type="dcterms:W3CDTF">2015-01-20T02:55:00Z</dcterms:modified>
</cp:coreProperties>
</file>