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jpeg" ContentType="image/jpeg"/>
  <Override PartName="/word/media/image13.jpeg" ContentType="image/jpeg"/>
  <Override PartName="/word/media/image15.jpeg" ContentType="image/jpeg"/>
  <Override PartName="/word/media/image12.png" ContentType="image/png"/>
  <Override PartName="/word/media/image11.jpeg" ContentType="image/jpe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
          <w:b/>
          <w:bCs/>
          <w:sz w:val="28"/>
          <w:szCs w:val="28"/>
        </w:rPr>
      </w:pPr>
      <w:r>
        <w:rPr>
          <w:rFonts w:ascii="宋体" w:hAnsi="宋体" w:cs="宋体" w:eastAsia="宋体"/>
          <w:b/>
          <w:bCs/>
          <w:sz w:val="28"/>
          <w:szCs w:val="28"/>
        </w:rPr>
        <w:t>通化八两宝参业股份有限公司</w:t>
      </w:r>
      <w:r>
        <w:rPr>
          <w:rFonts w:cs=""/>
          <w:b/>
          <w:bCs/>
          <w:sz w:val="28"/>
          <w:szCs w:val="28"/>
        </w:rPr>
        <w:t>野山参项目</w:t>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ContentsHeading"/>
        <w:rPr/>
      </w:pPr>
      <w:r>
        <w:rPr/>
        <w:t>目录</w:t>
      </w:r>
    </w:p>
    <w:p>
      <w:pPr>
        <w:pStyle w:val="Contents1"/>
        <w:tabs>
          <w:tab w:val="left" w:pos="880" w:leader="none"/>
          <w:tab w:val="right" w:pos="9350" w:leader="dot"/>
        </w:tabs>
        <w:rPr>
          <w:rStyle w:val="IndexLink"/>
          <w:vanish w:val="false"/>
        </w:rPr>
      </w:pPr>
      <w:r>
        <w:fldChar w:fldCharType="begin"/>
      </w:r>
      <w:r>
        <w:instrText> TOC </w:instrText>
      </w:r>
      <w:r>
        <w:fldChar w:fldCharType="separate"/>
      </w:r>
      <w:hyperlink w:anchor="_Toc427500353">
        <w:r>
          <w:rPr>
            <w:rStyle w:val="IndexLink"/>
            <w:rFonts w:ascii="宋体" w:hAnsi="宋体" w:cs="宋体" w:eastAsia="宋体"/>
          </w:rPr>
          <w:t>一、</w:t>
        </w:r>
        <w:r>
          <w:rPr>
            <w:rStyle w:val="IndexLink"/>
            <w:rFonts w:cs="" w:ascii="Calibri" w:hAnsi="Calibri"/>
            <w:color w:val="00000A"/>
            <w:sz w:val="22"/>
            <w:szCs w:val="22"/>
            <w:lang w:bidi="ar-SA"/>
          </w:rPr>
          <w:tab/>
        </w:r>
        <w:r>
          <w:rPr>
            <w:rStyle w:val="IndexLink"/>
            <w:rFonts w:ascii="宋体" w:hAnsi="宋体" w:cs="宋体" w:eastAsia="宋体"/>
          </w:rPr>
          <w:t>公司概况</w:t>
        </w:r>
        <w:r>
          <w:rPr>
            <w:rStyle w:val="IndexLink"/>
            <w:vanish w:val="false"/>
          </w:rPr>
          <w:tab/>
          <w:t>1</w:t>
        </w:r>
      </w:hyperlink>
    </w:p>
    <w:p>
      <w:pPr>
        <w:pStyle w:val="Contents2"/>
        <w:tabs>
          <w:tab w:val="left" w:pos="880" w:leader="none"/>
          <w:tab w:val="right" w:pos="9350" w:leader="dot"/>
        </w:tabs>
        <w:rPr>
          <w:rStyle w:val="IndexLink"/>
          <w:vanish w:val="false"/>
        </w:rPr>
      </w:pPr>
      <w:hyperlink w:anchor="_Toc427500354">
        <w:r>
          <w:rPr>
            <w:rStyle w:val="IndexLink"/>
            <w:rFonts w:eastAsia="宋体" w:cs="宋体" w:ascii="宋体" w:hAnsi="宋体"/>
          </w:rPr>
          <w:t>1.</w:t>
        </w:r>
        <w:r>
          <w:rPr>
            <w:rStyle w:val="IndexLink"/>
            <w:rFonts w:cs="" w:ascii="Calibri" w:hAnsi="Calibri"/>
            <w:color w:val="00000A"/>
            <w:sz w:val="22"/>
            <w:szCs w:val="22"/>
            <w:lang w:bidi="ar-SA"/>
          </w:rPr>
          <w:tab/>
        </w:r>
        <w:r>
          <w:rPr>
            <w:rStyle w:val="IndexLink"/>
            <w:rFonts w:ascii="宋体" w:hAnsi="宋体" w:cs="宋体" w:eastAsia="宋体"/>
          </w:rPr>
          <w:t>联系方式</w:t>
        </w:r>
        <w:r>
          <w:rPr>
            <w:rStyle w:val="IndexLink"/>
            <w:vanish w:val="false"/>
          </w:rPr>
          <w:tab/>
          <w:t>1</w:t>
        </w:r>
      </w:hyperlink>
    </w:p>
    <w:p>
      <w:pPr>
        <w:pStyle w:val="Contents2"/>
        <w:tabs>
          <w:tab w:val="left" w:pos="880" w:leader="none"/>
          <w:tab w:val="right" w:pos="9350" w:leader="dot"/>
        </w:tabs>
        <w:rPr>
          <w:rStyle w:val="IndexLink"/>
          <w:vanish w:val="false"/>
        </w:rPr>
      </w:pPr>
      <w:hyperlink w:anchor="_Toc427500355">
        <w:r>
          <w:rPr>
            <w:rStyle w:val="IndexLink"/>
            <w:rFonts w:eastAsia="宋体" w:cs="宋体" w:ascii="宋体" w:hAnsi="宋体"/>
          </w:rPr>
          <w:t>2.</w:t>
        </w:r>
        <w:r>
          <w:rPr>
            <w:rStyle w:val="IndexLink"/>
            <w:rFonts w:cs="" w:ascii="Calibri" w:hAnsi="Calibri"/>
            <w:color w:val="00000A"/>
            <w:sz w:val="22"/>
            <w:szCs w:val="22"/>
            <w:lang w:bidi="ar-SA"/>
          </w:rPr>
          <w:tab/>
        </w:r>
        <w:r>
          <w:rPr>
            <w:rStyle w:val="IndexLink"/>
            <w:rFonts w:ascii="宋体" w:hAnsi="宋体" w:cs="宋体" w:eastAsia="宋体"/>
          </w:rPr>
          <w:t>企业简介</w:t>
        </w:r>
        <w:r>
          <w:rPr>
            <w:rStyle w:val="IndexLink"/>
            <w:vanish w:val="false"/>
          </w:rPr>
          <w:tab/>
          <w:t>1</w:t>
        </w:r>
      </w:hyperlink>
    </w:p>
    <w:p>
      <w:pPr>
        <w:pStyle w:val="Contents1"/>
        <w:tabs>
          <w:tab w:val="left" w:pos="880" w:leader="none"/>
          <w:tab w:val="right" w:pos="9350" w:leader="dot"/>
        </w:tabs>
        <w:rPr>
          <w:rStyle w:val="IndexLink"/>
          <w:vanish w:val="false"/>
        </w:rPr>
      </w:pPr>
      <w:hyperlink w:anchor="_Toc427500356">
        <w:r>
          <w:rPr>
            <w:rStyle w:val="IndexLink"/>
            <w:rFonts w:ascii="宋体" w:hAnsi="宋体" w:cs="宋体" w:eastAsia="宋体"/>
          </w:rPr>
          <w:t>二、</w:t>
        </w:r>
        <w:r>
          <w:rPr>
            <w:rStyle w:val="IndexLink"/>
            <w:rFonts w:cs="" w:ascii="Calibri" w:hAnsi="Calibri"/>
            <w:color w:val="00000A"/>
            <w:sz w:val="22"/>
            <w:szCs w:val="22"/>
            <w:lang w:bidi="ar-SA"/>
          </w:rPr>
          <w:tab/>
        </w:r>
        <w:r>
          <w:rPr>
            <w:rStyle w:val="IndexLink"/>
            <w:rFonts w:ascii="宋体" w:hAnsi="宋体" w:cs="宋体" w:eastAsia="宋体"/>
          </w:rPr>
          <w:t>野山参产业情况</w:t>
        </w:r>
        <w:r>
          <w:rPr>
            <w:rStyle w:val="IndexLink"/>
            <w:vanish w:val="false"/>
          </w:rPr>
          <w:tab/>
          <w:t>1</w:t>
        </w:r>
      </w:hyperlink>
    </w:p>
    <w:p>
      <w:pPr>
        <w:pStyle w:val="Contents2"/>
        <w:tabs>
          <w:tab w:val="left" w:pos="880" w:leader="none"/>
          <w:tab w:val="right" w:pos="9350" w:leader="dot"/>
        </w:tabs>
        <w:rPr>
          <w:rStyle w:val="IndexLink"/>
          <w:vanish w:val="false"/>
        </w:rPr>
      </w:pPr>
      <w:hyperlink w:anchor="_Toc427500357">
        <w:r>
          <w:rPr>
            <w:rStyle w:val="IndexLink"/>
            <w:rFonts w:eastAsia="宋体" w:cs="宋体" w:ascii="宋体" w:hAnsi="宋体"/>
          </w:rPr>
          <w:t>1.</w:t>
        </w:r>
        <w:r>
          <w:rPr>
            <w:rStyle w:val="IndexLink"/>
            <w:rFonts w:cs="" w:ascii="Calibri" w:hAnsi="Calibri"/>
            <w:color w:val="00000A"/>
            <w:sz w:val="22"/>
            <w:szCs w:val="22"/>
            <w:lang w:bidi="ar-SA"/>
          </w:rPr>
          <w:tab/>
        </w:r>
        <w:r>
          <w:rPr>
            <w:rStyle w:val="IndexLink"/>
            <w:rFonts w:ascii="宋体" w:hAnsi="宋体" w:cs="宋体" w:eastAsia="宋体"/>
          </w:rPr>
          <w:t>野山参市场的良好发展机遇</w:t>
        </w:r>
        <w:r>
          <w:rPr>
            <w:rStyle w:val="IndexLink"/>
            <w:vanish w:val="false"/>
          </w:rPr>
          <w:tab/>
          <w:t>2</w:t>
        </w:r>
      </w:hyperlink>
    </w:p>
    <w:p>
      <w:pPr>
        <w:pStyle w:val="Contents2"/>
        <w:tabs>
          <w:tab w:val="left" w:pos="880" w:leader="none"/>
          <w:tab w:val="right" w:pos="9350" w:leader="dot"/>
        </w:tabs>
        <w:rPr>
          <w:rStyle w:val="IndexLink"/>
          <w:vanish w:val="false"/>
        </w:rPr>
      </w:pPr>
      <w:hyperlink w:anchor="_Toc427500358">
        <w:r>
          <w:rPr>
            <w:rStyle w:val="IndexLink"/>
            <w:rFonts w:eastAsia="宋体" w:cs="宋体" w:ascii="宋体" w:hAnsi="宋体"/>
          </w:rPr>
          <w:t>2.</w:t>
        </w:r>
        <w:r>
          <w:rPr>
            <w:rStyle w:val="IndexLink"/>
            <w:rFonts w:cs="" w:ascii="Calibri" w:hAnsi="Calibri"/>
            <w:color w:val="00000A"/>
            <w:sz w:val="22"/>
            <w:szCs w:val="22"/>
            <w:lang w:bidi="ar-SA"/>
          </w:rPr>
          <w:tab/>
        </w:r>
        <w:r>
          <w:rPr>
            <w:rStyle w:val="IndexLink"/>
            <w:rFonts w:ascii="宋体" w:hAnsi="宋体" w:cs="宋体" w:eastAsia="宋体"/>
          </w:rPr>
          <w:t>野山参市场现状</w:t>
        </w:r>
        <w:r>
          <w:rPr>
            <w:rStyle w:val="IndexLink"/>
            <w:vanish w:val="false"/>
          </w:rPr>
          <w:tab/>
          <w:t>2</w:t>
        </w:r>
      </w:hyperlink>
    </w:p>
    <w:p>
      <w:pPr>
        <w:pStyle w:val="Contents2"/>
        <w:tabs>
          <w:tab w:val="left" w:pos="880" w:leader="none"/>
          <w:tab w:val="right" w:pos="9350" w:leader="dot"/>
        </w:tabs>
        <w:rPr>
          <w:rStyle w:val="IndexLink"/>
          <w:vanish w:val="false"/>
        </w:rPr>
      </w:pPr>
      <w:hyperlink w:anchor="_Toc427500359">
        <w:r>
          <w:rPr>
            <w:rStyle w:val="IndexLink"/>
            <w:rFonts w:eastAsia="宋体" w:cs="宋体" w:ascii="宋体" w:hAnsi="宋体"/>
          </w:rPr>
          <w:t>3.</w:t>
        </w:r>
        <w:r>
          <w:rPr>
            <w:rStyle w:val="IndexLink"/>
            <w:rFonts w:cs="" w:ascii="Calibri" w:hAnsi="Calibri"/>
            <w:color w:val="00000A"/>
            <w:sz w:val="22"/>
            <w:szCs w:val="22"/>
            <w:lang w:bidi="ar-SA"/>
          </w:rPr>
          <w:tab/>
        </w:r>
        <w:r>
          <w:rPr>
            <w:rStyle w:val="IndexLink"/>
            <w:rFonts w:ascii="宋体" w:hAnsi="宋体" w:cs="宋体" w:eastAsia="宋体"/>
          </w:rPr>
          <w:t>野山参产业面临的挑战</w:t>
        </w:r>
        <w:r>
          <w:rPr>
            <w:rStyle w:val="IndexLink"/>
            <w:vanish w:val="false"/>
          </w:rPr>
          <w:tab/>
          <w:t>3</w:t>
        </w:r>
      </w:hyperlink>
    </w:p>
    <w:p>
      <w:pPr>
        <w:pStyle w:val="Contents1"/>
        <w:tabs>
          <w:tab w:val="left" w:pos="880" w:leader="none"/>
          <w:tab w:val="right" w:pos="9350" w:leader="dot"/>
        </w:tabs>
        <w:rPr>
          <w:rStyle w:val="IndexLink"/>
          <w:vanish w:val="false"/>
        </w:rPr>
      </w:pPr>
      <w:hyperlink w:anchor="_Toc427500360">
        <w:r>
          <w:rPr>
            <w:rStyle w:val="IndexLink"/>
            <w:rFonts w:ascii="宋体" w:hAnsi="宋体" w:cs="宋体" w:eastAsia="宋体"/>
          </w:rPr>
          <w:t>三、</w:t>
        </w:r>
        <w:r>
          <w:rPr>
            <w:rStyle w:val="IndexLink"/>
            <w:rFonts w:cs="" w:ascii="Calibri" w:hAnsi="Calibri"/>
            <w:color w:val="00000A"/>
            <w:sz w:val="22"/>
            <w:szCs w:val="22"/>
            <w:lang w:bidi="ar-SA"/>
          </w:rPr>
          <w:tab/>
        </w:r>
        <w:r>
          <w:rPr>
            <w:rStyle w:val="IndexLink"/>
            <w:rFonts w:ascii="宋体" w:hAnsi="宋体" w:cs="宋体" w:eastAsia="宋体"/>
          </w:rPr>
          <w:t>野山参产品国家规格</w:t>
        </w:r>
        <w:r>
          <w:rPr>
            <w:rStyle w:val="IndexLink"/>
            <w:vanish w:val="false"/>
          </w:rPr>
          <w:tab/>
          <w:t>3</w:t>
        </w:r>
      </w:hyperlink>
    </w:p>
    <w:p>
      <w:pPr>
        <w:pStyle w:val="Contents2"/>
        <w:tabs>
          <w:tab w:val="left" w:pos="880" w:leader="none"/>
          <w:tab w:val="right" w:pos="9350" w:leader="dot"/>
        </w:tabs>
        <w:rPr>
          <w:rStyle w:val="IndexLink"/>
          <w:vanish w:val="false"/>
        </w:rPr>
      </w:pPr>
      <w:hyperlink w:anchor="_Toc427500361">
        <w:r>
          <w:rPr>
            <w:rStyle w:val="IndexLink"/>
            <w:rFonts w:eastAsia="宋体" w:cs="宋体" w:ascii="宋体" w:hAnsi="宋体"/>
          </w:rPr>
          <w:t>1.</w:t>
        </w:r>
        <w:r>
          <w:rPr>
            <w:rStyle w:val="IndexLink"/>
            <w:rFonts w:cs="" w:ascii="Calibri" w:hAnsi="Calibri"/>
            <w:color w:val="00000A"/>
            <w:sz w:val="22"/>
            <w:szCs w:val="22"/>
            <w:lang w:bidi="ar-SA"/>
          </w:rPr>
          <w:tab/>
        </w:r>
        <w:r>
          <w:rPr>
            <w:rStyle w:val="IndexLink"/>
            <w:rFonts w:ascii="宋体" w:hAnsi="宋体" w:cs="宋体" w:eastAsia="宋体"/>
          </w:rPr>
          <w:t>五形</w:t>
        </w:r>
        <w:r>
          <w:rPr>
            <w:rStyle w:val="IndexLink"/>
            <w:vanish w:val="false"/>
          </w:rPr>
          <w:tab/>
          <w:t>4</w:t>
        </w:r>
      </w:hyperlink>
    </w:p>
    <w:p>
      <w:pPr>
        <w:pStyle w:val="Contents2"/>
        <w:tabs>
          <w:tab w:val="left" w:pos="880" w:leader="none"/>
          <w:tab w:val="right" w:pos="9350" w:leader="dot"/>
        </w:tabs>
        <w:rPr>
          <w:rStyle w:val="IndexLink"/>
          <w:vanish w:val="false"/>
        </w:rPr>
      </w:pPr>
      <w:hyperlink w:anchor="_Toc427500362">
        <w:r>
          <w:rPr>
            <w:rStyle w:val="IndexLink"/>
            <w:rFonts w:eastAsia="宋体" w:cs="宋体" w:ascii="宋体" w:hAnsi="宋体"/>
          </w:rPr>
          <w:t>2.</w:t>
        </w:r>
        <w:r>
          <w:rPr>
            <w:rStyle w:val="IndexLink"/>
            <w:rFonts w:cs="" w:ascii="Calibri" w:hAnsi="Calibri"/>
            <w:color w:val="00000A"/>
            <w:sz w:val="22"/>
            <w:szCs w:val="22"/>
            <w:lang w:bidi="ar-SA"/>
          </w:rPr>
          <w:tab/>
        </w:r>
        <w:r>
          <w:rPr>
            <w:rStyle w:val="IndexLink"/>
            <w:rFonts w:ascii="宋体" w:hAnsi="宋体" w:cs="宋体" w:eastAsia="宋体"/>
          </w:rPr>
          <w:t>六体</w:t>
        </w:r>
        <w:r>
          <w:rPr>
            <w:rStyle w:val="IndexLink"/>
            <w:vanish w:val="false"/>
          </w:rPr>
          <w:tab/>
          <w:t>4</w:t>
        </w:r>
      </w:hyperlink>
    </w:p>
    <w:p>
      <w:pPr>
        <w:pStyle w:val="Contents1"/>
        <w:tabs>
          <w:tab w:val="left" w:pos="880" w:leader="none"/>
          <w:tab w:val="right" w:pos="9350" w:leader="dot"/>
        </w:tabs>
        <w:rPr>
          <w:rStyle w:val="IndexLink"/>
          <w:vanish w:val="false"/>
        </w:rPr>
      </w:pPr>
      <w:hyperlink w:anchor="_Toc427500363">
        <w:r>
          <w:rPr>
            <w:rStyle w:val="IndexLink"/>
            <w:rFonts w:ascii="宋体" w:hAnsi="宋体" w:cs="宋体" w:eastAsia="宋体"/>
          </w:rPr>
          <w:t>四、</w:t>
        </w:r>
        <w:r>
          <w:rPr>
            <w:rStyle w:val="IndexLink"/>
            <w:rFonts w:cs="" w:ascii="Calibri" w:hAnsi="Calibri"/>
            <w:color w:val="00000A"/>
            <w:sz w:val="22"/>
            <w:szCs w:val="22"/>
            <w:lang w:bidi="ar-SA"/>
          </w:rPr>
          <w:tab/>
        </w:r>
        <w:r>
          <w:rPr>
            <w:rStyle w:val="IndexLink"/>
            <w:rFonts w:ascii="宋体" w:hAnsi="宋体" w:cs="宋体" w:eastAsia="宋体"/>
          </w:rPr>
          <w:t>野山参交易</w:t>
        </w:r>
        <w:r>
          <w:rPr>
            <w:rStyle w:val="IndexLink"/>
            <w:vanish w:val="false"/>
          </w:rPr>
          <w:tab/>
          <w:t>5</w:t>
        </w:r>
      </w:hyperlink>
    </w:p>
    <w:p>
      <w:pPr>
        <w:pStyle w:val="Contents1"/>
        <w:tabs>
          <w:tab w:val="left" w:pos="880" w:leader="none"/>
          <w:tab w:val="right" w:pos="9350" w:leader="dot"/>
        </w:tabs>
        <w:rPr>
          <w:rStyle w:val="IndexLink"/>
          <w:vanish w:val="false"/>
        </w:rPr>
      </w:pPr>
      <w:hyperlink w:anchor="_Toc427500364">
        <w:r>
          <w:rPr>
            <w:rStyle w:val="IndexLink"/>
            <w:rFonts w:ascii="宋体" w:hAnsi="宋体" w:cs="宋体" w:eastAsia="宋体"/>
          </w:rPr>
          <w:t>五、</w:t>
        </w:r>
        <w:r>
          <w:rPr>
            <w:rStyle w:val="IndexLink"/>
            <w:rFonts w:cs="" w:ascii="Calibri" w:hAnsi="Calibri"/>
            <w:color w:val="00000A"/>
            <w:sz w:val="22"/>
            <w:szCs w:val="22"/>
            <w:lang w:bidi="ar-SA"/>
          </w:rPr>
          <w:tab/>
        </w:r>
        <w:r>
          <w:rPr>
            <w:rStyle w:val="IndexLink"/>
            <w:rFonts w:eastAsia="宋体" w:cs="宋体" w:ascii="宋体" w:hAnsi="宋体"/>
          </w:rPr>
          <w:t>“</w:t>
        </w:r>
        <w:r>
          <w:rPr>
            <w:rStyle w:val="IndexLink"/>
            <w:rFonts w:ascii="宋体" w:hAnsi="宋体" w:cs="宋体" w:eastAsia="宋体"/>
          </w:rPr>
          <w:t>八两宝”野山参项目</w:t>
        </w:r>
        <w:r>
          <w:rPr>
            <w:rStyle w:val="IndexLink"/>
            <w:vanish w:val="false"/>
          </w:rPr>
          <w:tab/>
          <w:t>5</w:t>
        </w:r>
      </w:hyperlink>
    </w:p>
    <w:p>
      <w:pPr>
        <w:pStyle w:val="Contents1"/>
        <w:tabs>
          <w:tab w:val="left" w:pos="880" w:leader="none"/>
          <w:tab w:val="right" w:pos="9350" w:leader="dot"/>
        </w:tabs>
        <w:rPr>
          <w:rStyle w:val="IndexLink"/>
          <w:vanish w:val="false"/>
        </w:rPr>
      </w:pPr>
      <w:hyperlink w:anchor="_Toc427500365">
        <w:r>
          <w:rPr>
            <w:rStyle w:val="IndexLink"/>
            <w:rFonts w:ascii="宋体" w:hAnsi="宋体" w:cs="宋体" w:eastAsia="宋体"/>
          </w:rPr>
          <w:t>六、</w:t>
        </w:r>
        <w:r>
          <w:rPr>
            <w:rStyle w:val="IndexLink"/>
            <w:rFonts w:cs="" w:ascii="Calibri" w:hAnsi="Calibri"/>
            <w:color w:val="00000A"/>
            <w:sz w:val="22"/>
            <w:szCs w:val="22"/>
            <w:lang w:bidi="ar-SA"/>
          </w:rPr>
          <w:tab/>
        </w:r>
        <w:r>
          <w:rPr>
            <w:rStyle w:val="IndexLink"/>
            <w:rFonts w:ascii="宋体" w:hAnsi="宋体" w:cs="宋体" w:eastAsia="宋体"/>
          </w:rPr>
          <w:t>资料来源</w:t>
        </w:r>
        <w:r>
          <w:rPr>
            <w:rStyle w:val="IndexLink"/>
            <w:vanish w:val="false"/>
          </w:rPr>
          <w:tab/>
          <w:t>6</w:t>
        </w:r>
      </w:hyperlink>
    </w:p>
    <w:p>
      <w:pPr>
        <w:pStyle w:val="Normal"/>
        <w:rPr/>
      </w:pPr>
      <w:r>
        <w:rPr/>
      </w:r>
      <w:r>
        <w:fldChar w:fldCharType="end"/>
      </w:r>
    </w:p>
    <w:p>
      <w:pPr>
        <w:pStyle w:val="ContentsHeading"/>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pStyle w:val="Normal"/>
        <w:jc w:val="center"/>
        <w:rPr>
          <w:rFonts w:cs=""/>
          <w:b/>
          <w:bCs/>
          <w:sz w:val="28"/>
          <w:szCs w:val="28"/>
        </w:rPr>
      </w:pPr>
      <w:r>
        <w:rPr>
          <w:rFonts w:cs=""/>
          <w:b/>
          <w:bCs/>
          <w:sz w:val="28"/>
          <w:szCs w:val="28"/>
        </w:rP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360" w:charSpace="4294961151"/>
        </w:sectPr>
        <w:pStyle w:val="Normal"/>
        <w:jc w:val="center"/>
        <w:rPr>
          <w:rFonts w:cs=""/>
          <w:b/>
          <w:bCs/>
          <w:sz w:val="28"/>
          <w:szCs w:val="28"/>
        </w:rPr>
      </w:pPr>
      <w:r>
        <w:rPr>
          <w:rFonts w:cs=""/>
          <w:b/>
          <w:bCs/>
          <w:sz w:val="28"/>
          <w:szCs w:val="28"/>
        </w:rPr>
      </w:r>
    </w:p>
    <w:p>
      <w:pPr>
        <w:pStyle w:val="ListParagraph"/>
        <w:numPr>
          <w:ilvl w:val="0"/>
          <w:numId w:val="1"/>
        </w:numPr>
        <w:ind w:left="835" w:right="0" w:hanging="480"/>
        <w:outlineLvl w:val="0"/>
        <w:rPr>
          <w:rFonts w:ascii="宋体" w:hAnsi="宋体" w:cs="宋体" w:eastAsia="宋体"/>
        </w:rPr>
      </w:pPr>
      <w:bookmarkStart w:id="0" w:name="_Toc427500353"/>
      <w:bookmarkStart w:id="1" w:name="_Toc427500278"/>
      <w:bookmarkEnd w:id="0"/>
      <w:bookmarkEnd w:id="1"/>
      <w:r>
        <w:rPr>
          <w:rFonts w:ascii="宋体" w:hAnsi="宋体" w:cs="宋体" w:eastAsia="宋体"/>
        </w:rPr>
        <w:t>公司概况</w:t>
      </w:r>
    </w:p>
    <w:p>
      <w:pPr>
        <w:pStyle w:val="ListParagraph"/>
        <w:numPr>
          <w:ilvl w:val="0"/>
          <w:numId w:val="3"/>
        </w:numPr>
        <w:ind w:left="1195" w:right="0" w:hanging="360"/>
        <w:outlineLvl w:val="1"/>
        <w:rPr>
          <w:rFonts w:ascii="宋体" w:hAnsi="宋体" w:cs="宋体" w:eastAsia="宋体"/>
        </w:rPr>
      </w:pPr>
      <w:bookmarkStart w:id="2" w:name="_Toc427500354"/>
      <w:bookmarkStart w:id="3" w:name="_Toc427500279"/>
      <w:bookmarkEnd w:id="2"/>
      <w:bookmarkEnd w:id="3"/>
      <w:r>
        <w:rPr>
          <w:rFonts w:ascii="宋体" w:hAnsi="宋体" w:cs="宋体" w:eastAsia="宋体"/>
        </w:rPr>
        <w:t>联系方式</w:t>
      </w:r>
    </w:p>
    <w:p>
      <w:pPr>
        <w:pStyle w:val="ListParagraph"/>
        <w:numPr>
          <w:ilvl w:val="0"/>
          <w:numId w:val="5"/>
        </w:numPr>
        <w:rPr/>
      </w:pPr>
      <w:r>
        <w:rPr/>
        <w:t xml:space="preserve">孙海（副总经理  </w:t>
      </w:r>
      <w:r>
        <w:rPr/>
        <w:t>18626579799</w:t>
      </w:r>
      <w:r>
        <w:rPr/>
        <w:t>）</w:t>
      </w:r>
    </w:p>
    <w:p>
      <w:pPr>
        <w:pStyle w:val="Normal"/>
        <w:numPr>
          <w:ilvl w:val="0"/>
          <w:numId w:val="5"/>
        </w:numPr>
        <w:rPr/>
      </w:pPr>
      <w:r>
        <w:rPr/>
        <w:t>公司网站（</w:t>
      </w:r>
      <w:hyperlink r:id="rId4">
        <w:r>
          <w:rPr>
            <w:rStyle w:val="InternetLink"/>
          </w:rPr>
          <w:t>http://www.baliangbao.com/</w:t>
        </w:r>
      </w:hyperlink>
      <w:r>
        <w:rPr/>
        <w:t>）</w:t>
      </w:r>
    </w:p>
    <w:p>
      <w:pPr>
        <w:pStyle w:val="Normal"/>
        <w:numPr>
          <w:ilvl w:val="0"/>
          <w:numId w:val="5"/>
        </w:numPr>
        <w:rPr/>
      </w:pPr>
      <w:r>
        <w:rPr/>
        <w:t>微信推广地址（</w:t>
      </w:r>
      <w:hyperlink r:id="rId5">
        <w:r>
          <w:rPr>
            <w:rStyle w:val="InternetLink"/>
          </w:rPr>
          <w:t>http://www.vchale.com/thblb0105/</w:t>
        </w:r>
      </w:hyperlink>
      <w:r>
        <w:rPr/>
        <w:t>）</w:t>
      </w:r>
    </w:p>
    <w:p>
      <w:pPr>
        <w:pStyle w:val="Normal"/>
        <w:numPr>
          <w:ilvl w:val="0"/>
          <w:numId w:val="5"/>
        </w:numPr>
        <w:rPr/>
      </w:pPr>
      <w:r>
        <w:rPr/>
        <w:t>地址（吉林通化市东昌区光明路财富大厦</w:t>
      </w:r>
      <w:r>
        <w:rPr/>
        <w:t>20</w:t>
      </w:r>
      <w:r>
        <w:rPr/>
        <w:t>层）</w:t>
      </w:r>
    </w:p>
    <w:p>
      <w:pPr>
        <w:pStyle w:val="Normal"/>
        <w:ind w:left="1920" w:right="0" w:hanging="0"/>
        <w:rPr/>
      </w:pPr>
      <w:r>
        <w:rPr/>
      </w:r>
    </w:p>
    <w:p>
      <w:pPr>
        <w:pStyle w:val="ListParagraph"/>
        <w:numPr>
          <w:ilvl w:val="0"/>
          <w:numId w:val="3"/>
        </w:numPr>
        <w:ind w:left="1195" w:right="0" w:hanging="360"/>
        <w:outlineLvl w:val="1"/>
        <w:rPr>
          <w:rFonts w:ascii="宋体" w:hAnsi="宋体" w:cs="宋体" w:eastAsia="宋体"/>
        </w:rPr>
      </w:pPr>
      <w:bookmarkStart w:id="4" w:name="_Toc427500355"/>
      <w:bookmarkStart w:id="5" w:name="_Toc427500280"/>
      <w:bookmarkEnd w:id="4"/>
      <w:bookmarkEnd w:id="5"/>
      <w:r>
        <w:rPr>
          <w:rFonts w:ascii="宋体" w:hAnsi="宋体" w:cs="宋体" w:eastAsia="宋体"/>
        </w:rPr>
        <w:t>企业简介</w:t>
      </w:r>
    </w:p>
    <w:p>
      <w:pPr>
        <w:pStyle w:val="ListParagraph"/>
        <w:numPr>
          <w:ilvl w:val="0"/>
          <w:numId w:val="6"/>
        </w:numPr>
        <w:rPr/>
      </w:pPr>
      <w:r>
        <w:rPr/>
        <w:t>成立时间：</w:t>
      </w:r>
      <w:r>
        <w:rPr/>
        <w:t>2015</w:t>
      </w:r>
      <w:r>
        <w:rPr/>
        <w:t>年</w:t>
      </w:r>
      <w:r>
        <w:rPr/>
        <w:t>1</w:t>
      </w:r>
      <w:r>
        <w:rPr/>
        <w:t>月</w:t>
      </w:r>
      <w:r>
        <w:rPr/>
        <w:t>5</w:t>
      </w:r>
      <w:r>
        <w:rPr/>
        <w:t>日</w:t>
      </w:r>
    </w:p>
    <w:p>
      <w:pPr>
        <w:pStyle w:val="Normal"/>
        <w:numPr>
          <w:ilvl w:val="0"/>
          <w:numId w:val="6"/>
        </w:numPr>
        <w:rPr/>
      </w:pPr>
      <w:r>
        <w:rPr/>
        <w:t>注册资金：</w:t>
      </w:r>
      <w:r>
        <w:rPr/>
        <w:t>1000</w:t>
      </w:r>
      <w:r>
        <w:rPr/>
        <w:t>万元</w:t>
      </w:r>
    </w:p>
    <w:p>
      <w:pPr>
        <w:pStyle w:val="Normal"/>
        <w:numPr>
          <w:ilvl w:val="0"/>
          <w:numId w:val="6"/>
        </w:numPr>
        <w:rPr/>
      </w:pPr>
      <w:r>
        <w:rPr/>
        <w:t>公司规模：</w:t>
      </w:r>
      <w:r>
        <w:rPr/>
        <w:t>50-200</w:t>
      </w:r>
      <w:r>
        <w:rPr/>
        <w:t>人</w:t>
      </w:r>
    </w:p>
    <w:p>
      <w:pPr>
        <w:pStyle w:val="Normal"/>
        <w:numPr>
          <w:ilvl w:val="0"/>
          <w:numId w:val="6"/>
        </w:numPr>
        <w:rPr/>
      </w:pPr>
      <w:r>
        <w:rPr/>
        <w:t>主营项目：野山参种植、初加工、销售、旅游及金融等</w:t>
      </w:r>
    </w:p>
    <w:p>
      <w:pPr>
        <w:pStyle w:val="Normal"/>
        <w:ind w:left="1560" w:right="0" w:hanging="0"/>
        <w:rPr>
          <w:rFonts w:cs=""/>
        </w:rPr>
      </w:pPr>
      <w:r>
        <w:rPr>
          <w:rFonts w:cs=""/>
        </w:rPr>
      </w:r>
    </w:p>
    <w:p>
      <w:pPr>
        <w:pStyle w:val="ListParagraph"/>
        <w:numPr>
          <w:ilvl w:val="0"/>
          <w:numId w:val="1"/>
        </w:numPr>
        <w:ind w:left="835" w:right="0" w:hanging="480"/>
        <w:outlineLvl w:val="0"/>
        <w:rPr>
          <w:rFonts w:ascii="宋体" w:hAnsi="宋体" w:cs="宋体" w:eastAsia="宋体"/>
        </w:rPr>
      </w:pPr>
      <w:bookmarkStart w:id="6" w:name="_Toc427500356"/>
      <w:bookmarkStart w:id="7" w:name="_Toc427500281"/>
      <w:bookmarkEnd w:id="6"/>
      <w:bookmarkEnd w:id="7"/>
      <w:r>
        <w:rPr>
          <w:rFonts w:ascii="宋体" w:hAnsi="宋体" w:cs="宋体" w:eastAsia="宋体"/>
        </w:rPr>
        <w:t>野山参产业情况</w:t>
      </w:r>
    </w:p>
    <w:p>
      <w:pPr>
        <w:pStyle w:val="Normal"/>
        <w:ind w:left="840" w:right="0" w:hanging="0"/>
        <w:rPr/>
      </w:pPr>
      <w:r>
        <w:rPr>
          <w:rFonts w:cs=""/>
        </w:rPr>
        <w:t xml:space="preserve">        </w:t>
      </w:r>
      <w:r>
        <w:rPr/>
        <w:t>人参分野生人参、野山参、移山参、园参四大类，随着人工干预程度的增加价格依次递减，野生人参年产量不超过</w:t>
      </w:r>
      <w:r>
        <w:rPr/>
        <w:t>2</w:t>
      </w:r>
      <w:r>
        <w:rPr/>
        <w:t>公斤，濒临灭绝，而移山参、园参价值有限，野山参则由于其野生性和规模化养殖，成为人参市场中使用价值和流通价值最合适的品种。</w:t>
      </w:r>
    </w:p>
    <w:p>
      <w:pPr>
        <w:pStyle w:val="Normal"/>
        <w:ind w:left="840" w:right="0" w:hanging="0"/>
        <w:rPr>
          <w:rFonts w:ascii="" w:hAnsi="" w:cs=""/>
        </w:rPr>
      </w:pPr>
      <w:r>
        <w:rPr>
          <w:rFonts w:cs=""/>
        </w:rPr>
        <w:t xml:space="preserve">        </w:t>
      </w:r>
      <w:r>
        <w:rPr>
          <w:rFonts w:cs=""/>
        </w:rPr>
        <w:t>野山参有升值空间，是具有投资价值的高端产品。</w:t>
      </w:r>
      <w:r>
        <w:rPr/>
        <w:t>据国内唯一从事林业要素与资源综合性交易和服务的中国林业产权交易所总裁王秀强介绍，从</w:t>
      </w:r>
      <w:r>
        <w:rPr/>
        <w:t>1985</w:t>
      </w:r>
      <w:r>
        <w:rPr/>
        <w:t>年到</w:t>
      </w:r>
      <w:r>
        <w:rPr/>
        <w:t>2010</w:t>
      </w:r>
      <w:r>
        <w:rPr/>
        <w:t>年，野山参零售价升值超过</w:t>
      </w:r>
      <w:r>
        <w:rPr/>
        <w:t>15</w:t>
      </w:r>
      <w:r>
        <w:rPr/>
        <w:t>倍以上，历年销售终端价格统计显示，一等品及以上野山参平均涨幅在</w:t>
      </w:r>
      <w:r>
        <w:rPr/>
        <w:t>20%-30%</w:t>
      </w:r>
      <w:r>
        <w:rPr/>
        <w:t>，特等参涨幅已近</w:t>
      </w:r>
      <w:r>
        <w:rPr/>
        <w:t>40%</w:t>
      </w:r>
      <w:r>
        <w:rPr>
          <w:rFonts w:ascii="" w:hAnsi="" w:cs=""/>
        </w:rPr>
        <w:t>。</w:t>
      </w:r>
    </w:p>
    <w:p>
      <w:pPr>
        <w:pStyle w:val="Normal"/>
        <w:ind w:left="840" w:right="0" w:hanging="0"/>
        <w:rPr>
          <w:rFonts w:ascii="" w:hAnsi="" w:cs=""/>
        </w:rPr>
      </w:pPr>
      <w:r>
        <w:rPr>
          <w:rFonts w:cs="" w:ascii="" w:hAnsi=""/>
        </w:rPr>
        <w:t xml:space="preserve">    </w:t>
      </w:r>
      <w:r>
        <w:rPr>
          <w:rFonts w:ascii="" w:hAnsi="" w:cs=""/>
        </w:rPr>
        <w:t>以下部分从三个方面具体展开对野山参产业的分析：</w:t>
      </w:r>
    </w:p>
    <w:p>
      <w:pPr>
        <w:pStyle w:val="Normal"/>
        <w:ind w:left="840" w:right="0" w:hanging="0"/>
        <w:rPr>
          <w:rFonts w:cs="" w:ascii="" w:hAnsi=""/>
        </w:rPr>
      </w:pPr>
      <w:r>
        <w:rPr>
          <w:rFonts w:cs="" w:ascii="" w:hAnsi=""/>
        </w:rPr>
      </w:r>
    </w:p>
    <w:p>
      <w:pPr>
        <w:pStyle w:val="ListParagraph"/>
        <w:numPr>
          <w:ilvl w:val="0"/>
          <w:numId w:val="4"/>
        </w:numPr>
        <w:ind w:left="1195" w:right="0" w:hanging="360"/>
        <w:outlineLvl w:val="1"/>
        <w:rPr>
          <w:rFonts w:ascii="宋体" w:hAnsi="宋体" w:cs="宋体" w:eastAsia="宋体"/>
        </w:rPr>
      </w:pPr>
      <w:bookmarkStart w:id="8" w:name="_Toc427500357"/>
      <w:bookmarkStart w:id="9" w:name="_Toc427500282"/>
      <w:bookmarkEnd w:id="8"/>
      <w:bookmarkEnd w:id="9"/>
      <w:r>
        <w:rPr>
          <w:rFonts w:ascii="宋体" w:hAnsi="宋体" w:cs="宋体" w:eastAsia="宋体"/>
        </w:rPr>
        <w:t>野山参市场的良好发展机遇</w:t>
      </w:r>
    </w:p>
    <w:p>
      <w:pPr>
        <w:pStyle w:val="ListParagraph"/>
        <w:ind w:left="1200" w:right="0" w:firstLine="480"/>
        <w:rPr>
          <w:rFonts w:ascii="宋体" w:hAnsi="宋体" w:cs="宋体" w:eastAsia="宋体"/>
          <w:szCs w:val="24"/>
        </w:rPr>
      </w:pPr>
      <w:r>
        <w:rPr>
          <w:rFonts w:ascii="宋体" w:hAnsi="宋体" w:cs="宋体" w:eastAsia="宋体"/>
        </w:rPr>
        <w:t>首先，野山参具有良好的市场基础。</w:t>
      </w:r>
      <w:r>
        <w:rPr>
          <w:rFonts w:ascii="宋体" w:hAnsi="宋体" w:cs="宋体" w:eastAsia="宋体"/>
          <w:szCs w:val="24"/>
        </w:rPr>
        <w:t>野山参为东北</w:t>
      </w:r>
      <w:r>
        <w:rPr>
          <w:rFonts w:cs="FreeSans"/>
          <w:szCs w:val="24"/>
        </w:rPr>
        <w:t>“</w:t>
      </w:r>
      <w:r>
        <w:rPr>
          <w:rFonts w:ascii="宋体" w:hAnsi="宋体" w:cs="宋体" w:eastAsia="宋体"/>
          <w:szCs w:val="24"/>
        </w:rPr>
        <w:t>三宝</w:t>
      </w:r>
      <w:r>
        <w:rPr>
          <w:rFonts w:cs="FreeSans"/>
          <w:szCs w:val="24"/>
        </w:rPr>
        <w:t>”</w:t>
      </w:r>
      <w:r>
        <w:rPr>
          <w:rFonts w:ascii="宋体" w:hAnsi="宋体" w:cs="宋体" w:eastAsia="宋体"/>
          <w:szCs w:val="24"/>
        </w:rPr>
        <w:t>之首，历史文化底蕴丰厚，影响广泛，已经在消费者心中成为品质和身份的象征</w:t>
      </w:r>
      <w:r>
        <w:rPr>
          <w:rFonts w:ascii="" w:hAnsi="" w:cs="FreeSans"/>
          <w:szCs w:val="24"/>
        </w:rPr>
        <w:t>。</w:t>
      </w:r>
      <w:r>
        <w:rPr>
          <w:rFonts w:ascii="宋体" w:hAnsi="宋体" w:cs="宋体" w:eastAsia="宋体"/>
          <w:szCs w:val="24"/>
        </w:rPr>
        <w:t>人们对健康的关注、老龄人口的增加，使得中国内地、香港、台湾、日本、韩国及东南亚各国等对野山参有强烈的需求。</w:t>
      </w:r>
    </w:p>
    <w:p>
      <w:pPr>
        <w:pStyle w:val="ListParagraph"/>
        <w:ind w:left="1200" w:right="0" w:firstLine="480"/>
        <w:rPr>
          <w:rFonts w:eastAsia="宋体" w:cs="宋体" w:ascii="宋体" w:hAnsi="宋体"/>
          <w:szCs w:val="24"/>
        </w:rPr>
      </w:pPr>
      <w:r>
        <w:rPr>
          <w:rFonts w:eastAsia="宋体" w:cs="宋体" w:ascii="宋体" w:hAnsi="宋体"/>
          <w:szCs w:val="24"/>
        </w:rPr>
      </w:r>
    </w:p>
    <w:p>
      <w:pPr>
        <w:pStyle w:val="ListParagraph"/>
        <w:ind w:left="1200" w:right="0" w:firstLine="480"/>
        <w:rPr>
          <w:rFonts w:ascii="宋体" w:hAnsi="宋体" w:cs="宋体" w:eastAsia="宋体"/>
        </w:rPr>
      </w:pPr>
      <w:r>
        <w:rPr>
          <w:rFonts w:ascii="宋体" w:hAnsi="宋体" w:cs="宋体" w:eastAsia="宋体"/>
          <w:szCs w:val="24"/>
        </w:rPr>
        <w:t>其次，国家也大力推广人参的使用。国家食品药品监督部门把人参由单一的中药材拓展到药食同源的营养保健产品，扩大了人参的应用范围。这不仅解决了人参种植规范化、质量标准化、加工精深化、产业集约化发展的前提，也意味着人参市场的用量和产业规模将剧增。因此，作为人参中的顶级产品，野山参的产量有限和</w:t>
      </w:r>
      <w:r>
        <w:rPr>
          <w:rFonts w:ascii="宋体" w:hAnsi="宋体" w:cs="宋体" w:eastAsia="宋体"/>
        </w:rPr>
        <w:t>市场需求将大幅增加之间的供求矛盾为其市场价格的不断攀升埋下伏笔。</w:t>
      </w:r>
    </w:p>
    <w:p>
      <w:pPr>
        <w:pStyle w:val="ListParagraph"/>
        <w:ind w:left="1200" w:right="0" w:firstLine="480"/>
        <w:rPr>
          <w:rFonts w:eastAsia="宋体" w:cs="宋体" w:ascii="宋体" w:hAnsi="宋体"/>
        </w:rPr>
      </w:pPr>
      <w:r>
        <w:rPr>
          <w:rFonts w:eastAsia="宋体" w:cs="宋体" w:ascii="宋体" w:hAnsi="宋体"/>
        </w:rPr>
      </w:r>
    </w:p>
    <w:p>
      <w:pPr>
        <w:pStyle w:val="ListParagraph"/>
        <w:ind w:left="1200" w:right="0" w:firstLine="480"/>
        <w:rPr>
          <w:rFonts w:ascii="宋体" w:hAnsi="宋体" w:cs="宋体" w:eastAsia="宋体"/>
          <w:szCs w:val="24"/>
        </w:rPr>
      </w:pPr>
      <w:r>
        <w:rPr>
          <w:rFonts w:ascii="宋体" w:hAnsi="宋体" w:cs="宋体" w:eastAsia="宋体"/>
        </w:rPr>
        <w:t>再次，当地政府也在政策上支持人参产业。譬如，</w:t>
      </w:r>
      <w:r>
        <w:rPr>
          <w:rFonts w:ascii="宋体" w:hAnsi="宋体" w:cs="宋体" w:eastAsia="宋体"/>
          <w:szCs w:val="24"/>
        </w:rPr>
        <w:t>吉林省政府将人参产业作为省内的支柱产业加以打造。野山参是人参产业领域的贵族产品，其必然会享有产业发展带来的有利机会。</w:t>
      </w:r>
    </w:p>
    <w:p>
      <w:pPr>
        <w:pStyle w:val="ListParagraph"/>
        <w:ind w:left="1200" w:right="0" w:firstLine="480"/>
        <w:rPr>
          <w:rFonts w:eastAsia="宋体" w:cs="宋体" w:ascii="宋体" w:hAnsi="宋体"/>
        </w:rPr>
      </w:pPr>
      <w:r>
        <w:rPr>
          <w:rFonts w:eastAsia="宋体" w:cs="宋体" w:ascii="宋体" w:hAnsi="宋体"/>
        </w:rPr>
      </w:r>
    </w:p>
    <w:p>
      <w:pPr>
        <w:pStyle w:val="ListParagraph"/>
        <w:numPr>
          <w:ilvl w:val="0"/>
          <w:numId w:val="4"/>
        </w:numPr>
        <w:ind w:left="1195" w:right="0" w:hanging="360"/>
        <w:outlineLvl w:val="1"/>
        <w:rPr>
          <w:rFonts w:ascii="宋体" w:hAnsi="宋体" w:cs="宋体" w:eastAsia="宋体"/>
        </w:rPr>
      </w:pPr>
      <w:bookmarkStart w:id="10" w:name="_Toc427500358"/>
      <w:bookmarkStart w:id="11" w:name="_Toc427500283"/>
      <w:bookmarkEnd w:id="10"/>
      <w:bookmarkEnd w:id="11"/>
      <w:r>
        <w:rPr>
          <w:rFonts w:ascii="宋体" w:hAnsi="宋体" w:cs="宋体" w:eastAsia="宋体"/>
        </w:rPr>
        <w:t>野山参市场现状</w:t>
      </w:r>
    </w:p>
    <w:p>
      <w:pPr>
        <w:pStyle w:val="ListParagraph"/>
        <w:ind w:left="1200" w:right="0" w:firstLine="480"/>
        <w:rPr>
          <w:rFonts w:ascii="" w:hAnsi="" w:cs="FreeSans"/>
          <w:szCs w:val="24"/>
        </w:rPr>
      </w:pPr>
      <w:r>
        <w:rPr>
          <w:rFonts w:ascii="宋体" w:hAnsi="宋体" w:cs="宋体" w:eastAsia="宋体"/>
        </w:rPr>
        <w:t>野山参可种植土地资源逐年减少，供给的受限可能带来价格的上行。图一给出园参种植面积自</w:t>
      </w:r>
      <w:r>
        <w:rPr>
          <w:rFonts w:eastAsia="宋体" w:cs="宋体" w:ascii="宋体" w:hAnsi="宋体"/>
        </w:rPr>
        <w:t>2003</w:t>
      </w:r>
      <w:r>
        <w:rPr>
          <w:rFonts w:ascii="宋体" w:hAnsi="宋体" w:cs="宋体" w:eastAsia="宋体"/>
        </w:rPr>
        <w:t>年到</w:t>
      </w:r>
      <w:r>
        <w:rPr>
          <w:rFonts w:eastAsia="宋体" w:cs="宋体" w:ascii="宋体" w:hAnsi="宋体"/>
        </w:rPr>
        <w:t>2011</w:t>
      </w:r>
      <w:r>
        <w:rPr>
          <w:rFonts w:ascii="宋体" w:hAnsi="宋体" w:cs="宋体" w:eastAsia="宋体"/>
        </w:rPr>
        <w:t>年的统计数据，从数据中我们可以看出，</w:t>
      </w:r>
      <w:r>
        <w:rPr>
          <w:rFonts w:ascii="宋体" w:hAnsi="宋体" w:cs="宋体" w:eastAsia="宋体"/>
          <w:szCs w:val="24"/>
        </w:rPr>
        <w:t>从</w:t>
      </w:r>
      <w:r>
        <w:rPr>
          <w:rFonts w:cs="FreeSans"/>
          <w:szCs w:val="24"/>
        </w:rPr>
        <w:t>2007</w:t>
      </w:r>
      <w:r>
        <w:rPr>
          <w:rFonts w:ascii="宋体" w:hAnsi="宋体" w:cs="宋体" w:eastAsia="宋体"/>
          <w:szCs w:val="24"/>
        </w:rPr>
        <w:t>年开始，园参种植面积同比按</w:t>
      </w:r>
      <w:r>
        <w:rPr>
          <w:rFonts w:cs="FreeSans"/>
          <w:szCs w:val="24"/>
        </w:rPr>
        <w:t>36.5%</w:t>
      </w:r>
      <w:r>
        <w:rPr>
          <w:rFonts w:ascii="宋体" w:hAnsi="宋体" w:cs="宋体" w:eastAsia="宋体"/>
          <w:szCs w:val="24"/>
        </w:rPr>
        <w:t>的幅度递减</w:t>
      </w:r>
      <w:r>
        <w:rPr>
          <w:rFonts w:ascii="" w:hAnsi="" w:cs="FreeSans"/>
          <w:szCs w:val="24"/>
        </w:rPr>
        <w:t>。</w:t>
      </w:r>
      <w:r>
        <w:rPr>
          <w:rFonts w:cs="FreeSans"/>
          <w:szCs w:val="24"/>
        </w:rPr>
        <w:t>2011</w:t>
      </w:r>
      <w:r>
        <w:rPr>
          <w:rFonts w:ascii="宋体" w:hAnsi="宋体" w:cs="宋体" w:eastAsia="宋体"/>
          <w:szCs w:val="24"/>
        </w:rPr>
        <w:t>年</w:t>
      </w:r>
      <w:hyperlink r:id="rId6">
        <w:r>
          <w:rPr>
            <w:rStyle w:val="InternetLink"/>
            <w:rFonts w:ascii="宋体" w:hAnsi="宋体" w:cs="宋体" w:eastAsia="宋体"/>
            <w:color w:val="00000A"/>
            <w:szCs w:val="24"/>
            <w:u w:val="none"/>
          </w:rPr>
          <w:t>吉林省下发《关于严控利用林地种植人参的紧急通知》，人参种植面积继续被严格控制</w:t>
        </w:r>
      </w:hyperlink>
      <w:r>
        <w:rPr>
          <w:rStyle w:val="InternetLink"/>
          <w:rFonts w:ascii="" w:hAnsi="" w:cs=""/>
          <w:color w:val="00000A"/>
          <w:u w:val="none"/>
        </w:rPr>
        <w:t>。图一也给出</w:t>
      </w:r>
      <w:r>
        <w:rPr>
          <w:rStyle w:val="InternetLink"/>
          <w:rFonts w:cs="" w:ascii="" w:hAnsi=""/>
          <w:color w:val="00000A"/>
          <w:u w:val="none"/>
        </w:rPr>
        <w:t>2007-2011</w:t>
      </w:r>
      <w:r>
        <w:rPr>
          <w:rStyle w:val="InternetLink"/>
          <w:rFonts w:ascii="" w:hAnsi="" w:cs=""/>
          <w:color w:val="00000A"/>
          <w:u w:val="none"/>
        </w:rPr>
        <w:t>年</w:t>
      </w:r>
      <w:r>
        <w:rPr>
          <w:rFonts w:cs="FreeSans"/>
          <w:szCs w:val="24"/>
        </w:rPr>
        <w:t>野山参撒种面积的数据</w:t>
      </w:r>
      <w:r>
        <w:rPr>
          <w:rFonts w:ascii="" w:hAnsi="" w:cs="FreeSans"/>
          <w:szCs w:val="24"/>
        </w:rPr>
        <w:t>（</w:t>
      </w:r>
      <w:r>
        <w:rPr>
          <w:rFonts w:cs="FreeSans"/>
          <w:szCs w:val="24"/>
        </w:rPr>
        <w:t>野山参撒种面积按各地实际播种土地面积统计基数估算</w:t>
      </w:r>
      <w:r>
        <w:rPr>
          <w:rFonts w:ascii="" w:hAnsi="" w:cs="FreeSans"/>
          <w:szCs w:val="24"/>
        </w:rPr>
        <w:t>，</w:t>
      </w:r>
      <w:r>
        <w:rPr>
          <w:rFonts w:cs="FreeSans"/>
          <w:szCs w:val="24"/>
        </w:rPr>
        <w:t>暂无法统计准确数据，均为估算，实际数据上下浮动</w:t>
      </w:r>
      <w:r>
        <w:rPr>
          <w:rFonts w:cs="FreeSans"/>
          <w:szCs w:val="24"/>
        </w:rPr>
        <w:t>20%</w:t>
      </w:r>
      <w:r>
        <w:rPr>
          <w:rFonts w:cs="FreeSans"/>
          <w:szCs w:val="24"/>
        </w:rPr>
        <w:t>左右</w:t>
      </w:r>
      <w:r>
        <w:rPr>
          <w:rFonts w:ascii="" w:hAnsi="" w:cs="FreeSans"/>
          <w:szCs w:val="24"/>
        </w:rPr>
        <w:t>），在</w:t>
      </w:r>
      <w:r>
        <w:rPr>
          <w:rFonts w:ascii="宋体" w:hAnsi="宋体" w:cs="宋体" w:eastAsia="宋体"/>
        </w:rPr>
        <w:t>园参种植面积逐年下降的情况下，</w:t>
      </w:r>
      <w:r>
        <w:rPr>
          <w:rFonts w:cs="FreeSans"/>
          <w:szCs w:val="24"/>
        </w:rPr>
        <w:t>野山参播种面积有增无减</w:t>
      </w:r>
      <w:r>
        <w:rPr>
          <w:rFonts w:ascii="" w:hAnsi="" w:cs="FreeSans"/>
          <w:szCs w:val="24"/>
        </w:rPr>
        <w:t>。</w:t>
      </w:r>
      <w:r>
        <w:rPr>
          <w:rFonts w:cs="FreeSans"/>
          <w:szCs w:val="24"/>
        </w:rPr>
        <w:t>这亦说明市场对野山参的需求强烈</w:t>
      </w:r>
      <w:r>
        <w:rPr>
          <w:rFonts w:ascii="" w:hAnsi="" w:cs="FreeSans"/>
          <w:szCs w:val="24"/>
        </w:rPr>
        <w:t>。</w:t>
      </w:r>
    </w:p>
    <w:p>
      <w:pPr>
        <w:pStyle w:val="ListParagraph"/>
        <w:ind w:left="1200" w:right="0" w:firstLine="480"/>
        <w:rPr>
          <w:rFonts w:cs="FreeSans" w:ascii="" w:hAnsi=""/>
          <w:szCs w:val="24"/>
        </w:rPr>
      </w:pPr>
      <w:r>
        <w:rPr>
          <w:rFonts w:cs="FreeSans" w:ascii="" w:hAnsi=""/>
          <w:szCs w:val="24"/>
        </w:rPr>
      </w:r>
    </w:p>
    <w:p>
      <w:pPr>
        <w:pStyle w:val="ListParagraph"/>
        <w:ind w:left="1200" w:right="0" w:firstLine="480"/>
        <w:jc w:val="center"/>
        <w:rPr>
          <w:rFonts w:ascii="宋体" w:hAnsi="宋体" w:cs="宋体" w:eastAsia="宋体"/>
          <w:b/>
        </w:rPr>
      </w:pPr>
      <w:r>
        <w:rPr>
          <w:rFonts w:ascii="" w:hAnsi="" w:cs="FreeSans"/>
          <w:b/>
          <w:szCs w:val="24"/>
        </w:rPr>
        <w:t>图一：</w:t>
      </w:r>
      <w:r>
        <w:rPr>
          <w:rFonts w:ascii="宋体" w:hAnsi="宋体" w:cs="宋体" w:eastAsia="宋体"/>
          <w:b/>
        </w:rPr>
        <w:t>野山参可种植土地资源历史数据</w:t>
      </w:r>
    </w:p>
    <w:p>
      <w:pPr>
        <w:pStyle w:val="ListParagraph"/>
        <w:ind w:left="1200" w:right="0" w:firstLine="480"/>
        <w:rPr/>
      </w:pPr>
      <w:r>
        <w:rPr/>
        <w:drawing>
          <wp:inline distT="0" distB="0" distL="0" distR="0">
            <wp:extent cx="4772025" cy="2152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4772025" cy="2152650"/>
                    </a:xfrm>
                    <a:prstGeom prst="rect">
                      <a:avLst/>
                    </a:prstGeom>
                    <a:noFill/>
                    <a:ln w="9525">
                      <a:noFill/>
                      <a:miter lim="800000"/>
                      <a:headEnd/>
                      <a:tailEnd/>
                    </a:ln>
                  </pic:spPr>
                </pic:pic>
              </a:graphicData>
            </a:graphic>
          </wp:inline>
        </w:drawing>
      </w:r>
    </w:p>
    <w:p>
      <w:pPr>
        <w:pStyle w:val="ListParagraph"/>
        <w:ind w:left="1200" w:right="0" w:firstLine="480"/>
        <w:rPr>
          <w:rFonts w:cs="" w:ascii="" w:hAnsi=""/>
        </w:rPr>
      </w:pPr>
      <w:r>
        <w:rPr>
          <w:rFonts w:cs="" w:ascii="" w:hAnsi=""/>
        </w:rPr>
      </w:r>
    </w:p>
    <w:p>
      <w:pPr>
        <w:pStyle w:val="ListParagraph"/>
        <w:ind w:left="1200" w:right="0" w:firstLine="480"/>
        <w:rPr>
          <w:rFonts w:ascii="" w:hAnsi="" w:cs=""/>
        </w:rPr>
      </w:pPr>
      <w:r>
        <w:rPr>
          <w:rFonts w:ascii="" w:hAnsi="" w:cs=""/>
        </w:rPr>
        <w:t>野山参在我国主要出自吉林长白山脉，以下表格给出了截止</w:t>
      </w:r>
      <w:r>
        <w:rPr>
          <w:rFonts w:cs="" w:ascii="" w:hAnsi=""/>
        </w:rPr>
        <w:t>2011</w:t>
      </w:r>
      <w:r>
        <w:rPr>
          <w:rFonts w:ascii="" w:hAnsi="" w:cs=""/>
        </w:rPr>
        <w:t>年我国主要野山参的种植分布情况。</w:t>
      </w:r>
    </w:p>
    <w:tbl>
      <w:tblPr>
        <w:tblW w:w="9360" w:type="dxa"/>
        <w:jc w:val="center"/>
        <w:tblInd w:w="0" w:type="dxa"/>
        <w:tblBorders>
          <w:top w:val="single" w:sz="6" w:space="0" w:color="808080"/>
          <w:left w:val="single" w:sz="6" w:space="0" w:color="808080"/>
          <w:bottom w:val="single" w:sz="2" w:space="0" w:color="808080"/>
          <w:insideH w:val="single" w:sz="2" w:space="0" w:color="808080"/>
          <w:right w:val="nil"/>
          <w:insideV w:val="nil"/>
        </w:tblBorders>
        <w:tblCellMar>
          <w:top w:w="28" w:type="dxa"/>
          <w:left w:w="12" w:type="dxa"/>
          <w:bottom w:w="28" w:type="dxa"/>
          <w:right w:w="28" w:type="dxa"/>
        </w:tblCellMar>
      </w:tblPr>
      <w:tblGrid>
        <w:gridCol w:w="2001"/>
        <w:gridCol w:w="3475"/>
        <w:gridCol w:w="2018"/>
        <w:gridCol w:w="1865"/>
      </w:tblGrid>
      <w:tr>
        <w:trPr>
          <w:cantSplit w:val="false"/>
        </w:trPr>
        <w:tc>
          <w:tcPr>
            <w:tcW w:w="2001" w:type="dxa"/>
            <w:tcBorders>
              <w:top w:val="single" w:sz="6" w:space="0" w:color="808080"/>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地区名称</w:t>
            </w:r>
          </w:p>
        </w:tc>
        <w:tc>
          <w:tcPr>
            <w:tcW w:w="3475" w:type="dxa"/>
            <w:tcBorders>
              <w:top w:val="single" w:sz="6" w:space="0" w:color="808080"/>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种植面积</w:t>
            </w:r>
            <w:r>
              <w:rPr>
                <w:sz w:val="20"/>
                <w:szCs w:val="20"/>
              </w:rPr>
              <w:t>(</w:t>
            </w:r>
            <w:r>
              <w:rPr>
                <w:sz w:val="20"/>
                <w:szCs w:val="20"/>
              </w:rPr>
              <w:t>亩</w:t>
            </w:r>
            <w:r>
              <w:rPr>
                <w:sz w:val="20"/>
                <w:szCs w:val="20"/>
              </w:rPr>
              <w:t>)</w:t>
            </w:r>
          </w:p>
        </w:tc>
        <w:tc>
          <w:tcPr>
            <w:tcW w:w="2018" w:type="dxa"/>
            <w:tcBorders>
              <w:top w:val="single" w:sz="6" w:space="0" w:color="808080"/>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播种时间</w:t>
            </w:r>
          </w:p>
        </w:tc>
        <w:tc>
          <w:tcPr>
            <w:tcW w:w="1865" w:type="dxa"/>
            <w:tcBorders>
              <w:top w:val="single" w:sz="6" w:space="0" w:color="808080"/>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参龄</w:t>
            </w:r>
            <w:r>
              <w:rPr>
                <w:sz w:val="20"/>
                <w:szCs w:val="20"/>
              </w:rPr>
              <w:t>(</w:t>
            </w:r>
            <w:r>
              <w:rPr>
                <w:sz w:val="20"/>
                <w:szCs w:val="20"/>
              </w:rPr>
              <w:t>年</w:t>
            </w:r>
            <w:r>
              <w:rPr>
                <w:sz w:val="20"/>
                <w:szCs w:val="20"/>
              </w:rPr>
              <w:t>)</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抚松县</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15000</w:t>
            </w:r>
            <w:r>
              <w:rPr>
                <w:sz w:val="20"/>
                <w:szCs w:val="20"/>
              </w:rPr>
              <w:t>（</w:t>
            </w:r>
            <w:r>
              <w:rPr>
                <w:sz w:val="20"/>
                <w:szCs w:val="20"/>
              </w:rPr>
              <w:t>23.8%</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2004</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8</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宽甸县</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30000</w:t>
            </w:r>
            <w:r>
              <w:rPr>
                <w:sz w:val="20"/>
                <w:szCs w:val="20"/>
              </w:rPr>
              <w:t>（</w:t>
            </w:r>
            <w:r>
              <w:rPr>
                <w:sz w:val="20"/>
                <w:szCs w:val="20"/>
              </w:rPr>
              <w:t>47.6%</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2007</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5</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集安</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3000</w:t>
            </w:r>
            <w:r>
              <w:rPr>
                <w:sz w:val="20"/>
                <w:szCs w:val="20"/>
              </w:rPr>
              <w:t>（</w:t>
            </w:r>
            <w:r>
              <w:rPr>
                <w:sz w:val="20"/>
                <w:szCs w:val="20"/>
              </w:rPr>
              <w:t>4.8%</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2002</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10</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靖宇</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2000</w:t>
            </w:r>
            <w:r>
              <w:rPr>
                <w:sz w:val="20"/>
                <w:szCs w:val="20"/>
              </w:rPr>
              <w:t>（</w:t>
            </w:r>
            <w:r>
              <w:rPr>
                <w:sz w:val="20"/>
                <w:szCs w:val="20"/>
              </w:rPr>
              <w:t>3.2%</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2003</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9</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长白</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2300</w:t>
            </w:r>
            <w:r>
              <w:rPr>
                <w:sz w:val="20"/>
                <w:szCs w:val="20"/>
              </w:rPr>
              <w:t>（</w:t>
            </w:r>
            <w:r>
              <w:rPr>
                <w:sz w:val="20"/>
                <w:szCs w:val="20"/>
              </w:rPr>
              <w:t>3.7%</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1999</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13</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通化</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1200</w:t>
            </w:r>
            <w:r>
              <w:rPr>
                <w:sz w:val="20"/>
                <w:szCs w:val="20"/>
              </w:rPr>
              <w:t>（</w:t>
            </w:r>
            <w:r>
              <w:rPr>
                <w:sz w:val="20"/>
                <w:szCs w:val="20"/>
              </w:rPr>
              <w:t>1.9%</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2006</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6</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浑江</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1300</w:t>
            </w:r>
            <w:r>
              <w:rPr>
                <w:sz w:val="20"/>
                <w:szCs w:val="20"/>
              </w:rPr>
              <w:t>（</w:t>
            </w:r>
            <w:r>
              <w:rPr>
                <w:sz w:val="20"/>
                <w:szCs w:val="20"/>
              </w:rPr>
              <w:t>2.1%</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2009</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3</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辉南</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1500</w:t>
            </w:r>
            <w:r>
              <w:rPr>
                <w:sz w:val="20"/>
                <w:szCs w:val="20"/>
              </w:rPr>
              <w:t>（</w:t>
            </w:r>
            <w:r>
              <w:rPr>
                <w:sz w:val="20"/>
                <w:szCs w:val="20"/>
              </w:rPr>
              <w:t>2.4%</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2010</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2</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敦化</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1400</w:t>
            </w:r>
            <w:r>
              <w:rPr>
                <w:sz w:val="20"/>
                <w:szCs w:val="20"/>
              </w:rPr>
              <w:t>（</w:t>
            </w:r>
            <w:r>
              <w:rPr>
                <w:sz w:val="20"/>
                <w:szCs w:val="20"/>
              </w:rPr>
              <w:t>2.2%</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2011</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安图</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1800</w:t>
            </w:r>
            <w:r>
              <w:rPr>
                <w:sz w:val="20"/>
                <w:szCs w:val="20"/>
              </w:rPr>
              <w:t>（</w:t>
            </w:r>
            <w:r>
              <w:rPr>
                <w:sz w:val="20"/>
                <w:szCs w:val="20"/>
              </w:rPr>
              <w:t>2.9%</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2001</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11</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延吉</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900</w:t>
            </w:r>
            <w:r>
              <w:rPr>
                <w:sz w:val="20"/>
                <w:szCs w:val="20"/>
              </w:rPr>
              <w:t>（</w:t>
            </w:r>
            <w:r>
              <w:rPr>
                <w:sz w:val="20"/>
                <w:szCs w:val="20"/>
              </w:rPr>
              <w:t>1.4%</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1998</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14</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图们</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800</w:t>
            </w:r>
            <w:r>
              <w:rPr>
                <w:sz w:val="20"/>
                <w:szCs w:val="20"/>
              </w:rPr>
              <w:t>（</w:t>
            </w:r>
            <w:r>
              <w:rPr>
                <w:sz w:val="20"/>
                <w:szCs w:val="20"/>
              </w:rPr>
              <w:t>1.3%</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2010</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2</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珲春</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800</w:t>
            </w:r>
            <w:r>
              <w:rPr>
                <w:sz w:val="20"/>
                <w:szCs w:val="20"/>
              </w:rPr>
              <w:t>（</w:t>
            </w:r>
            <w:r>
              <w:rPr>
                <w:sz w:val="20"/>
                <w:szCs w:val="20"/>
              </w:rPr>
              <w:t>1.3%</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1998</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14</w:t>
            </w:r>
          </w:p>
        </w:tc>
      </w:tr>
      <w:tr>
        <w:trPr>
          <w:cantSplit w:val="false"/>
        </w:trPr>
        <w:tc>
          <w:tcPr>
            <w:tcW w:w="2001" w:type="dxa"/>
            <w:tcBorders>
              <w:top w:val="nil"/>
              <w:left w:val="single" w:sz="6" w:space="0" w:color="808080"/>
              <w:bottom w:val="single" w:sz="2" w:space="0" w:color="808080"/>
              <w:insideH w:val="single" w:sz="2"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其他地区</w:t>
            </w:r>
          </w:p>
        </w:tc>
        <w:tc>
          <w:tcPr>
            <w:tcW w:w="3475"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1000</w:t>
            </w:r>
            <w:r>
              <w:rPr>
                <w:sz w:val="20"/>
                <w:szCs w:val="20"/>
              </w:rPr>
              <w:t>（</w:t>
            </w:r>
            <w:r>
              <w:rPr>
                <w:sz w:val="20"/>
                <w:szCs w:val="20"/>
              </w:rPr>
              <w:t>1.3%</w:t>
            </w:r>
            <w:r>
              <w:rPr>
                <w:sz w:val="20"/>
                <w:szCs w:val="20"/>
              </w:rPr>
              <w:t>）</w:t>
            </w:r>
          </w:p>
        </w:tc>
        <w:tc>
          <w:tcPr>
            <w:tcW w:w="2018" w:type="dxa"/>
            <w:tcBorders>
              <w:top w:val="nil"/>
              <w:left w:val="single" w:sz="2" w:space="0" w:color="808080"/>
              <w:bottom w:val="single" w:sz="2" w:space="0" w:color="808080"/>
              <w:insideH w:val="single" w:sz="2"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2002</w:t>
            </w:r>
          </w:p>
        </w:tc>
        <w:tc>
          <w:tcPr>
            <w:tcW w:w="1865" w:type="dxa"/>
            <w:tcBorders>
              <w:top w:val="nil"/>
              <w:left w:val="single" w:sz="2" w:space="0" w:color="808080"/>
              <w:bottom w:val="single" w:sz="2" w:space="0" w:color="808080"/>
              <w:insideH w:val="single" w:sz="2"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n.a</w:t>
            </w:r>
          </w:p>
        </w:tc>
      </w:tr>
      <w:tr>
        <w:trPr>
          <w:cantSplit w:val="false"/>
        </w:trPr>
        <w:tc>
          <w:tcPr>
            <w:tcW w:w="2001" w:type="dxa"/>
            <w:tcBorders>
              <w:top w:val="nil"/>
              <w:left w:val="single" w:sz="6" w:space="0" w:color="808080"/>
              <w:bottom w:val="single" w:sz="6" w:space="0" w:color="808080"/>
              <w:insideH w:val="single" w:sz="6" w:space="0" w:color="808080"/>
              <w:right w:val="nil"/>
              <w:insideV w:val="nil"/>
            </w:tcBorders>
            <w:shd w:fill="FFFFFF" w:val="clear"/>
            <w:tcMar>
              <w:left w:w="12" w:type="dxa"/>
            </w:tcMar>
          </w:tcPr>
          <w:p>
            <w:pPr>
              <w:pStyle w:val="TableContents"/>
              <w:spacing w:lineRule="atLeast" w:line="330"/>
              <w:jc w:val="center"/>
              <w:rPr>
                <w:sz w:val="20"/>
                <w:szCs w:val="20"/>
              </w:rPr>
            </w:pPr>
            <w:r>
              <w:rPr>
                <w:sz w:val="20"/>
                <w:szCs w:val="20"/>
              </w:rPr>
              <w:t>合计</w:t>
            </w:r>
          </w:p>
        </w:tc>
        <w:tc>
          <w:tcPr>
            <w:tcW w:w="3475" w:type="dxa"/>
            <w:tcBorders>
              <w:top w:val="nil"/>
              <w:left w:val="single" w:sz="2" w:space="0" w:color="808080"/>
              <w:bottom w:val="single" w:sz="6" w:space="0" w:color="808080"/>
              <w:insideH w:val="single" w:sz="6" w:space="0" w:color="808080"/>
              <w:right w:val="nil"/>
              <w:insideV w:val="nil"/>
            </w:tcBorders>
            <w:shd w:fill="FFFFFF" w:val="clear"/>
            <w:tcMar>
              <w:left w:w="24" w:type="dxa"/>
            </w:tcMar>
          </w:tcPr>
          <w:p>
            <w:pPr>
              <w:pStyle w:val="TableContents"/>
              <w:spacing w:lineRule="atLeast" w:line="330"/>
              <w:jc w:val="center"/>
              <w:rPr>
                <w:rFonts w:cs=""/>
                <w:sz w:val="20"/>
                <w:szCs w:val="20"/>
              </w:rPr>
            </w:pPr>
            <w:r>
              <w:rPr>
                <w:sz w:val="20"/>
                <w:szCs w:val="20"/>
              </w:rPr>
              <w:t>63000</w:t>
            </w:r>
            <w:r>
              <w:rPr>
                <w:rFonts w:ascii="" w:hAnsi="" w:cs=""/>
                <w:sz w:val="20"/>
                <w:szCs w:val="20"/>
              </w:rPr>
              <w:t>（</w:t>
            </w:r>
            <w:r>
              <w:rPr>
                <w:rFonts w:cs=""/>
                <w:sz w:val="20"/>
                <w:szCs w:val="20"/>
              </w:rPr>
              <w:t>100%</w:t>
            </w:r>
            <w:r>
              <w:rPr>
                <w:rFonts w:cs=""/>
                <w:sz w:val="20"/>
                <w:szCs w:val="20"/>
              </w:rPr>
              <w:t>）</w:t>
            </w:r>
          </w:p>
        </w:tc>
        <w:tc>
          <w:tcPr>
            <w:tcW w:w="2018" w:type="dxa"/>
            <w:tcBorders>
              <w:top w:val="nil"/>
              <w:left w:val="single" w:sz="2" w:space="0" w:color="808080"/>
              <w:bottom w:val="single" w:sz="6" w:space="0" w:color="808080"/>
              <w:insideH w:val="single" w:sz="6" w:space="0" w:color="808080"/>
              <w:right w:val="nil"/>
              <w:insideV w:val="nil"/>
            </w:tcBorders>
            <w:shd w:fill="FFFFFF" w:val="clear"/>
            <w:tcMar>
              <w:left w:w="24" w:type="dxa"/>
            </w:tcMar>
          </w:tcPr>
          <w:p>
            <w:pPr>
              <w:pStyle w:val="TableContents"/>
              <w:spacing w:lineRule="atLeast" w:line="330"/>
              <w:jc w:val="center"/>
              <w:rPr>
                <w:sz w:val="20"/>
                <w:szCs w:val="20"/>
              </w:rPr>
            </w:pPr>
            <w:r>
              <w:rPr>
                <w:sz w:val="20"/>
                <w:szCs w:val="20"/>
              </w:rPr>
              <w:t>n.a</w:t>
            </w:r>
          </w:p>
        </w:tc>
        <w:tc>
          <w:tcPr>
            <w:tcW w:w="1865" w:type="dxa"/>
            <w:tcBorders>
              <w:top w:val="nil"/>
              <w:left w:val="single" w:sz="2" w:space="0" w:color="808080"/>
              <w:bottom w:val="single" w:sz="6" w:space="0" w:color="808080"/>
              <w:insideH w:val="single" w:sz="6" w:space="0" w:color="808080"/>
              <w:right w:val="single" w:sz="6" w:space="0" w:color="808080"/>
              <w:insideV w:val="single" w:sz="6" w:space="0" w:color="808080"/>
            </w:tcBorders>
            <w:shd w:fill="FFFFFF" w:val="clear"/>
            <w:tcMar>
              <w:left w:w="24" w:type="dxa"/>
            </w:tcMar>
          </w:tcPr>
          <w:p>
            <w:pPr>
              <w:pStyle w:val="TableContents"/>
              <w:spacing w:lineRule="atLeast" w:line="330"/>
              <w:jc w:val="center"/>
              <w:rPr>
                <w:sz w:val="20"/>
                <w:szCs w:val="20"/>
              </w:rPr>
            </w:pPr>
            <w:r>
              <w:rPr>
                <w:sz w:val="20"/>
                <w:szCs w:val="20"/>
              </w:rPr>
              <w:t>n.a</w:t>
            </w:r>
          </w:p>
        </w:tc>
      </w:tr>
    </w:tbl>
    <w:p>
      <w:pPr>
        <w:pStyle w:val="ListParagraph"/>
        <w:ind w:left="1200" w:right="0" w:hanging="0"/>
        <w:rPr>
          <w:rFonts w:cs="" w:ascii="" w:hAnsi=""/>
        </w:rPr>
      </w:pPr>
      <w:r>
        <w:rPr>
          <w:rFonts w:cs="" w:ascii="" w:hAnsi=""/>
        </w:rPr>
      </w:r>
    </w:p>
    <w:p>
      <w:pPr>
        <w:pStyle w:val="ListParagraph"/>
        <w:numPr>
          <w:ilvl w:val="0"/>
          <w:numId w:val="4"/>
        </w:numPr>
        <w:ind w:left="1195" w:right="0" w:hanging="360"/>
        <w:outlineLvl w:val="1"/>
        <w:rPr>
          <w:rFonts w:ascii="宋体" w:hAnsi="宋体" w:cs="宋体" w:eastAsia="宋体"/>
        </w:rPr>
      </w:pPr>
      <w:bookmarkStart w:id="12" w:name="_Toc427500359"/>
      <w:bookmarkStart w:id="13" w:name="_Toc427500284"/>
      <w:bookmarkEnd w:id="12"/>
      <w:bookmarkEnd w:id="13"/>
      <w:r>
        <w:rPr>
          <w:rFonts w:ascii="宋体" w:hAnsi="宋体" w:cs="宋体" w:eastAsia="宋体"/>
        </w:rPr>
        <w:t>野山参产业面临的挑战</w:t>
      </w:r>
    </w:p>
    <w:p>
      <w:pPr>
        <w:pStyle w:val="ListParagraph"/>
        <w:ind w:left="1200" w:right="0" w:hanging="0"/>
        <w:rPr>
          <w:rFonts w:ascii="宋体" w:hAnsi="宋体" w:cs="宋体" w:eastAsia="宋体"/>
          <w:szCs w:val="24"/>
        </w:rPr>
      </w:pPr>
      <w:r>
        <w:rPr>
          <w:rFonts w:ascii="宋体" w:hAnsi="宋体" w:cs="宋体" w:eastAsia="宋体"/>
          <w:szCs w:val="24"/>
        </w:rPr>
        <w:t>首先，野山参成活率低。野山参播种主要依靠飞机撒种，优质野山参的生长对土质、采光、周边植物、温度和气候等方面的要求非常苛刻。十五年生野山参总体成活率也仅有播种数量的</w:t>
      </w:r>
      <w:r>
        <w:rPr>
          <w:rFonts w:eastAsia="宋体" w:cs="宋体" w:ascii="宋体" w:hAnsi="宋体"/>
          <w:szCs w:val="24"/>
        </w:rPr>
        <w:t>3%</w:t>
      </w:r>
      <w:r>
        <w:rPr>
          <w:rFonts w:ascii="宋体" w:hAnsi="宋体" w:cs="宋体" w:eastAsia="宋体"/>
          <w:szCs w:val="24"/>
        </w:rPr>
        <w:t>，但野山参在生长至</w:t>
      </w:r>
      <w:r>
        <w:rPr>
          <w:rFonts w:eastAsia="宋体" w:cs="宋体" w:ascii="宋体" w:hAnsi="宋体"/>
          <w:szCs w:val="24"/>
        </w:rPr>
        <w:t>5</w:t>
      </w:r>
      <w:r>
        <w:rPr>
          <w:rFonts w:ascii="宋体" w:hAnsi="宋体" w:cs="宋体" w:eastAsia="宋体"/>
          <w:szCs w:val="24"/>
        </w:rPr>
        <w:t>年生后，存活率基本稳定。</w:t>
      </w:r>
    </w:p>
    <w:p>
      <w:pPr>
        <w:pStyle w:val="ListParagraph"/>
        <w:ind w:left="1200" w:right="0" w:hanging="0"/>
        <w:rPr>
          <w:rFonts w:eastAsia="宋体" w:cs="宋体" w:ascii="宋体" w:hAnsi="宋体"/>
          <w:szCs w:val="24"/>
        </w:rPr>
      </w:pPr>
      <w:r>
        <w:rPr>
          <w:rFonts w:eastAsia="宋体" w:cs="宋体" w:ascii="宋体" w:hAnsi="宋体"/>
          <w:szCs w:val="24"/>
        </w:rPr>
      </w:r>
    </w:p>
    <w:p>
      <w:pPr>
        <w:pStyle w:val="ListParagraph"/>
        <w:ind w:left="1200" w:right="0" w:hanging="0"/>
        <w:rPr>
          <w:rFonts w:ascii="宋体" w:hAnsi="宋体" w:cs="宋体" w:eastAsia="宋体"/>
          <w:szCs w:val="24"/>
        </w:rPr>
      </w:pPr>
      <w:r>
        <w:rPr>
          <w:rFonts w:ascii="宋体" w:hAnsi="宋体" w:cs="宋体" w:eastAsia="宋体"/>
          <w:szCs w:val="24"/>
        </w:rPr>
        <w:t>其次，野山参产业的投入高、风险也相应大。由于国家对“伐林栽参”传统模式的控制，导致人参产业投资成本增加，人参市场供应端表现出投入大、见效慢、风险高、效益低等特点。</w:t>
      </w:r>
    </w:p>
    <w:p>
      <w:pPr>
        <w:pStyle w:val="ListParagraph"/>
        <w:ind w:left="1200" w:right="0" w:hanging="0"/>
        <w:rPr>
          <w:rFonts w:eastAsia="宋体" w:cs="宋体" w:ascii="宋体" w:hAnsi="宋体"/>
          <w:szCs w:val="24"/>
        </w:rPr>
      </w:pPr>
      <w:r>
        <w:rPr>
          <w:rFonts w:eastAsia="宋体" w:cs="宋体" w:ascii="宋体" w:hAnsi="宋体"/>
          <w:szCs w:val="24"/>
        </w:rPr>
      </w:r>
    </w:p>
    <w:p>
      <w:pPr>
        <w:pStyle w:val="ListParagraph"/>
        <w:ind w:left="1200" w:right="0" w:hanging="0"/>
        <w:rPr>
          <w:rFonts w:ascii="宋体" w:hAnsi="宋体" w:cs="宋体" w:eastAsia="宋体"/>
          <w:szCs w:val="24"/>
        </w:rPr>
      </w:pPr>
      <w:r>
        <w:rPr>
          <w:rFonts w:ascii="宋体" w:hAnsi="宋体" w:cs="宋体" w:eastAsia="宋体"/>
          <w:szCs w:val="24"/>
        </w:rPr>
        <w:t>再次，参农和中小企业可能被市场淘汰，而大型企业将成为该行业发展的主导力量。野山参产业投入高，大型企业能以雄厚的资金和管理实力快速控制了稀有的野山参林地资源，完成了对行业上游优质资源的整合，同时具备更强的抗风险能力。以辽宁碧水林业发展有限公司为代表的大型野山参养护企业将逐渐发展成为市场野山参的主要供应方，目前其</w:t>
      </w:r>
      <w:r>
        <w:rPr>
          <w:rFonts w:eastAsia="宋体" w:cs="宋体" w:ascii="宋体" w:hAnsi="宋体"/>
          <w:szCs w:val="24"/>
        </w:rPr>
        <w:t>20</w:t>
      </w:r>
      <w:r>
        <w:rPr>
          <w:rFonts w:ascii="宋体" w:hAnsi="宋体" w:cs="宋体" w:eastAsia="宋体"/>
          <w:szCs w:val="24"/>
        </w:rPr>
        <w:t>平方公里的野山参播种面积，几近占了我国现有野山参播种面积的近一半。随着上游资源的不断整合，野山参的价格体系将逐步形成，该产业也将构建更高的竞争门槛。</w:t>
      </w:r>
    </w:p>
    <w:p>
      <w:pPr>
        <w:pStyle w:val="ListParagraph"/>
        <w:ind w:left="1200" w:right="0" w:hanging="0"/>
        <w:rPr>
          <w:rFonts w:eastAsia="宋体" w:cs="宋体" w:ascii="宋体" w:hAnsi="宋体"/>
          <w:szCs w:val="24"/>
        </w:rPr>
      </w:pPr>
      <w:r>
        <w:rPr>
          <w:rFonts w:eastAsia="宋体" w:cs="宋体" w:ascii="宋体" w:hAnsi="宋体"/>
          <w:szCs w:val="24"/>
        </w:rPr>
      </w:r>
    </w:p>
    <w:p>
      <w:pPr>
        <w:pStyle w:val="ListParagraph"/>
        <w:numPr>
          <w:ilvl w:val="0"/>
          <w:numId w:val="1"/>
        </w:numPr>
        <w:ind w:left="835" w:right="0" w:hanging="480"/>
        <w:outlineLvl w:val="0"/>
        <w:rPr>
          <w:rFonts w:ascii="宋体" w:hAnsi="宋体" w:cs="宋体" w:eastAsia="宋体"/>
          <w:szCs w:val="24"/>
        </w:rPr>
      </w:pPr>
      <w:bookmarkStart w:id="14" w:name="_Toc427500360"/>
      <w:bookmarkStart w:id="15" w:name="_Toc427500285"/>
      <w:bookmarkEnd w:id="14"/>
      <w:bookmarkEnd w:id="15"/>
      <w:r>
        <w:rPr>
          <w:rFonts w:ascii="宋体" w:hAnsi="宋体" w:cs="宋体" w:eastAsia="宋体"/>
          <w:szCs w:val="24"/>
        </w:rPr>
        <w:t>野山参产品国家规格</w:t>
      </w:r>
    </w:p>
    <w:p>
      <w:pPr>
        <w:pStyle w:val="ListParagraph"/>
        <w:ind w:left="840" w:right="0" w:hanging="0"/>
        <w:rPr>
          <w:rFonts w:ascii="宋体" w:hAnsi="宋体" w:cs="宋体" w:eastAsia="宋体"/>
          <w:szCs w:val="24"/>
        </w:rPr>
      </w:pPr>
      <w:r>
        <w:rPr>
          <w:rFonts w:ascii="宋体" w:hAnsi="宋体" w:cs="宋体" w:eastAsia="宋体"/>
          <w:szCs w:val="24"/>
        </w:rPr>
        <w:t>根据</w:t>
      </w:r>
      <w:r>
        <w:rPr>
          <w:rFonts w:eastAsia="宋体" w:cs="宋体" w:ascii="宋体" w:hAnsi="宋体"/>
          <w:szCs w:val="24"/>
        </w:rPr>
        <w:t>GB/T 18765-2008</w:t>
      </w:r>
      <w:r>
        <w:rPr>
          <w:rFonts w:ascii="宋体" w:hAnsi="宋体" w:cs="宋体" w:eastAsia="宋体"/>
          <w:szCs w:val="24"/>
        </w:rPr>
        <w:t>《野山参鉴定及分等质量》国家标准，将鲜野山参和生晒野山参定为</w:t>
      </w:r>
      <w:r>
        <w:rPr>
          <w:rFonts w:eastAsia="宋体" w:cs="宋体" w:ascii="宋体" w:hAnsi="宋体"/>
          <w:szCs w:val="24"/>
        </w:rPr>
        <w:t>3</w:t>
      </w:r>
      <w:r>
        <w:rPr>
          <w:rFonts w:ascii="宋体" w:hAnsi="宋体" w:cs="宋体" w:eastAsia="宋体"/>
          <w:szCs w:val="24"/>
        </w:rPr>
        <w:t>个等（特、一、二等）</w:t>
      </w:r>
      <w:r>
        <w:rPr>
          <w:rFonts w:eastAsia="宋体" w:cs="宋体" w:ascii="宋体" w:hAnsi="宋体"/>
          <w:szCs w:val="24"/>
        </w:rPr>
        <w:t>8</w:t>
      </w:r>
      <w:r>
        <w:rPr>
          <w:rFonts w:ascii="宋体" w:hAnsi="宋体" w:cs="宋体" w:eastAsia="宋体"/>
          <w:szCs w:val="24"/>
        </w:rPr>
        <w:t>个级别（特、一、二、… 七级），基本要求为：鲜野山参、生晒野山参，任何部位不得粘接，体内无异物，体不得做纹。野山参的基本鉴别方法是看“五形”、“六体”，“五形”为芦、艼、体、纹、须，“六体”为灵、笨、老、嫩、横、顺。</w:t>
      </w:r>
    </w:p>
    <w:p>
      <w:pPr>
        <w:pStyle w:val="ListParagraph"/>
        <w:numPr>
          <w:ilvl w:val="0"/>
          <w:numId w:val="7"/>
        </w:numPr>
        <w:ind w:left="1195" w:right="0" w:hanging="360"/>
        <w:outlineLvl w:val="1"/>
        <w:rPr>
          <w:rFonts w:ascii="宋体" w:hAnsi="宋体" w:cs="宋体" w:eastAsia="宋体"/>
          <w:szCs w:val="24"/>
        </w:rPr>
      </w:pPr>
      <w:bookmarkStart w:id="16" w:name="_Toc427500361"/>
      <w:bookmarkStart w:id="17" w:name="_Toc427500286"/>
      <w:bookmarkEnd w:id="16"/>
      <w:bookmarkEnd w:id="17"/>
      <w:r>
        <w:rPr>
          <w:rFonts w:ascii="宋体" w:hAnsi="宋体" w:cs="宋体" w:eastAsia="宋体"/>
          <w:szCs w:val="24"/>
        </w:rPr>
        <w:t>五形</w:t>
      </w:r>
    </w:p>
    <w:p>
      <w:pPr>
        <w:pStyle w:val="ListParagraph"/>
        <w:numPr>
          <w:ilvl w:val="0"/>
          <w:numId w:val="8"/>
        </w:numPr>
        <w:rPr>
          <w:rFonts w:ascii="宋体" w:hAnsi="宋体" w:cs="宋体" w:eastAsia="宋体"/>
          <w:szCs w:val="24"/>
        </w:rPr>
      </w:pPr>
      <w:r>
        <w:rPr>
          <w:rFonts w:ascii="宋体" w:hAnsi="宋体" w:cs="宋体" w:eastAsia="宋体"/>
          <w:szCs w:val="24"/>
        </w:rPr>
        <w:t>芦：主根上部的根茎。有三节芦、圆芦、堆花芦等之分。</w:t>
      </w:r>
    </w:p>
    <w:p>
      <w:pPr>
        <w:pStyle w:val="ListParagraph"/>
        <w:numPr>
          <w:ilvl w:val="0"/>
          <w:numId w:val="8"/>
        </w:numPr>
        <w:rPr>
          <w:rFonts w:ascii="宋体" w:hAnsi="宋体" w:cs="宋体" w:eastAsia="宋体"/>
          <w:szCs w:val="24"/>
        </w:rPr>
      </w:pPr>
      <w:r>
        <w:rPr>
          <w:rFonts w:ascii="宋体" w:hAnsi="宋体" w:cs="宋体" w:eastAsia="宋体"/>
          <w:szCs w:val="24"/>
        </w:rPr>
        <w:t>艼：芦上生长的不定根，有枣核艼、毛毛艼、艼变之分。</w:t>
      </w:r>
    </w:p>
    <w:p>
      <w:pPr>
        <w:pStyle w:val="ListParagraph"/>
        <w:numPr>
          <w:ilvl w:val="0"/>
          <w:numId w:val="8"/>
        </w:numPr>
        <w:rPr>
          <w:rFonts w:ascii="宋体" w:hAnsi="宋体" w:cs="宋体" w:eastAsia="宋体"/>
          <w:szCs w:val="24"/>
        </w:rPr>
      </w:pPr>
      <w:r>
        <w:rPr>
          <w:rFonts w:ascii="宋体" w:hAnsi="宋体" w:cs="宋体" w:eastAsia="宋体"/>
          <w:szCs w:val="24"/>
        </w:rPr>
        <w:t>体：即主根，皮为黄褐色或灰黄色，断面呈黄白色。有灵体、疙瘩体、顺体、过梁体、笨体、横体之分。</w:t>
      </w:r>
    </w:p>
    <w:p>
      <w:pPr>
        <w:pStyle w:val="ListParagraph"/>
        <w:numPr>
          <w:ilvl w:val="0"/>
          <w:numId w:val="8"/>
        </w:numPr>
        <w:rPr>
          <w:rFonts w:ascii="宋体" w:hAnsi="宋体" w:cs="宋体" w:eastAsia="宋体"/>
          <w:szCs w:val="24"/>
        </w:rPr>
      </w:pPr>
      <w:r>
        <w:rPr>
          <w:rFonts w:ascii="宋体" w:hAnsi="宋体" w:cs="宋体" w:eastAsia="宋体"/>
          <w:szCs w:val="24"/>
        </w:rPr>
        <w:t>纹：在主根肩部有细而深的环纹。</w:t>
      </w:r>
    </w:p>
    <w:p>
      <w:pPr>
        <w:pStyle w:val="ListParagraph"/>
        <w:numPr>
          <w:ilvl w:val="0"/>
          <w:numId w:val="8"/>
        </w:numPr>
        <w:rPr>
          <w:rFonts w:ascii="宋体" w:hAnsi="宋体" w:cs="宋体" w:eastAsia="宋体"/>
          <w:szCs w:val="24"/>
        </w:rPr>
      </w:pPr>
      <w:r>
        <w:rPr>
          <w:rFonts w:ascii="宋体" w:hAnsi="宋体" w:cs="宋体" w:eastAsia="宋体"/>
          <w:szCs w:val="24"/>
        </w:rPr>
        <w:t>须：支根上生长的较细的根，须根细长，柔韧性强，有弹性、有珍珠点。</w:t>
      </w:r>
    </w:p>
    <w:p>
      <w:pPr>
        <w:pStyle w:val="ListParagraph"/>
        <w:numPr>
          <w:ilvl w:val="0"/>
          <w:numId w:val="7"/>
        </w:numPr>
        <w:ind w:left="1195" w:right="0" w:hanging="360"/>
        <w:outlineLvl w:val="1"/>
        <w:rPr>
          <w:rFonts w:ascii="宋体" w:hAnsi="宋体" w:cs="宋体" w:eastAsia="宋体"/>
          <w:szCs w:val="24"/>
        </w:rPr>
      </w:pPr>
      <w:bookmarkStart w:id="18" w:name="_Toc427500362"/>
      <w:bookmarkStart w:id="19" w:name="_Toc427500287"/>
      <w:bookmarkEnd w:id="18"/>
      <w:bookmarkEnd w:id="19"/>
      <w:r>
        <w:rPr>
          <w:rFonts w:ascii="宋体" w:hAnsi="宋体" w:cs="宋体" w:eastAsia="宋体"/>
          <w:szCs w:val="24"/>
        </w:rPr>
        <w:t>六体</w:t>
      </w:r>
    </w:p>
    <w:p>
      <w:pPr>
        <w:pStyle w:val="ListParagraph"/>
        <w:numPr>
          <w:ilvl w:val="0"/>
          <w:numId w:val="9"/>
        </w:numPr>
        <w:rPr>
          <w:rFonts w:ascii="宋体" w:hAnsi="宋体" w:cs="宋体" w:eastAsia="宋体"/>
          <w:szCs w:val="24"/>
        </w:rPr>
      </w:pPr>
      <w:r>
        <w:rPr>
          <w:rFonts w:ascii="宋体" w:hAnsi="宋体" w:cs="宋体" w:eastAsia="宋体"/>
          <w:szCs w:val="24"/>
        </w:rPr>
        <w:t>灵：指人参体态玲珑，样子好看，体腿明显可分，腿多具两个，且分叉角度大。按形态分为“菱角体”和“疙瘩体”。</w:t>
      </w:r>
    </w:p>
    <w:p>
      <w:pPr>
        <w:pStyle w:val="Normal"/>
        <w:rPr>
          <w:rFonts w:eastAsia="宋体" w:cs="宋体" w:ascii="宋体" w:hAnsi="宋体"/>
        </w:rPr>
      </w:pPr>
      <w:r>
        <w:rPr>
          <w:rFonts w:eastAsia="宋体" w:cs="宋体" w:ascii="宋体" w:hAnsi="宋体"/>
        </w:rPr>
        <w:drawing>
          <wp:anchor behindDoc="0" distT="0" distB="0" distL="0" distR="114300" simplePos="0" locked="0" layoutInCell="1" allowOverlap="1" relativeHeight="0">
            <wp:simplePos x="0" y="0"/>
            <wp:positionH relativeFrom="margin">
              <wp:align>left</wp:align>
            </wp:positionH>
            <wp:positionV relativeFrom="margin">
              <wp:posOffset>205740</wp:posOffset>
            </wp:positionV>
            <wp:extent cx="5485130" cy="459041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485130" cy="4590415"/>
                    </a:xfrm>
                    <a:prstGeom prst="rect">
                      <a:avLst/>
                    </a:prstGeom>
                    <a:noFill/>
                    <a:ln w="9525">
                      <a:noFill/>
                      <a:miter lim="800000"/>
                      <a:headEnd/>
                      <a:tailEnd/>
                    </a:ln>
                  </pic:spPr>
                </pic:pic>
              </a:graphicData>
            </a:graphic>
          </wp:anchor>
        </w:drawing>
      </w:r>
    </w:p>
    <w:p>
      <w:pPr>
        <w:pStyle w:val="Normal"/>
        <w:rPr>
          <w:rFonts w:eastAsia="宋体" w:cs="宋体" w:ascii="宋体" w:hAnsi="宋体"/>
        </w:rPr>
      </w:pPr>
      <w:r>
        <w:rPr>
          <w:rFonts w:eastAsia="宋体" w:cs="宋体" w:ascii="宋体" w:hAnsi="宋体"/>
        </w:rPr>
      </w:r>
    </w:p>
    <w:p>
      <w:pPr>
        <w:pStyle w:val="ListParagraph"/>
        <w:numPr>
          <w:ilvl w:val="0"/>
          <w:numId w:val="9"/>
        </w:numPr>
        <w:rPr>
          <w:rFonts w:ascii="宋体" w:hAnsi="宋体" w:cs="宋体" w:eastAsia="宋体"/>
          <w:szCs w:val="24"/>
        </w:rPr>
      </w:pPr>
      <w:r>
        <w:rPr>
          <w:rFonts w:ascii="宋体" w:hAnsi="宋体" w:cs="宋体" w:eastAsia="宋体"/>
          <w:szCs w:val="24"/>
        </w:rPr>
        <w:t>笨：指人参根形挺直，体态笨拙而不美观，即使有两腿，两者粗细或长短也不匀称。</w:t>
      </w:r>
    </w:p>
    <w:p>
      <w:pPr>
        <w:pStyle w:val="ListParagraph"/>
        <w:numPr>
          <w:ilvl w:val="0"/>
          <w:numId w:val="9"/>
        </w:numPr>
        <w:rPr>
          <w:rFonts w:ascii="宋体" w:hAnsi="宋体" w:cs="宋体" w:eastAsia="宋体"/>
          <w:szCs w:val="24"/>
        </w:rPr>
      </w:pPr>
      <w:r>
        <w:rPr>
          <w:rFonts w:ascii="宋体" w:hAnsi="宋体" w:cs="宋体" w:eastAsia="宋体"/>
          <w:szCs w:val="24"/>
        </w:rPr>
        <w:t>老：野山参皮老，色黄褐，横纹细密而结实。皮嫩色白者不是纯野山参。</w:t>
      </w:r>
    </w:p>
    <w:p>
      <w:pPr>
        <w:pStyle w:val="ListParagraph"/>
        <w:numPr>
          <w:ilvl w:val="0"/>
          <w:numId w:val="9"/>
        </w:numPr>
        <w:rPr>
          <w:rFonts w:ascii="宋体" w:hAnsi="宋体" w:cs="宋体" w:eastAsia="宋体"/>
          <w:szCs w:val="24"/>
        </w:rPr>
      </w:pPr>
      <w:r>
        <w:rPr>
          <w:rFonts w:ascii="宋体" w:hAnsi="宋体" w:cs="宋体" w:eastAsia="宋体"/>
          <w:szCs w:val="24"/>
        </w:rPr>
        <w:t>嫩：皮色嫩白，横纹粗糙浮浅，须根嫩脆色白易折断者，则不是纯野山参。</w:t>
      </w:r>
    </w:p>
    <w:p>
      <w:pPr>
        <w:pStyle w:val="ListParagraph"/>
        <w:numPr>
          <w:ilvl w:val="0"/>
          <w:numId w:val="9"/>
        </w:numPr>
        <w:rPr>
          <w:rFonts w:ascii="宋体" w:hAnsi="宋体" w:cs="宋体" w:eastAsia="宋体"/>
          <w:szCs w:val="24"/>
        </w:rPr>
      </w:pPr>
      <w:r>
        <w:rPr>
          <w:rFonts w:ascii="宋体" w:hAnsi="宋体" w:cs="宋体" w:eastAsia="宋体"/>
          <w:szCs w:val="24"/>
        </w:rPr>
        <w:t>横：指人参根粗短，两条腿多向旁伸展者，多为野山参。</w:t>
      </w:r>
    </w:p>
    <w:p>
      <w:pPr>
        <w:pStyle w:val="ListParagraph"/>
        <w:numPr>
          <w:ilvl w:val="0"/>
          <w:numId w:val="9"/>
        </w:numPr>
        <w:rPr>
          <w:rFonts w:ascii="宋体" w:hAnsi="宋体" w:cs="宋体" w:eastAsia="宋体"/>
          <w:szCs w:val="24"/>
        </w:rPr>
      </w:pPr>
      <w:r>
        <w:rPr>
          <w:rFonts w:ascii="宋体" w:hAnsi="宋体" w:cs="宋体" w:eastAsia="宋体"/>
          <w:szCs w:val="24"/>
        </w:rPr>
        <w:t>顺：指人参根顺理且直，单腿或双腿并拢者，多不是野山参。</w:t>
      </w:r>
    </w:p>
    <w:p>
      <w:pPr>
        <w:pStyle w:val="ListParagraph"/>
        <w:ind w:left="1920" w:right="0" w:hanging="0"/>
        <w:rPr>
          <w:rFonts w:eastAsia="宋体" w:cs="宋体" w:ascii="宋体" w:hAnsi="宋体"/>
          <w:szCs w:val="24"/>
        </w:rPr>
      </w:pPr>
      <w:r>
        <w:rPr>
          <w:rFonts w:eastAsia="宋体" w:cs="宋体" w:ascii="宋体" w:hAnsi="宋体"/>
          <w:szCs w:val="24"/>
        </w:rPr>
      </w:r>
    </w:p>
    <w:p>
      <w:pPr>
        <w:pStyle w:val="ListParagraph"/>
        <w:numPr>
          <w:ilvl w:val="0"/>
          <w:numId w:val="1"/>
        </w:numPr>
        <w:ind w:left="835" w:right="0" w:hanging="480"/>
        <w:outlineLvl w:val="0"/>
        <w:rPr>
          <w:rFonts w:ascii="宋体" w:hAnsi="宋体" w:cs="宋体" w:eastAsia="宋体"/>
        </w:rPr>
      </w:pPr>
      <w:bookmarkStart w:id="20" w:name="_Toc427500363"/>
      <w:bookmarkStart w:id="21" w:name="_Toc427500288"/>
      <w:bookmarkEnd w:id="20"/>
      <w:bookmarkEnd w:id="21"/>
      <w:r>
        <w:rPr>
          <w:rFonts w:ascii="宋体" w:hAnsi="宋体" w:cs="宋体" w:eastAsia="宋体"/>
        </w:rPr>
        <w:t>野山参交易</w:t>
      </w:r>
    </w:p>
    <w:p>
      <w:pPr>
        <w:pStyle w:val="ListParagraph"/>
        <w:ind w:left="840" w:right="0" w:firstLine="480"/>
        <w:rPr/>
      </w:pPr>
      <w:r>
        <w:rPr/>
      </w:r>
    </w:p>
    <w:p>
      <w:pPr>
        <w:pStyle w:val="ListParagraph"/>
        <w:rPr>
          <w:rFonts w:ascii="宋体" w:hAnsi="宋体" w:cs="宋体" w:eastAsia="宋体"/>
          <w:szCs w:val="24"/>
        </w:rPr>
      </w:pPr>
      <w:r>
        <w:rPr>
          <w:rFonts w:eastAsia="宋体" w:cs="宋体" w:ascii="宋体" w:hAnsi="宋体"/>
          <w:szCs w:val="24"/>
        </w:rPr>
        <w:t xml:space="preserve">    </w:t>
      </w:r>
      <w:r>
        <w:rPr>
          <w:rFonts w:ascii="宋体" w:hAnsi="宋体" w:cs="宋体" w:eastAsia="宋体"/>
          <w:szCs w:val="24"/>
        </w:rPr>
        <w:t>野山参产品可以在香港泛亚人参交易所实现现货电子盘交易。香港泛亚人参交易所，于</w:t>
      </w:r>
      <w:r>
        <w:rPr>
          <w:rFonts w:eastAsia="宋体" w:cs="宋体" w:ascii="宋体" w:hAnsi="宋体"/>
          <w:szCs w:val="24"/>
        </w:rPr>
        <w:t>2014</w:t>
      </w:r>
      <w:r>
        <w:rPr>
          <w:rFonts w:ascii="宋体" w:hAnsi="宋体" w:cs="宋体" w:eastAsia="宋体"/>
          <w:szCs w:val="24"/>
        </w:rPr>
        <w:t>年</w:t>
      </w:r>
      <w:r>
        <w:rPr>
          <w:rFonts w:eastAsia="宋体" w:cs="宋体" w:ascii="宋体" w:hAnsi="宋体"/>
          <w:szCs w:val="24"/>
        </w:rPr>
        <w:t>6</w:t>
      </w:r>
      <w:r>
        <w:rPr>
          <w:rFonts w:ascii="宋体" w:hAnsi="宋体" w:cs="宋体" w:eastAsia="宋体"/>
          <w:szCs w:val="24"/>
        </w:rPr>
        <w:t>月</w:t>
      </w:r>
      <w:r>
        <w:rPr>
          <w:rFonts w:eastAsia="宋体" w:cs="宋体" w:ascii="宋体" w:hAnsi="宋体"/>
          <w:szCs w:val="24"/>
        </w:rPr>
        <w:t>3</w:t>
      </w:r>
      <w:r>
        <w:rPr>
          <w:rFonts w:ascii="宋体" w:hAnsi="宋体" w:cs="宋体" w:eastAsia="宋体"/>
          <w:szCs w:val="24"/>
        </w:rPr>
        <w:t>日在香港正式挂牌成立，是全球唯一的一家野山参产品现货交易平台，由环球医药控股集团</w:t>
      </w:r>
      <w:r>
        <w:rPr>
          <w:rFonts w:eastAsia="宋体" w:cs="宋体" w:ascii="宋体" w:hAnsi="宋体"/>
          <w:szCs w:val="24"/>
        </w:rPr>
        <w:t>100%</w:t>
      </w:r>
      <w:r>
        <w:rPr>
          <w:rFonts w:ascii="宋体" w:hAnsi="宋体" w:cs="宋体" w:eastAsia="宋体"/>
          <w:szCs w:val="24"/>
        </w:rPr>
        <w:t>控股。该交易所依託环球医药位于吉林省通化市的亚洲最具规模的野山参种植基地和实体人参交易市场，以及大型现代化医药物流体系，并以东北地区名贵的野山参产品为发行主体，在全球范围内专业从事野山参产品的贸易、现货电子盘交易和野山参投资产品开发等业务，现货电子盘将採用</w:t>
      </w:r>
      <w:r>
        <w:rPr>
          <w:rFonts w:eastAsia="宋体" w:cs="宋体" w:ascii="宋体" w:hAnsi="宋体"/>
          <w:szCs w:val="24"/>
        </w:rPr>
        <w:t>T+0</w:t>
      </w:r>
      <w:r>
        <w:rPr>
          <w:rFonts w:ascii="宋体" w:hAnsi="宋体" w:cs="宋体" w:eastAsia="宋体"/>
          <w:szCs w:val="24"/>
        </w:rPr>
        <w:t>交易模式。</w:t>
      </w:r>
    </w:p>
    <w:p>
      <w:pPr>
        <w:pStyle w:val="ListParagraph"/>
        <w:ind w:left="840" w:right="0" w:firstLine="480"/>
        <w:rPr>
          <w:rFonts w:eastAsia="宋体" w:cs="宋体" w:ascii="宋体" w:hAnsi="宋体"/>
          <w:szCs w:val="24"/>
        </w:rPr>
      </w:pPr>
      <w:r>
        <w:rPr>
          <w:rFonts w:eastAsia="宋体" w:cs="宋体" w:ascii="宋体" w:hAnsi="宋体"/>
          <w:szCs w:val="24"/>
        </w:rPr>
      </w:r>
    </w:p>
    <w:p>
      <w:pPr>
        <w:pStyle w:val="ListParagraph"/>
        <w:ind w:left="840" w:right="0" w:firstLine="480"/>
        <w:rPr>
          <w:rFonts w:ascii="宋体" w:hAnsi="宋体" w:cs="宋体" w:eastAsia="宋体"/>
          <w:szCs w:val="24"/>
        </w:rPr>
      </w:pPr>
      <w:r>
        <w:rPr>
          <w:rFonts w:ascii="宋体" w:hAnsi="宋体" w:cs="宋体" w:eastAsia="宋体"/>
          <w:szCs w:val="24"/>
        </w:rPr>
        <w:t>香港泛亚人参交易所发售挂牌的野山参产品是指符合中华人民共和国国家标准《野山参鉴定及分等质量</w:t>
      </w:r>
      <w:r>
        <w:rPr>
          <w:rFonts w:eastAsia="宋体" w:cs="宋体" w:ascii="宋体" w:hAnsi="宋体"/>
          <w:szCs w:val="24"/>
        </w:rPr>
        <w:t>GB/T18765-2008</w:t>
      </w:r>
      <w:r>
        <w:rPr>
          <w:rFonts w:ascii="宋体" w:hAnsi="宋体" w:cs="宋体" w:eastAsia="宋体"/>
          <w:szCs w:val="24"/>
        </w:rPr>
        <w:t>》规定的自然生长于深山密林的、年龄</w:t>
      </w:r>
      <w:r>
        <w:rPr>
          <w:rFonts w:eastAsia="宋体" w:cs="宋体" w:ascii="宋体" w:hAnsi="宋体"/>
          <w:szCs w:val="24"/>
        </w:rPr>
        <w:t>15</w:t>
      </w:r>
      <w:r>
        <w:rPr>
          <w:rFonts w:ascii="宋体" w:hAnsi="宋体" w:cs="宋体" w:eastAsia="宋体"/>
          <w:szCs w:val="24"/>
        </w:rPr>
        <w:t>年以上的优质野山参产品。为严格确保品质与等级价值，交易所发行的野山参产品均由中国国家参茸产品质量监督检验中心作为独立第三方进行专业鉴定与检验。详细检验鉴定证书可在国家参茸产品质量监督检验中心官方网站（</w:t>
      </w:r>
      <w:hyperlink r:id="rId9">
        <w:r>
          <w:rPr>
            <w:rStyle w:val="InternetLink"/>
            <w:rFonts w:eastAsia="宋体" w:cs="宋体" w:ascii="宋体" w:hAnsi="宋体"/>
          </w:rPr>
          <w:t>www.shenr</w:t>
        </w:r>
      </w:hyperlink>
      <w:hyperlink r:id="rId10">
        <w:r>
          <w:rPr>
            <w:rStyle w:val="InternetLink"/>
            <w:rFonts w:eastAsia="宋体" w:cs="宋体" w:ascii="宋体" w:hAnsi="宋体"/>
          </w:rPr>
          <w:t>ong.org</w:t>
        </w:r>
      </w:hyperlink>
      <w:r>
        <w:rPr>
          <w:rFonts w:ascii="宋体" w:hAnsi="宋体" w:cs="宋体" w:eastAsia="宋体"/>
          <w:szCs w:val="24"/>
        </w:rPr>
        <w:t>）查询。</w:t>
      </w:r>
    </w:p>
    <w:p>
      <w:pPr>
        <w:pStyle w:val="ListParagraph"/>
        <w:ind w:left="840" w:right="0" w:firstLine="480"/>
        <w:rPr>
          <w:rFonts w:eastAsia="宋体" w:cs="宋体" w:ascii="宋体" w:hAnsi="宋体"/>
          <w:szCs w:val="24"/>
        </w:rPr>
      </w:pPr>
      <w:r>
        <w:rPr>
          <w:rFonts w:eastAsia="宋体" w:cs="宋体" w:ascii="宋体" w:hAnsi="宋体"/>
          <w:szCs w:val="24"/>
        </w:rPr>
      </w:r>
    </w:p>
    <w:p>
      <w:pPr>
        <w:pStyle w:val="ListParagraph"/>
        <w:numPr>
          <w:ilvl w:val="0"/>
          <w:numId w:val="1"/>
        </w:numPr>
        <w:ind w:left="835" w:right="0" w:hanging="480"/>
        <w:outlineLvl w:val="0"/>
        <w:rPr>
          <w:rFonts w:ascii="宋体" w:hAnsi="宋体" w:cs="宋体" w:eastAsia="宋体"/>
        </w:rPr>
      </w:pPr>
      <w:bookmarkStart w:id="22" w:name="_Toc427500364"/>
      <w:bookmarkStart w:id="23" w:name="_Toc427500289"/>
      <w:r>
        <w:rPr>
          <w:rFonts w:eastAsia="宋体" w:cs="宋体" w:ascii="宋体" w:hAnsi="宋体"/>
        </w:rPr>
        <w:t>“</w:t>
      </w:r>
      <w:bookmarkEnd w:id="22"/>
      <w:bookmarkEnd w:id="23"/>
      <w:r>
        <w:rPr>
          <w:rFonts w:ascii="宋体" w:hAnsi="宋体" w:cs="宋体" w:eastAsia="宋体"/>
        </w:rPr>
        <w:t>八两宝”野山参项目</w:t>
        <w:drawing>
          <wp:anchor behindDoc="0" distT="0" distB="0" distL="0" distR="0" simplePos="0" locked="0" layoutInCell="1" allowOverlap="1" relativeHeight="1">
            <wp:simplePos x="0" y="0"/>
            <wp:positionH relativeFrom="column">
              <wp:posOffset>4089400</wp:posOffset>
            </wp:positionH>
            <wp:positionV relativeFrom="paragraph">
              <wp:posOffset>303530</wp:posOffset>
            </wp:positionV>
            <wp:extent cx="2387600" cy="19272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2387600" cy="19272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-381000</wp:posOffset>
            </wp:positionH>
            <wp:positionV relativeFrom="paragraph">
              <wp:posOffset>372110</wp:posOffset>
            </wp:positionV>
            <wp:extent cx="2049780" cy="18967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2049780" cy="189674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1884045</wp:posOffset>
            </wp:positionH>
            <wp:positionV relativeFrom="paragraph">
              <wp:posOffset>334010</wp:posOffset>
            </wp:positionV>
            <wp:extent cx="2040255" cy="189674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3"/>
                    <a:stretch>
                      <a:fillRect/>
                    </a:stretch>
                  </pic:blipFill>
                  <pic:spPr bwMode="auto">
                    <a:xfrm>
                      <a:off x="0" y="0"/>
                      <a:ext cx="2040255" cy="1896745"/>
                    </a:xfrm>
                    <a:prstGeom prst="rect">
                      <a:avLst/>
                    </a:prstGeom>
                    <a:noFill/>
                    <a:ln w="9525">
                      <a:noFill/>
                      <a:miter lim="800000"/>
                      <a:headEnd/>
                      <a:tailEnd/>
                    </a:ln>
                  </pic:spPr>
                </pic:pic>
              </a:graphicData>
            </a:graphic>
          </wp:anchor>
        </w:drawing>
      </w:r>
    </w:p>
    <w:p>
      <w:pPr>
        <w:pStyle w:val="Normal"/>
        <w:ind w:left="360" w:right="0" w:hanging="0"/>
        <w:rPr>
          <w:rFonts w:eastAsia="宋体" w:cs="宋体" w:ascii="宋体" w:hAnsi="宋体"/>
        </w:rPr>
      </w:pPr>
      <w:r>
        <w:rPr>
          <w:rFonts w:eastAsia="宋体" w:cs="宋体" w:ascii="宋体" w:hAnsi="宋体"/>
        </w:rPr>
      </w:r>
    </w:p>
    <w:p>
      <w:pPr>
        <w:pStyle w:val="ListParagraph"/>
        <w:ind w:left="840" w:right="0" w:hanging="0"/>
        <w:rPr>
          <w:rFonts w:ascii="宋体" w:hAnsi="宋体" w:cs="宋体" w:eastAsia="宋体"/>
          <w:szCs w:val="24"/>
        </w:rPr>
      </w:pPr>
      <w:r>
        <w:rPr>
          <w:rFonts w:ascii="宋体" w:hAnsi="宋体" w:cs="宋体" w:eastAsia="宋体"/>
          <w:szCs w:val="24"/>
        </w:rPr>
        <w:t>八两宝参业股份有限公司的</w:t>
      </w:r>
      <w:r>
        <w:rPr>
          <w:rFonts w:ascii="宋体" w:hAnsi="宋体" w:cs="宋体" w:eastAsia="宋体"/>
        </w:rPr>
        <w:t>“八两宝”野山参选择在浙江舟山大宗商品交易所挂牌交易，虽然在交易形式上和</w:t>
      </w:r>
      <w:r>
        <w:rPr>
          <w:rFonts w:ascii="宋体" w:hAnsi="宋体" w:cs="宋体" w:eastAsia="宋体"/>
          <w:szCs w:val="24"/>
        </w:rPr>
        <w:t>香港泛亚人参交易所的挂牌交易类似，但是：</w:t>
      </w:r>
    </w:p>
    <w:p>
      <w:pPr>
        <w:pStyle w:val="ListParagraph"/>
        <w:numPr>
          <w:ilvl w:val="0"/>
          <w:numId w:val="10"/>
        </w:numPr>
        <w:rPr>
          <w:rFonts w:ascii="宋体" w:hAnsi="宋体" w:cs="宋体" w:eastAsia="宋体"/>
        </w:rPr>
      </w:pPr>
      <w:r>
        <w:rPr>
          <w:rFonts w:eastAsia="宋体" w:cs="宋体" w:ascii="宋体" w:hAnsi="宋体"/>
        </w:rPr>
        <w:t>“</w:t>
      </w:r>
      <w:r>
        <w:rPr>
          <w:rFonts w:ascii="宋体" w:hAnsi="宋体" w:cs="宋体" w:eastAsia="宋体"/>
        </w:rPr>
        <w:t>八两宝”野山参使用的产品标准与香港泛亚人参交易所采用的标准不一致。“八两宝”并未说明参龄是否为</w:t>
      </w:r>
      <w:r>
        <w:rPr>
          <w:rFonts w:eastAsia="宋体" w:cs="宋体" w:ascii="宋体" w:hAnsi="宋体"/>
        </w:rPr>
        <w:t>15</w:t>
      </w:r>
      <w:r>
        <w:rPr>
          <w:rFonts w:ascii="宋体" w:hAnsi="宋体" w:cs="宋体" w:eastAsia="宋体"/>
        </w:rPr>
        <w:t>年以上，且其质量标准仅定为二等生晒野山参，没有细分级别。</w:t>
      </w:r>
    </w:p>
    <w:p>
      <w:pPr>
        <w:pStyle w:val="ListParagraph"/>
        <w:numPr>
          <w:ilvl w:val="0"/>
          <w:numId w:val="10"/>
        </w:numPr>
        <w:rPr>
          <w:rFonts w:ascii="宋体" w:hAnsi="宋体" w:cs="宋体" w:eastAsia="宋体"/>
          <w:szCs w:val="24"/>
        </w:rPr>
      </w:pPr>
      <w:r>
        <w:rPr>
          <w:rFonts w:eastAsia="宋体" w:cs="宋体" w:ascii="宋体" w:hAnsi="宋体"/>
        </w:rPr>
        <w:t>“</w:t>
      </w:r>
      <w:r>
        <w:rPr>
          <w:rFonts w:ascii="宋体" w:hAnsi="宋体" w:cs="宋体" w:eastAsia="宋体"/>
        </w:rPr>
        <w:t>八两宝”野山参检验由</w:t>
      </w:r>
      <w:r>
        <w:rPr>
          <w:rFonts w:ascii="宋体" w:hAnsi="宋体" w:cs="宋体" w:eastAsia="宋体"/>
          <w:szCs w:val="24"/>
        </w:rPr>
        <w:t>吉林省人参产品质量监督检验中心进行检验完成，并非依照香港泛亚人参交易所标准</w:t>
      </w:r>
      <w:r>
        <w:rPr>
          <w:rFonts w:eastAsia="宋体" w:cs="宋体" w:ascii="宋体" w:hAnsi="宋体"/>
          <w:szCs w:val="24"/>
        </w:rPr>
        <w:t>,</w:t>
      </w:r>
      <w:r>
        <w:rPr>
          <w:rFonts w:ascii="宋体" w:hAnsi="宋体" w:cs="宋体" w:eastAsia="宋体"/>
          <w:szCs w:val="24"/>
        </w:rPr>
        <w:t>由</w:t>
      </w:r>
      <w:r>
        <w:rPr>
          <w:rFonts w:ascii="宋体" w:hAnsi="宋体" w:cs="宋体" w:eastAsia="宋体"/>
        </w:rPr>
        <w:t>中国国家</w:t>
      </w:r>
      <w:r>
        <w:rPr>
          <w:rFonts w:ascii="宋体" w:hAnsi="宋体" w:cs="宋体" w:eastAsia="宋体"/>
          <w:szCs w:val="24"/>
        </w:rPr>
        <w:t>参茸产品质量监督检验中心进行检验。</w:t>
      </w:r>
    </w:p>
    <w:p>
      <w:pPr>
        <w:pStyle w:val="Normal"/>
        <w:rPr>
          <w:rFonts w:eastAsia="宋体" w:cs="宋体" w:ascii="宋体" w:hAnsi="宋体"/>
        </w:rPr>
      </w:pPr>
      <w:r>
        <w:rPr>
          <w:rFonts w:eastAsia="宋体" w:cs="宋体" w:ascii="宋体" w:hAnsi="宋体"/>
        </w:rPr>
      </w:r>
    </w:p>
    <w:p>
      <w:pPr>
        <w:pStyle w:val="ListParagraph"/>
        <w:numPr>
          <w:ilvl w:val="0"/>
          <w:numId w:val="1"/>
        </w:numPr>
        <w:rPr>
          <w:rFonts w:ascii="宋体" w:hAnsi="宋体" w:cs="宋体" w:eastAsia="宋体"/>
        </w:rPr>
      </w:pPr>
      <w:r>
        <w:rPr>
          <w:rFonts w:eastAsia="宋体" w:cs="宋体" w:ascii="宋体" w:hAnsi="宋体"/>
        </w:rPr>
        <w:t>“</w:t>
      </w:r>
      <w:r>
        <w:rPr>
          <w:rFonts w:ascii="宋体" w:hAnsi="宋体" w:cs="宋体" w:eastAsia="宋体"/>
        </w:rPr>
        <w:t>八两宝”野山参沟通纪要</w:t>
      </w:r>
    </w:p>
    <w:p>
      <w:pPr>
        <w:pStyle w:val="ListParagraph"/>
        <w:numPr>
          <w:ilvl w:val="0"/>
          <w:numId w:val="11"/>
        </w:numPr>
        <w:rPr>
          <w:rFonts w:ascii="宋体" w:hAnsi="宋体" w:cs="宋体" w:eastAsia="宋体"/>
        </w:rPr>
      </w:pPr>
      <w:r>
        <w:rPr>
          <w:rFonts w:ascii="宋体" w:hAnsi="宋体" w:cs="宋体" w:eastAsia="宋体"/>
        </w:rPr>
        <w:t>孙海（副总经理）电话通话</w:t>
      </w:r>
    </w:p>
    <w:p>
      <w:pPr>
        <w:pStyle w:val="ListParagraph"/>
        <w:numPr>
          <w:ilvl w:val="0"/>
          <w:numId w:val="12"/>
        </w:numPr>
        <w:rPr>
          <w:rFonts w:ascii="宋体" w:hAnsi="宋体" w:cs="宋体" w:eastAsia="宋体"/>
        </w:rPr>
      </w:pPr>
      <w:r>
        <w:rPr>
          <w:rFonts w:ascii="宋体" w:hAnsi="宋体" w:cs="宋体" w:eastAsia="宋体"/>
        </w:rPr>
        <w:t>时间：</w:t>
      </w:r>
      <w:r>
        <w:rPr>
          <w:rFonts w:eastAsia="宋体" w:cs="宋体" w:ascii="宋体" w:hAnsi="宋体"/>
        </w:rPr>
        <w:t xml:space="preserve">2015/8/17 </w:t>
      </w:r>
      <w:r>
        <w:rPr>
          <w:rFonts w:ascii="宋体" w:hAnsi="宋体" w:cs="宋体" w:eastAsia="宋体"/>
        </w:rPr>
        <w:t>上午</w:t>
      </w:r>
    </w:p>
    <w:p>
      <w:pPr>
        <w:pStyle w:val="ListParagraph"/>
        <w:numPr>
          <w:ilvl w:val="0"/>
          <w:numId w:val="12"/>
        </w:numPr>
        <w:rPr>
          <w:rFonts w:ascii="宋体" w:hAnsi="宋体" w:cs="宋体" w:eastAsia="宋体"/>
        </w:rPr>
      </w:pPr>
      <w:r>
        <w:rPr>
          <w:rFonts w:ascii="宋体" w:hAnsi="宋体" w:cs="宋体" w:eastAsia="宋体"/>
        </w:rPr>
        <w:t>人参是否为</w:t>
      </w:r>
      <w:r>
        <w:rPr>
          <w:rFonts w:eastAsia="宋体" w:cs="宋体" w:ascii="宋体" w:hAnsi="宋体"/>
        </w:rPr>
        <w:t>15</w:t>
      </w:r>
      <w:r>
        <w:rPr>
          <w:rFonts w:ascii="宋体" w:hAnsi="宋体" w:cs="宋体" w:eastAsia="宋体"/>
        </w:rPr>
        <w:t>年以上：</w:t>
      </w:r>
    </w:p>
    <w:p>
      <w:pPr>
        <w:pStyle w:val="ListParagraph"/>
        <w:ind w:left="1920" w:right="0" w:hanging="0"/>
        <w:rPr>
          <w:rFonts w:ascii="宋体" w:hAnsi="宋体" w:cs="宋体" w:eastAsia="宋体"/>
          <w:szCs w:val="24"/>
        </w:rPr>
      </w:pPr>
      <w:r>
        <w:rPr>
          <w:rFonts w:ascii="宋体" w:hAnsi="宋体" w:cs="宋体" w:eastAsia="宋体"/>
        </w:rPr>
        <w:t>并未硬性要求，但是符合吉林</w:t>
      </w:r>
      <w:r>
        <w:rPr>
          <w:rFonts w:ascii="宋体" w:hAnsi="宋体" w:cs="宋体" w:eastAsia="宋体"/>
          <w:szCs w:val="24"/>
        </w:rPr>
        <w:t>省人参产品质量监督检验中心二等参标准。</w:t>
      </w:r>
    </w:p>
    <w:p>
      <w:pPr>
        <w:pStyle w:val="ListParagraph"/>
        <w:numPr>
          <w:ilvl w:val="0"/>
          <w:numId w:val="12"/>
        </w:numPr>
        <w:rPr>
          <w:rFonts w:ascii="宋体" w:hAnsi="宋体" w:cs="宋体" w:eastAsia="宋体"/>
        </w:rPr>
      </w:pPr>
      <w:r>
        <w:rPr>
          <w:rFonts w:ascii="宋体" w:hAnsi="宋体" w:cs="宋体" w:eastAsia="宋体"/>
        </w:rPr>
        <w:t>野山参并没有分级：</w:t>
      </w:r>
    </w:p>
    <w:p>
      <w:pPr>
        <w:pStyle w:val="ListParagraph"/>
        <w:ind w:left="1920" w:right="0" w:hanging="0"/>
        <w:rPr>
          <w:rFonts w:ascii="宋体" w:hAnsi="宋体" w:cs="宋体" w:eastAsia="宋体"/>
        </w:rPr>
      </w:pPr>
      <w:r>
        <w:rPr>
          <w:rFonts w:ascii="宋体" w:hAnsi="宋体" w:cs="宋体" w:eastAsia="宋体"/>
        </w:rPr>
        <w:t>八个等级是按照重量来划分的。</w:t>
      </w:r>
    </w:p>
    <w:p>
      <w:pPr>
        <w:pStyle w:val="ListParagraph"/>
        <w:numPr>
          <w:ilvl w:val="0"/>
          <w:numId w:val="12"/>
        </w:numPr>
        <w:rPr>
          <w:rFonts w:ascii="宋体" w:hAnsi="宋体" w:cs="宋体" w:eastAsia="宋体"/>
        </w:rPr>
      </w:pPr>
      <w:r>
        <w:rPr>
          <w:rFonts w:ascii="宋体" w:hAnsi="宋体" w:cs="宋体" w:eastAsia="宋体"/>
        </w:rPr>
        <w:t>野山参来源</w:t>
      </w:r>
    </w:p>
    <w:p>
      <w:pPr>
        <w:pStyle w:val="ListParagraph"/>
        <w:numPr>
          <w:ilvl w:val="0"/>
          <w:numId w:val="13"/>
        </w:numPr>
        <w:rPr>
          <w:rFonts w:ascii="宋体" w:hAnsi="宋体" w:cs="宋体" w:eastAsia="宋体"/>
        </w:rPr>
      </w:pPr>
      <w:r>
        <w:rPr>
          <w:rFonts w:ascii="宋体" w:hAnsi="宋体" w:cs="宋体" w:eastAsia="宋体"/>
        </w:rPr>
        <w:t>同参农合作</w:t>
      </w:r>
    </w:p>
    <w:p>
      <w:pPr>
        <w:pStyle w:val="ListParagraph"/>
        <w:numPr>
          <w:ilvl w:val="0"/>
          <w:numId w:val="13"/>
        </w:numPr>
        <w:rPr>
          <w:rFonts w:ascii="宋体" w:hAnsi="宋体" w:cs="宋体" w:eastAsia="宋体"/>
        </w:rPr>
      </w:pPr>
      <w:r>
        <w:rPr>
          <w:rFonts w:ascii="宋体" w:hAnsi="宋体" w:cs="宋体" w:eastAsia="宋体"/>
        </w:rPr>
        <w:t>自有参园</w:t>
      </w:r>
    </w:p>
    <w:p>
      <w:pPr>
        <w:pStyle w:val="ListParagraph"/>
        <w:numPr>
          <w:ilvl w:val="0"/>
          <w:numId w:val="12"/>
        </w:numPr>
        <w:rPr>
          <w:rFonts w:ascii="宋体" w:hAnsi="宋体" w:cs="宋体" w:eastAsia="宋体"/>
          <w:szCs w:val="24"/>
        </w:rPr>
      </w:pPr>
      <w:r>
        <w:rPr>
          <w:rFonts w:ascii="宋体" w:hAnsi="宋体" w:cs="宋体" w:eastAsia="宋体"/>
        </w:rPr>
        <w:t>为何不适用中国国家</w:t>
      </w:r>
      <w:r>
        <w:rPr>
          <w:rFonts w:ascii="宋体" w:hAnsi="宋体" w:cs="宋体" w:eastAsia="宋体"/>
          <w:szCs w:val="24"/>
        </w:rPr>
        <w:t>参茸产品质量监督检验中心进行检验：</w:t>
      </w:r>
    </w:p>
    <w:p>
      <w:pPr>
        <w:pStyle w:val="ListParagraph"/>
        <w:numPr>
          <w:ilvl w:val="0"/>
          <w:numId w:val="16"/>
        </w:numPr>
        <w:rPr>
          <w:rFonts w:ascii="宋体" w:hAnsi="宋体" w:cs="宋体" w:eastAsia="宋体"/>
        </w:rPr>
      </w:pPr>
      <w:r>
        <w:rPr>
          <w:rFonts w:ascii="宋体" w:hAnsi="宋体" w:cs="宋体" w:eastAsia="宋体"/>
        </w:rPr>
        <w:t>吉林省当时有两家质检中心，其中一家捷足先登拿到国家质检牌照（孙经理口述）</w:t>
      </w:r>
    </w:p>
    <w:p>
      <w:pPr>
        <w:pStyle w:val="ListParagraph"/>
        <w:numPr>
          <w:ilvl w:val="0"/>
          <w:numId w:val="16"/>
        </w:numPr>
        <w:rPr>
          <w:rFonts w:ascii="宋体" w:hAnsi="宋体" w:cs="宋体" w:eastAsia="宋体"/>
          <w:szCs w:val="24"/>
        </w:rPr>
      </w:pPr>
      <w:r>
        <w:rPr>
          <w:rFonts w:ascii="宋体" w:hAnsi="宋体" w:cs="宋体" w:eastAsia="宋体"/>
        </w:rPr>
        <w:t>在通化当地口碑不好，国检猫腻较多</w:t>
      </w:r>
      <w:r>
        <w:rPr>
          <w:rFonts w:ascii="宋体" w:hAnsi="宋体" w:cs="宋体" w:eastAsia="宋体"/>
          <w:szCs w:val="24"/>
        </w:rPr>
        <w:t>（孙经理口述）</w:t>
      </w:r>
    </w:p>
    <w:p>
      <w:pPr>
        <w:pStyle w:val="ListParagraph"/>
        <w:numPr>
          <w:ilvl w:val="0"/>
          <w:numId w:val="12"/>
        </w:numPr>
        <w:rPr>
          <w:rFonts w:ascii="宋体" w:hAnsi="宋体" w:cs="宋体" w:eastAsia="宋体"/>
        </w:rPr>
      </w:pPr>
      <w:r>
        <w:rPr>
          <w:rFonts w:ascii="宋体" w:hAnsi="宋体" w:cs="宋体" w:eastAsia="宋体"/>
        </w:rPr>
        <w:t>可否用房地产抵押增信：</w:t>
      </w:r>
    </w:p>
    <w:p>
      <w:pPr>
        <w:pStyle w:val="ListParagraph"/>
        <w:numPr>
          <w:ilvl w:val="0"/>
          <w:numId w:val="14"/>
        </w:numPr>
        <w:rPr>
          <w:rFonts w:ascii="宋体" w:hAnsi="宋体" w:cs="宋体" w:eastAsia="宋体"/>
        </w:rPr>
      </w:pPr>
      <w:r>
        <w:rPr>
          <w:rFonts w:ascii="宋体" w:hAnsi="宋体" w:cs="宋体" w:eastAsia="宋体"/>
        </w:rPr>
        <w:t>考虑到八宝参以后上市需要，八宝参希望和大股东尽量保持独立，不希望涉及股东的不动产；</w:t>
      </w:r>
    </w:p>
    <w:p>
      <w:pPr>
        <w:pStyle w:val="ListParagraph"/>
        <w:numPr>
          <w:ilvl w:val="0"/>
          <w:numId w:val="14"/>
        </w:numPr>
        <w:rPr>
          <w:rFonts w:ascii="宋体" w:hAnsi="宋体" w:cs="宋体" w:eastAsia="宋体"/>
        </w:rPr>
      </w:pPr>
      <w:r>
        <w:rPr>
          <w:rFonts w:ascii="宋体" w:hAnsi="宋体" w:cs="宋体" w:eastAsia="宋体"/>
        </w:rPr>
        <w:t>会和股东进行进一步沟通</w:t>
      </w:r>
    </w:p>
    <w:p>
      <w:pPr>
        <w:pStyle w:val="ListParagraph"/>
        <w:numPr>
          <w:ilvl w:val="0"/>
          <w:numId w:val="12"/>
        </w:numPr>
        <w:rPr>
          <w:rFonts w:cs=""/>
        </w:rPr>
      </w:pPr>
      <w:r>
        <w:rPr/>
        <w:t>2015</w:t>
      </w:r>
      <w:r>
        <w:rPr/>
        <w:t>年</w:t>
      </w:r>
      <w:r>
        <w:rPr/>
        <w:t>8</w:t>
      </w:r>
      <w:r>
        <w:rPr/>
        <w:t>月</w:t>
      </w:r>
      <w:r>
        <w:rPr/>
        <w:t>3</w:t>
      </w:r>
      <w:r>
        <w:rPr/>
        <w:t>日在浙商所推出</w:t>
      </w:r>
      <w:r>
        <w:rPr/>
        <w:t>2015001</w:t>
      </w:r>
      <w:r>
        <w:rPr/>
        <w:t>期野山参现货挂牌交易，该期挂牌总量</w:t>
      </w:r>
      <w:r>
        <w:rPr/>
        <w:t>50,000</w:t>
      </w:r>
      <w:r>
        <w:rPr/>
        <w:t>克，价值</w:t>
      </w:r>
      <w:r>
        <w:rPr/>
        <w:t>750</w:t>
      </w:r>
      <w:r>
        <w:rPr/>
        <w:t>万</w:t>
      </w:r>
      <w:r>
        <w:rPr>
          <w:rFonts w:cs=""/>
        </w:rPr>
        <w:t>，为何在意向书中提及，需要</w:t>
      </w:r>
      <w:r>
        <w:rPr>
          <w:rFonts w:cs=""/>
        </w:rPr>
        <w:t>2500</w:t>
      </w:r>
      <w:r>
        <w:rPr>
          <w:rFonts w:cs=""/>
        </w:rPr>
        <w:t>万资金买入</w:t>
      </w:r>
      <w:r>
        <w:rPr>
          <w:rFonts w:cs=""/>
        </w:rPr>
        <w:t>150,000</w:t>
      </w:r>
      <w:r>
        <w:rPr>
          <w:rFonts w:cs=""/>
        </w:rPr>
        <w:t>克：</w:t>
      </w:r>
    </w:p>
    <w:p>
      <w:pPr>
        <w:pStyle w:val="ListParagraph"/>
        <w:numPr>
          <w:ilvl w:val="0"/>
          <w:numId w:val="15"/>
        </w:numPr>
        <w:rPr/>
      </w:pPr>
      <w:r>
        <w:rPr/>
        <w:t>2015</w:t>
      </w:r>
      <w:r>
        <w:rPr/>
        <w:t>年</w:t>
      </w:r>
      <w:r>
        <w:rPr/>
        <w:t>8</w:t>
      </w:r>
      <w:r>
        <w:rPr/>
        <w:t>月</w:t>
      </w:r>
      <w:r>
        <w:rPr/>
        <w:t>27</w:t>
      </w:r>
      <w:bookmarkStart w:id="24" w:name="_GoBack"/>
      <w:bookmarkEnd w:id="24"/>
      <w:r>
        <w:rPr/>
        <w:t>日</w:t>
      </w:r>
    </w:p>
    <w:p>
      <w:pPr>
        <w:pStyle w:val="Normal"/>
        <w:rPr>
          <w:rFonts w:eastAsia="宋体" w:cs="宋体" w:ascii="宋体" w:hAnsi="宋体"/>
        </w:rPr>
      </w:pPr>
      <w:r>
        <w:rPr>
          <w:rFonts w:eastAsia="宋体" w:cs="宋体" w:ascii="宋体" w:hAnsi="宋体"/>
        </w:rPr>
      </w:r>
    </w:p>
    <w:p>
      <w:pPr>
        <w:pStyle w:val="ListParagraph"/>
        <w:numPr>
          <w:ilvl w:val="0"/>
          <w:numId w:val="1"/>
        </w:numPr>
        <w:ind w:left="835" w:right="0" w:hanging="480"/>
        <w:outlineLvl w:val="0"/>
        <w:rPr>
          <w:rFonts w:ascii="宋体" w:hAnsi="宋体" w:cs="宋体" w:eastAsia="宋体"/>
        </w:rPr>
      </w:pPr>
      <w:bookmarkStart w:id="25" w:name="_Toc427500365"/>
      <w:bookmarkStart w:id="26" w:name="_Toc427500290"/>
      <w:bookmarkEnd w:id="25"/>
      <w:bookmarkEnd w:id="26"/>
      <w:r>
        <w:rPr>
          <w:rFonts w:ascii="宋体" w:hAnsi="宋体" w:cs="宋体" w:eastAsia="宋体"/>
        </w:rPr>
        <w:t>资料来源</w:t>
      </w:r>
    </w:p>
    <w:p>
      <w:pPr>
        <w:pStyle w:val="ListParagraph"/>
        <w:numPr>
          <w:ilvl w:val="0"/>
          <w:numId w:val="2"/>
        </w:numPr>
        <w:rPr>
          <w:rStyle w:val="InternetLink"/>
        </w:rPr>
      </w:pPr>
      <w:hyperlink r:id="rId14">
        <w:r>
          <w:rPr>
            <w:rStyle w:val="InternetLink"/>
          </w:rPr>
          <w:t>http://www.hunt007.com/employer/viewInfo/5166781.htm</w:t>
        </w:r>
      </w:hyperlink>
    </w:p>
    <w:p>
      <w:pPr>
        <w:pStyle w:val="ListParagraph"/>
        <w:numPr>
          <w:ilvl w:val="0"/>
          <w:numId w:val="2"/>
        </w:numPr>
        <w:rPr/>
      </w:pPr>
      <w:r>
        <w:rPr/>
        <w:t>浙江舟山大宗商品交易所野山参介绍（</w:t>
      </w:r>
      <w:hyperlink r:id="rId15">
        <w:r>
          <w:rPr>
            <w:rStyle w:val="VisitedInternetLink"/>
          </w:rPr>
          <w:t>http://www.zzbce.com/showNewsList!show.action?code=422</w:t>
        </w:r>
      </w:hyperlink>
      <w:r>
        <w:rPr/>
        <w:t>）</w:t>
      </w:r>
    </w:p>
    <w:p>
      <w:pPr>
        <w:pStyle w:val="ListParagraph"/>
        <w:numPr>
          <w:ilvl w:val="0"/>
          <w:numId w:val="2"/>
        </w:numPr>
        <w:rPr>
          <w:rFonts w:ascii="宋体" w:hAnsi="宋体" w:cs="宋体" w:eastAsia="宋体"/>
        </w:rPr>
      </w:pPr>
      <w:r>
        <w:rPr>
          <w:rFonts w:ascii="宋体" w:hAnsi="宋体" w:cs="宋体" w:eastAsia="宋体"/>
        </w:rPr>
        <w:t>浙商所公告（</w:t>
      </w:r>
      <w:hyperlink r:id="rId16">
        <w:r>
          <w:rPr>
            <w:rStyle w:val="VisitedInternetLink"/>
          </w:rPr>
          <w:t>http://www.zzbce.com/showNews!show.action?id=8a8ae48b4cc66b03014eee705beb0b23</w:t>
        </w:r>
      </w:hyperlink>
      <w:r>
        <w:rPr>
          <w:rFonts w:ascii="宋体" w:hAnsi="宋体" w:cs="宋体" w:eastAsia="宋体"/>
        </w:rPr>
        <w:t>）</w:t>
      </w:r>
    </w:p>
    <w:p>
      <w:pPr>
        <w:pStyle w:val="ListParagraph"/>
        <w:numPr>
          <w:ilvl w:val="0"/>
          <w:numId w:val="2"/>
        </w:numPr>
        <w:rPr/>
      </w:pPr>
      <w:r>
        <w:rPr>
          <w:rFonts w:ascii="宋体" w:hAnsi="宋体" w:cs="宋体" w:eastAsia="宋体"/>
        </w:rPr>
        <w:t>香</w:t>
      </w:r>
      <w:r>
        <w:rPr/>
        <w:t>港泛亚人参交易所（</w:t>
      </w:r>
      <w:hyperlink r:id="rId17">
        <w:r>
          <w:rPr>
            <w:rStyle w:val="InternetLink"/>
          </w:rPr>
          <w:t>http://www.pagex.hk/CN/newsT.asp?ID=14</w:t>
        </w:r>
      </w:hyperlink>
      <w:r>
        <w:rPr/>
        <w:t>）</w:t>
      </w:r>
    </w:p>
    <w:sectPr>
      <w:headerReference w:type="default" r:id="rId18"/>
      <w:footerReference w:type="default" r:id="rId19"/>
      <w:type w:val="nextPage"/>
      <w:pgSz w:w="12240" w:h="15840"/>
      <w:pgMar w:left="1440" w:right="144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宋体">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720" w:hanging="0"/>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720" w:hanging="0"/>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4</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lvlText w:val="%1、"/>
      <w:lvlJc w:val="left"/>
      <w:pPr>
        <w:ind w:left="840" w:hanging="48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200" w:hanging="360"/>
      </w:pPr>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
    <w:lvl w:ilvl="0">
      <w:start w:val="1"/>
      <w:numFmt w:val="decimal"/>
      <w:lvlText w:val="%1."/>
      <w:lvlJc w:val="left"/>
      <w:pPr>
        <w:ind w:left="1200" w:hanging="360"/>
      </w:pPr>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lvl w:ilvl="0">
      <w:start w:val="1"/>
      <w:numFmt w:val="decimal"/>
      <w:lvlText w:val="%1."/>
      <w:lvlJc w:val="left"/>
      <w:pPr>
        <w:ind w:left="1200" w:hanging="360"/>
      </w:pPr>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5">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6">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7">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8">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9">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10">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1">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2">
    <w:lvl w:ilvl="0">
      <w:start w:val="1"/>
      <w:numFmt w:val="bullet"/>
      <w:lvlText w:val=""/>
      <w:lvlJc w:val="left"/>
      <w:pPr>
        <w:ind w:left="1920" w:hanging="360"/>
      </w:pPr>
      <w:rPr>
        <w:rFonts w:ascii="Symbol" w:hAnsi="Symbol" w:cs="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13">
    <w:lvl w:ilvl="0">
      <w:start w:val="1"/>
      <w:numFmt w:val="lowerRoman"/>
      <w:lvlText w:val="(%1)"/>
      <w:lvlJc w:val="left"/>
      <w:pPr>
        <w:ind w:left="2640" w:hanging="720"/>
      </w:pPr>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4">
    <w:lvl w:ilvl="0">
      <w:start w:val="1"/>
      <w:numFmt w:val="lowerRoman"/>
      <w:lvlText w:val="(%1)"/>
      <w:lvlJc w:val="left"/>
      <w:pPr>
        <w:ind w:left="2640" w:hanging="72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Roman"/>
      <w:lvlText w:val="(%1)"/>
      <w:lvlJc w:val="left"/>
      <w:pPr>
        <w:ind w:left="2640" w:hanging="72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Roman"/>
      <w:lvlText w:val="(%1)"/>
      <w:lvlJc w:val="left"/>
      <w:pPr>
        <w:ind w:left="2640" w:hanging="72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Micro Hei Mono"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d57ae3"/>
    <w:pPr>
      <w:widowControl w:val="false"/>
      <w:suppressAutoHyphens w:val="true"/>
      <w:bidi w:val="0"/>
      <w:spacing w:lineRule="auto" w:line="240" w:before="0" w:after="0"/>
      <w:jc w:val="left"/>
    </w:pPr>
    <w:rPr>
      <w:rFonts w:ascii="Liberation Serif" w:hAnsi="Liberation Serif" w:eastAsia="WenQuanYi Micro Hei Mono" w:cs="FreeSans"/>
      <w:color w:val="00000A"/>
      <w:sz w:val="24"/>
      <w:szCs w:val="24"/>
      <w:lang w:bidi="hi-IN" w:val="en-US" w:eastAsia="zh-CN"/>
    </w:rPr>
  </w:style>
  <w:style w:type="paragraph" w:styleId="Heading1">
    <w:name w:val="Heading 1"/>
    <w:uiPriority w:val="9"/>
    <w:qFormat/>
    <w:link w:val="Heading1Char"/>
    <w:rsid w:val="006d4f4f"/>
    <w:basedOn w:val="Normal"/>
    <w:next w:val="Normal"/>
    <w:pPr>
      <w:keepNext/>
      <w:keepLines/>
      <w:spacing w:before="240" w:after="0"/>
      <w:outlineLvl w:val="0"/>
    </w:pPr>
    <w:rPr>
      <w:rFonts w:ascii="Calibri Light" w:hAnsi="Calibri Light" w:cs="Mangal"/>
      <w:color w:val="2E74B5"/>
      <w:sz w:val="32"/>
      <w:szCs w:val="29"/>
    </w:rPr>
  </w:style>
  <w:style w:type="character" w:styleId="DefaultParagraphFont" w:default="1">
    <w:name w:val="Default Paragraph Font"/>
    <w:uiPriority w:val="1"/>
    <w:semiHidden/>
    <w:unhideWhenUsed/>
    <w:rPr/>
  </w:style>
  <w:style w:type="character" w:styleId="VisitedInternetLink" w:customStyle="1">
    <w:name w:val="Visited Internet Link"/>
    <w:rsid w:val="001c7bed"/>
    <w:rPr>
      <w:color w:val="800000"/>
      <w:u w:val="single"/>
      <w:lang w:val="zxx" w:eastAsia="zxx" w:bidi="zxx"/>
    </w:rPr>
  </w:style>
  <w:style w:type="character" w:styleId="InternetLink" w:customStyle="1">
    <w:name w:val="Internet Link"/>
    <w:rsid w:val="00435a64"/>
    <w:basedOn w:val="DefaultParagraphFont"/>
    <w:rPr>
      <w:color w:val="000080"/>
      <w:u w:val="single"/>
      <w:lang w:val="zxx" w:eastAsia="zxx" w:bidi="zxx"/>
    </w:rPr>
  </w:style>
  <w:style w:type="character" w:styleId="Heading1Char" w:customStyle="1">
    <w:name w:val="Heading 1 Char"/>
    <w:uiPriority w:val="9"/>
    <w:link w:val="Heading1"/>
    <w:rsid w:val="006d4f4f"/>
    <w:basedOn w:val="DefaultParagraphFont"/>
    <w:rPr>
      <w:rFonts w:ascii="Calibri Light" w:hAnsi="Calibri Light" w:cs="Mangal"/>
      <w:color w:val="2E74B5"/>
      <w:sz w:val="32"/>
      <w:szCs w:val="29"/>
      <w:lang w:bidi="hi-IN"/>
    </w:rPr>
  </w:style>
  <w:style w:type="character" w:styleId="HeaderChar" w:customStyle="1">
    <w:name w:val="Header Char"/>
    <w:uiPriority w:val="99"/>
    <w:link w:val="Header"/>
    <w:rsid w:val="00fc3e25"/>
    <w:basedOn w:val="DefaultParagraphFont"/>
    <w:rPr>
      <w:rFonts w:ascii="Liberation Serif" w:hAnsi="Liberation Serif" w:eastAsia="WenQuanYi Micro Hei Mono" w:cs="Mangal"/>
      <w:color w:val="00000A"/>
      <w:sz w:val="24"/>
      <w:szCs w:val="21"/>
      <w:lang w:bidi="hi-IN"/>
    </w:rPr>
  </w:style>
  <w:style w:type="character" w:styleId="FooterChar" w:customStyle="1">
    <w:name w:val="Footer Char"/>
    <w:uiPriority w:val="99"/>
    <w:link w:val="Footer"/>
    <w:rsid w:val="00fc3e25"/>
    <w:basedOn w:val="DefaultParagraphFont"/>
    <w:rPr>
      <w:rFonts w:ascii="Liberation Serif" w:hAnsi="Liberation Serif" w:eastAsia="WenQuanYi Micro Hei Mono" w:cs="Mangal"/>
      <w:color w:val="00000A"/>
      <w:sz w:val="24"/>
      <w:szCs w:val="21"/>
      <w:lang w:bidi="hi-IN"/>
    </w:rPr>
  </w:style>
  <w:style w:type="character" w:styleId="FollowedHyperlink">
    <w:name w:val="FollowedHyperlink"/>
    <w:uiPriority w:val="99"/>
    <w:semiHidden/>
    <w:unhideWhenUsed/>
    <w:rsid w:val="00a34e55"/>
    <w:basedOn w:val="DefaultParagraphFont"/>
    <w:rPr>
      <w:color w:val="954F72"/>
      <w:u w:val="single"/>
    </w:rPr>
  </w:style>
  <w:style w:type="character" w:styleId="ListLabel1">
    <w:name w:val="ListLabel 1"/>
    <w:rPr>
      <w:rFonts w:eastAsia="WenQuanYi Micro Hei Mono"/>
    </w:rPr>
  </w:style>
  <w:style w:type="character" w:styleId="ListLabel2">
    <w:name w:val="ListLabel 2"/>
    <w:rPr>
      <w:rFonts w:eastAsia="宋体" w:cs="宋体"/>
    </w:rPr>
  </w:style>
  <w:style w:type="character" w:styleId="ListLabel3">
    <w:name w:val="ListLabel 3"/>
    <w:rPr>
      <w:color w:val="00000A"/>
      <w:u w:val="none"/>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Manga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Micro Hei Mono"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023cb"/>
    <w:basedOn w:val="Normal"/>
    <w:pPr>
      <w:spacing w:before="0" w:after="0"/>
      <w:ind w:left="720" w:right="0" w:hanging="0"/>
      <w:contextualSpacing/>
    </w:pPr>
    <w:rPr>
      <w:rFonts w:cs="Mangal"/>
      <w:szCs w:val="21"/>
    </w:rPr>
  </w:style>
  <w:style w:type="paragraph" w:styleId="TableContents" w:customStyle="1">
    <w:name w:val="Table Contents"/>
    <w:rsid w:val="002e23ed"/>
    <w:basedOn w:val="Normal"/>
    <w:pPr/>
    <w:rPr/>
  </w:style>
  <w:style w:type="paragraph" w:styleId="ContentsHeading">
    <w:name w:val="Contents Heading"/>
    <w:uiPriority w:val="39"/>
    <w:qFormat/>
    <w:unhideWhenUsed/>
    <w:rsid w:val="006d4f4f"/>
    <w:basedOn w:val="Heading1"/>
    <w:next w:val="Normal"/>
    <w:pPr>
      <w:widowControl/>
      <w:suppressAutoHyphens w:val="false"/>
      <w:spacing w:lineRule="auto" w:line="259"/>
    </w:pPr>
    <w:rPr>
      <w:rFonts w:cs=""/>
      <w:szCs w:val="32"/>
      <w:lang w:eastAsia="en-US" w:bidi="ar-SA"/>
    </w:rPr>
  </w:style>
  <w:style w:type="paragraph" w:styleId="Contents1">
    <w:name w:val="Contents 1"/>
    <w:uiPriority w:val="39"/>
    <w:unhideWhenUsed/>
    <w:rsid w:val="000f7610"/>
    <w:basedOn w:val="Normal"/>
    <w:next w:val="Normal"/>
    <w:autoRedefine/>
    <w:pPr>
      <w:spacing w:before="0" w:after="100"/>
    </w:pPr>
    <w:rPr>
      <w:rFonts w:cs="Mangal"/>
      <w:szCs w:val="21"/>
    </w:rPr>
  </w:style>
  <w:style w:type="paragraph" w:styleId="Contents2">
    <w:name w:val="Contents 2"/>
    <w:uiPriority w:val="39"/>
    <w:unhideWhenUsed/>
    <w:rsid w:val="000f7610"/>
    <w:basedOn w:val="Normal"/>
    <w:next w:val="Normal"/>
    <w:autoRedefine/>
    <w:pPr>
      <w:spacing w:before="0" w:after="100"/>
      <w:ind w:left="240" w:right="0" w:hanging="0"/>
    </w:pPr>
    <w:rPr>
      <w:rFonts w:cs="Mangal"/>
      <w:szCs w:val="21"/>
    </w:rPr>
  </w:style>
  <w:style w:type="paragraph" w:styleId="Header">
    <w:name w:val="Header"/>
    <w:uiPriority w:val="99"/>
    <w:unhideWhenUsed/>
    <w:link w:val="HeaderChar"/>
    <w:rsid w:val="00fc3e25"/>
    <w:basedOn w:val="Normal"/>
    <w:pPr>
      <w:tabs>
        <w:tab w:val="center" w:pos="4320" w:leader="none"/>
        <w:tab w:val="right" w:pos="8640" w:leader="none"/>
      </w:tabs>
    </w:pPr>
    <w:rPr>
      <w:rFonts w:cs="Mangal"/>
      <w:szCs w:val="21"/>
    </w:rPr>
  </w:style>
  <w:style w:type="paragraph" w:styleId="Footer">
    <w:name w:val="Footer"/>
    <w:uiPriority w:val="99"/>
    <w:unhideWhenUsed/>
    <w:link w:val="FooterChar"/>
    <w:rsid w:val="00fc3e25"/>
    <w:basedOn w:val="Normal"/>
    <w:pPr>
      <w:tabs>
        <w:tab w:val="center" w:pos="4320" w:leader="none"/>
        <w:tab w:val="right" w:pos="864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image" Target="media/image11.jpeg"/><Relationship Id="rId8" Type="http://schemas.openxmlformats.org/officeDocument/2006/relationships/image" Target="media/image12.png"/><Relationship Id="rId9" Type="http://schemas.openxmlformats.org/officeDocument/2006/relationships/hyperlink" Target="http://www.shenrong.org/" TargetMode="External"/><Relationship Id="rId10" Type="http://schemas.openxmlformats.org/officeDocument/2006/relationships/hyperlink" Target="http://www.shenrong.org/" TargetMode="External"/><Relationship Id="rId11" Type="http://schemas.openxmlformats.org/officeDocument/2006/relationships/image" Target="media/image13.jpeg"/><Relationship Id="rId12" Type="http://schemas.openxmlformats.org/officeDocument/2006/relationships/image" Target="media/image14.jpeg"/><Relationship Id="rId13" Type="http://schemas.openxmlformats.org/officeDocument/2006/relationships/image" Target="media/image15.jpeg"/><Relationship Id="rId14" Type="http://schemas.openxmlformats.org/officeDocument/2006/relationships/hyperlink" Target="http://www.hunt007.com/employer/viewInfo/5166781.htm" TargetMode="External"/><Relationship Id="rId15" Type="http://schemas.openxmlformats.org/officeDocument/2006/relationships/hyperlink" Target="http://www.zzbce.com/showNewsList!show.action?code=422" TargetMode="External"/><Relationship Id="rId16" Type="http://schemas.openxmlformats.org/officeDocument/2006/relationships/hyperlink" Target="http://www.zzbce.com/showNews!show.action?id=8a8ae48b4cc66b03014eee705beb0b23" TargetMode="External"/><Relationship Id="rId17" Type="http://schemas.openxmlformats.org/officeDocument/2006/relationships/hyperlink" Target="http://www.pagex.hk/CN/newsT.asp?ID=14"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F6F5-723B-4C44-8A9F-EF2B4EDB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2015-08-16T14:52:00Z</dcterms:created>
  <dc:creator>Guang Zuo</dc:creator>
  <dc:language>en-US</dc:language>
  <cp:lastModifiedBy>Guang Zuo</cp:lastModifiedBy>
  <cp:lastPrinted>2015-08-16T19:18:00Z</cp:lastPrinted>
  <dcterms:modified xsi:type="dcterms:W3CDTF">2015-08-17T10:53:00Z</dcterms:modified>
  <cp:revision>175</cp:revision>
</cp:coreProperties>
</file>