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5ED" w:rsidRPr="00D22B35" w:rsidRDefault="00F315ED" w:rsidP="00F315ED">
      <w:pPr>
        <w:adjustRightInd w:val="0"/>
        <w:snapToGrid w:val="0"/>
        <w:spacing w:beforeLines="100" w:line="360" w:lineRule="auto"/>
        <w:jc w:val="center"/>
        <w:outlineLvl w:val="1"/>
        <w:rPr>
          <w:rFonts w:ascii="仿宋" w:eastAsia="仿宋" w:hAnsi="仿宋"/>
          <w:b/>
          <w:sz w:val="30"/>
          <w:szCs w:val="30"/>
        </w:rPr>
      </w:pPr>
      <w:bookmarkStart w:id="0" w:name="_Toc407634417"/>
      <w:r w:rsidRPr="00D22B35">
        <w:rPr>
          <w:rFonts w:ascii="仿宋" w:eastAsia="仿宋" w:hAnsi="仿宋" w:hint="eastAsia"/>
          <w:b/>
          <w:sz w:val="30"/>
          <w:szCs w:val="30"/>
        </w:rPr>
        <w:t>主动管理类集合信托计划期间管理报告（暂行）</w:t>
      </w:r>
      <w:bookmarkEnd w:id="0"/>
    </w:p>
    <w:p w:rsidR="00F315ED" w:rsidRPr="00490C75" w:rsidRDefault="00F315ED" w:rsidP="00F315ED">
      <w:pPr>
        <w:spacing w:afterLines="50" w:line="360" w:lineRule="auto"/>
        <w:jc w:val="center"/>
        <w:rPr>
          <w:rFonts w:ascii="仿宋" w:eastAsia="仿宋" w:hAnsi="仿宋"/>
          <w:sz w:val="30"/>
          <w:szCs w:val="30"/>
        </w:rPr>
      </w:pPr>
      <w:r w:rsidRPr="00490C75">
        <w:rPr>
          <w:rFonts w:ascii="仿宋" w:eastAsia="仿宋" w:hAnsi="仿宋" w:hint="eastAsia"/>
          <w:sz w:val="30"/>
          <w:szCs w:val="30"/>
        </w:rPr>
        <w:t>（</w:t>
      </w:r>
      <w:r w:rsidRPr="00490C75">
        <w:rPr>
          <w:rFonts w:ascii="仿宋" w:eastAsia="仿宋" w:hAnsi="仿宋"/>
          <w:sz w:val="30"/>
          <w:szCs w:val="30"/>
        </w:rPr>
        <w:t>2014</w:t>
      </w:r>
      <w:r w:rsidRPr="00490C75">
        <w:rPr>
          <w:rFonts w:ascii="仿宋" w:eastAsia="仿宋" w:hAnsi="仿宋" w:hint="eastAsia"/>
          <w:sz w:val="30"/>
          <w:szCs w:val="30"/>
        </w:rPr>
        <w:t>年</w:t>
      </w:r>
      <w:r w:rsidRPr="00490C75">
        <w:rPr>
          <w:rFonts w:ascii="仿宋" w:eastAsia="仿宋" w:hAnsi="仿宋"/>
          <w:sz w:val="30"/>
          <w:szCs w:val="30"/>
        </w:rPr>
        <w:t>8</w:t>
      </w:r>
      <w:r w:rsidRPr="00490C75">
        <w:rPr>
          <w:rFonts w:ascii="仿宋" w:eastAsia="仿宋" w:hAnsi="仿宋" w:hint="eastAsia"/>
          <w:sz w:val="30"/>
          <w:szCs w:val="30"/>
        </w:rPr>
        <w:t>月</w:t>
      </w:r>
      <w:r w:rsidRPr="00490C75">
        <w:rPr>
          <w:rFonts w:ascii="仿宋" w:eastAsia="仿宋" w:hAnsi="仿宋"/>
          <w:sz w:val="30"/>
          <w:szCs w:val="30"/>
        </w:rPr>
        <w:t>19</w:t>
      </w:r>
      <w:r w:rsidRPr="00490C75">
        <w:rPr>
          <w:rFonts w:ascii="仿宋" w:eastAsia="仿宋" w:hAnsi="仿宋" w:hint="eastAsia"/>
          <w:sz w:val="30"/>
          <w:szCs w:val="30"/>
        </w:rPr>
        <w:t>日</w:t>
      </w:r>
      <w:r w:rsidRPr="00490C75">
        <w:rPr>
          <w:rFonts w:ascii="仿宋" w:eastAsia="仿宋" w:hAnsi="仿宋"/>
          <w:sz w:val="30"/>
          <w:szCs w:val="30"/>
        </w:rPr>
        <w:t>OA</w:t>
      </w:r>
      <w:r w:rsidRPr="00490C75">
        <w:rPr>
          <w:rFonts w:ascii="仿宋" w:eastAsia="仿宋" w:hAnsi="仿宋" w:hint="eastAsia"/>
          <w:sz w:val="30"/>
          <w:szCs w:val="30"/>
        </w:rPr>
        <w:t>发布）</w:t>
      </w:r>
    </w:p>
    <w:tbl>
      <w:tblPr>
        <w:tblW w:w="8471" w:type="dxa"/>
        <w:tblInd w:w="1" w:type="dxa"/>
        <w:tblLayout w:type="fixed"/>
        <w:tblLook w:val="00A0"/>
      </w:tblPr>
      <w:tblGrid>
        <w:gridCol w:w="2375"/>
        <w:gridCol w:w="6096"/>
      </w:tblGrid>
      <w:tr w:rsidR="00F315ED" w:rsidRPr="00F06200" w:rsidTr="00913D87">
        <w:tc>
          <w:tcPr>
            <w:tcW w:w="237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项目名称：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315ED" w:rsidRPr="00F06200" w:rsidTr="00913D87">
        <w:tc>
          <w:tcPr>
            <w:tcW w:w="237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业务部门：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315ED" w:rsidRPr="00F06200" w:rsidTr="00913D87">
        <w:tc>
          <w:tcPr>
            <w:tcW w:w="237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信托经理：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315ED" w:rsidRPr="00F06200" w:rsidTr="00913D87">
        <w:tc>
          <w:tcPr>
            <w:tcW w:w="237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起止日期：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315ED" w:rsidRPr="00F06200" w:rsidTr="00913D87">
        <w:tc>
          <w:tcPr>
            <w:tcW w:w="237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交易对手：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315ED" w:rsidRPr="00F06200" w:rsidTr="00913D87">
        <w:tc>
          <w:tcPr>
            <w:tcW w:w="237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信托规模：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315ED" w:rsidRPr="00F06200" w:rsidTr="00913D87">
        <w:tc>
          <w:tcPr>
            <w:tcW w:w="237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资金用途：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315ED" w:rsidRPr="00F06200" w:rsidTr="00913D87">
        <w:tc>
          <w:tcPr>
            <w:tcW w:w="237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增信措施：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315ED" w:rsidRPr="00F06200" w:rsidTr="00913D87">
        <w:tc>
          <w:tcPr>
            <w:tcW w:w="237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其中</w:t>
            </w:r>
            <w:r w:rsidRPr="00F06200">
              <w:rPr>
                <w:rFonts w:ascii="仿宋" w:eastAsia="仿宋" w:hAnsi="仿宋"/>
                <w:sz w:val="24"/>
                <w:szCs w:val="24"/>
              </w:rPr>
              <w:t>-</w:t>
            </w:r>
            <w:r w:rsidRPr="00F06200">
              <w:rPr>
                <w:rFonts w:ascii="仿宋" w:eastAsia="仿宋" w:hAnsi="仿宋" w:hint="eastAsia"/>
                <w:sz w:val="24"/>
                <w:szCs w:val="24"/>
              </w:rPr>
              <w:t>担保人：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315ED" w:rsidRPr="00F06200" w:rsidTr="00913D87">
        <w:tc>
          <w:tcPr>
            <w:tcW w:w="237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/>
                <w:sz w:val="24"/>
                <w:szCs w:val="24"/>
              </w:rPr>
              <w:t xml:space="preserve">     </w:t>
            </w:r>
            <w:r w:rsidRPr="00F06200">
              <w:rPr>
                <w:rFonts w:ascii="仿宋" w:eastAsia="仿宋" w:hAnsi="仿宋" w:hint="eastAsia"/>
                <w:sz w:val="24"/>
                <w:szCs w:val="24"/>
              </w:rPr>
              <w:t>抵押物：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315ED" w:rsidRPr="00F06200" w:rsidTr="00913D87">
        <w:tc>
          <w:tcPr>
            <w:tcW w:w="237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/>
                <w:sz w:val="24"/>
                <w:szCs w:val="24"/>
              </w:rPr>
              <w:t xml:space="preserve">     </w:t>
            </w:r>
            <w:r w:rsidRPr="00F06200">
              <w:rPr>
                <w:rFonts w:ascii="仿宋" w:eastAsia="仿宋" w:hAnsi="仿宋" w:hint="eastAsia"/>
                <w:sz w:val="24"/>
                <w:szCs w:val="24"/>
              </w:rPr>
              <w:t>质押物：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315ED" w:rsidRPr="00F06200" w:rsidTr="00913D87">
        <w:tc>
          <w:tcPr>
            <w:tcW w:w="237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/>
                <w:sz w:val="24"/>
                <w:szCs w:val="24"/>
              </w:rPr>
              <w:t xml:space="preserve">     </w:t>
            </w:r>
            <w:r w:rsidRPr="00F06200">
              <w:rPr>
                <w:rFonts w:ascii="仿宋" w:eastAsia="仿宋" w:hAnsi="仿宋" w:hint="eastAsia"/>
                <w:sz w:val="24"/>
                <w:szCs w:val="24"/>
              </w:rPr>
              <w:t>其他：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F315ED" w:rsidRPr="00F06200" w:rsidRDefault="00F315ED" w:rsidP="00F315ED">
      <w:pPr>
        <w:snapToGrid w:val="0"/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F315ED" w:rsidRPr="00D22B35" w:rsidRDefault="00F315ED" w:rsidP="00F315ED">
      <w:pPr>
        <w:snapToGrid w:val="0"/>
        <w:spacing w:line="360" w:lineRule="auto"/>
        <w:jc w:val="center"/>
        <w:rPr>
          <w:rFonts w:ascii="仿宋" w:eastAsia="仿宋" w:hAnsi="仿宋"/>
          <w:b/>
          <w:sz w:val="30"/>
          <w:szCs w:val="30"/>
        </w:rPr>
      </w:pPr>
      <w:r w:rsidRPr="00D22B35">
        <w:rPr>
          <w:rFonts w:ascii="仿宋" w:eastAsia="仿宋" w:hAnsi="仿宋" w:hint="eastAsia"/>
          <w:b/>
          <w:sz w:val="30"/>
          <w:szCs w:val="30"/>
        </w:rPr>
        <w:t>资金使用阶段</w:t>
      </w:r>
    </w:p>
    <w:p w:rsidR="00F315ED" w:rsidRPr="00F06200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F06200">
        <w:rPr>
          <w:rFonts w:ascii="仿宋" w:eastAsia="仿宋" w:hAnsi="仿宋"/>
          <w:b/>
          <w:sz w:val="24"/>
          <w:szCs w:val="24"/>
        </w:rPr>
        <w:t>1</w:t>
      </w:r>
      <w:r w:rsidRPr="00F06200">
        <w:rPr>
          <w:rFonts w:ascii="仿宋" w:eastAsia="仿宋" w:hAnsi="仿宋" w:hint="eastAsia"/>
          <w:b/>
          <w:sz w:val="24"/>
          <w:szCs w:val="24"/>
        </w:rPr>
        <w:t>．交易对手放款情况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8"/>
        <w:gridCol w:w="1947"/>
        <w:gridCol w:w="2237"/>
        <w:gridCol w:w="1253"/>
        <w:gridCol w:w="1272"/>
      </w:tblGrid>
      <w:tr w:rsidR="00F315ED" w:rsidRPr="00F06200" w:rsidTr="00913D87">
        <w:trPr>
          <w:trHeight w:val="375"/>
        </w:trPr>
        <w:tc>
          <w:tcPr>
            <w:tcW w:w="1251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次数</w:t>
            </w:r>
          </w:p>
        </w:tc>
        <w:tc>
          <w:tcPr>
            <w:tcW w:w="1088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支付时间</w:t>
            </w:r>
          </w:p>
        </w:tc>
        <w:tc>
          <w:tcPr>
            <w:tcW w:w="1250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支付金额</w:t>
            </w:r>
          </w:p>
        </w:tc>
        <w:tc>
          <w:tcPr>
            <w:tcW w:w="1411" w:type="pct"/>
            <w:gridSpan w:val="2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责任人签字</w:t>
            </w:r>
          </w:p>
        </w:tc>
      </w:tr>
      <w:tr w:rsidR="00F315ED" w:rsidRPr="00F06200" w:rsidTr="00913D87">
        <w:trPr>
          <w:trHeight w:val="397"/>
        </w:trPr>
        <w:tc>
          <w:tcPr>
            <w:tcW w:w="1251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08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250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信托经理</w:t>
            </w:r>
          </w:p>
        </w:tc>
        <w:tc>
          <w:tcPr>
            <w:tcW w:w="712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财务人员</w:t>
            </w:r>
          </w:p>
        </w:tc>
      </w:tr>
      <w:tr w:rsidR="00F315ED" w:rsidRPr="00F06200" w:rsidTr="00913D87">
        <w:trPr>
          <w:trHeight w:val="470"/>
        </w:trPr>
        <w:tc>
          <w:tcPr>
            <w:tcW w:w="125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第一次</w:t>
            </w:r>
          </w:p>
        </w:tc>
        <w:tc>
          <w:tcPr>
            <w:tcW w:w="1088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5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12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448"/>
        </w:trPr>
        <w:tc>
          <w:tcPr>
            <w:tcW w:w="125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第二次</w:t>
            </w:r>
          </w:p>
        </w:tc>
        <w:tc>
          <w:tcPr>
            <w:tcW w:w="1088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5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12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313"/>
        </w:trPr>
        <w:tc>
          <w:tcPr>
            <w:tcW w:w="125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第三次</w:t>
            </w:r>
          </w:p>
        </w:tc>
        <w:tc>
          <w:tcPr>
            <w:tcW w:w="1088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5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12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361"/>
        </w:trPr>
        <w:tc>
          <w:tcPr>
            <w:tcW w:w="125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…</w:t>
            </w:r>
          </w:p>
        </w:tc>
        <w:tc>
          <w:tcPr>
            <w:tcW w:w="1088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5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12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</w:tbl>
    <w:p w:rsidR="00F315ED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</w:p>
    <w:p w:rsidR="00F315ED" w:rsidRPr="00F06200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F06200">
        <w:rPr>
          <w:rFonts w:ascii="仿宋" w:eastAsia="仿宋" w:hAnsi="仿宋"/>
          <w:b/>
          <w:sz w:val="24"/>
          <w:szCs w:val="24"/>
        </w:rPr>
        <w:t>2</w:t>
      </w:r>
      <w:r w:rsidRPr="00F06200">
        <w:rPr>
          <w:rFonts w:ascii="仿宋" w:eastAsia="仿宋" w:hAnsi="仿宋" w:hint="eastAsia"/>
          <w:b/>
          <w:sz w:val="24"/>
          <w:szCs w:val="24"/>
        </w:rPr>
        <w:t>．监管账户划款情况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2174"/>
        <w:gridCol w:w="1111"/>
        <w:gridCol w:w="1111"/>
        <w:gridCol w:w="1113"/>
        <w:gridCol w:w="1188"/>
        <w:gridCol w:w="1242"/>
      </w:tblGrid>
      <w:tr w:rsidR="00F315ED" w:rsidRPr="00F06200" w:rsidTr="00913D87">
        <w:trPr>
          <w:trHeight w:val="349"/>
        </w:trPr>
        <w:tc>
          <w:tcPr>
            <w:tcW w:w="563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次数</w:t>
            </w:r>
          </w:p>
        </w:tc>
        <w:tc>
          <w:tcPr>
            <w:tcW w:w="1215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支付对象</w:t>
            </w:r>
          </w:p>
        </w:tc>
        <w:tc>
          <w:tcPr>
            <w:tcW w:w="621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支付时间</w:t>
            </w:r>
          </w:p>
        </w:tc>
        <w:tc>
          <w:tcPr>
            <w:tcW w:w="621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支付金额</w:t>
            </w:r>
          </w:p>
        </w:tc>
        <w:tc>
          <w:tcPr>
            <w:tcW w:w="622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用途</w:t>
            </w:r>
          </w:p>
        </w:tc>
        <w:tc>
          <w:tcPr>
            <w:tcW w:w="1359" w:type="pct"/>
            <w:gridSpan w:val="2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责任人签字</w:t>
            </w:r>
          </w:p>
        </w:tc>
      </w:tr>
      <w:tr w:rsidR="00F315ED" w:rsidRPr="00F06200" w:rsidTr="00913D87">
        <w:trPr>
          <w:trHeight w:val="397"/>
        </w:trPr>
        <w:tc>
          <w:tcPr>
            <w:tcW w:w="563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215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621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621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622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664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信托经理</w:t>
            </w:r>
          </w:p>
        </w:tc>
        <w:tc>
          <w:tcPr>
            <w:tcW w:w="69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szCs w:val="21"/>
              </w:rPr>
              <w:t>风险经理</w:t>
            </w:r>
          </w:p>
        </w:tc>
      </w:tr>
      <w:tr w:rsidR="00F315ED" w:rsidRPr="00F06200" w:rsidTr="00913D87">
        <w:trPr>
          <w:trHeight w:val="483"/>
        </w:trPr>
        <w:tc>
          <w:tcPr>
            <w:tcW w:w="563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第一次</w:t>
            </w:r>
          </w:p>
        </w:tc>
        <w:tc>
          <w:tcPr>
            <w:tcW w:w="121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2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2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22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64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9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475"/>
        </w:trPr>
        <w:tc>
          <w:tcPr>
            <w:tcW w:w="563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lastRenderedPageBreak/>
              <w:t>第二次</w:t>
            </w:r>
          </w:p>
        </w:tc>
        <w:tc>
          <w:tcPr>
            <w:tcW w:w="121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2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2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22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64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9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452"/>
        </w:trPr>
        <w:tc>
          <w:tcPr>
            <w:tcW w:w="563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第三次</w:t>
            </w:r>
          </w:p>
        </w:tc>
        <w:tc>
          <w:tcPr>
            <w:tcW w:w="121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2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2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22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64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9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289"/>
        </w:trPr>
        <w:tc>
          <w:tcPr>
            <w:tcW w:w="563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…</w:t>
            </w:r>
          </w:p>
        </w:tc>
        <w:tc>
          <w:tcPr>
            <w:tcW w:w="121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2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2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22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64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9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</w:tbl>
    <w:p w:rsidR="00F315ED" w:rsidRPr="00F06200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F06200">
        <w:rPr>
          <w:rFonts w:ascii="仿宋" w:eastAsia="仿宋" w:hAnsi="仿宋" w:hint="eastAsia"/>
          <w:sz w:val="24"/>
          <w:szCs w:val="24"/>
        </w:rPr>
        <w:t>注：请将用款依据（包括用款申请、合同、发票等）附于本页后。</w:t>
      </w:r>
    </w:p>
    <w:p w:rsidR="00F315ED" w:rsidRPr="00D22B35" w:rsidRDefault="00F315ED" w:rsidP="00F315ED">
      <w:pPr>
        <w:snapToGrid w:val="0"/>
        <w:spacing w:line="360" w:lineRule="auto"/>
        <w:jc w:val="center"/>
        <w:rPr>
          <w:rFonts w:ascii="仿宋" w:eastAsia="仿宋" w:hAnsi="仿宋"/>
          <w:b/>
          <w:sz w:val="30"/>
          <w:szCs w:val="30"/>
        </w:rPr>
      </w:pPr>
      <w:r w:rsidRPr="00D22B35">
        <w:rPr>
          <w:rFonts w:ascii="仿宋" w:eastAsia="仿宋" w:hAnsi="仿宋" w:hint="eastAsia"/>
          <w:b/>
          <w:sz w:val="30"/>
          <w:szCs w:val="30"/>
        </w:rPr>
        <w:t>项目存续阶段</w:t>
      </w:r>
    </w:p>
    <w:p w:rsidR="00F315ED" w:rsidRPr="00F06200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i/>
          <w:sz w:val="24"/>
          <w:szCs w:val="24"/>
        </w:rPr>
      </w:pPr>
      <w:r w:rsidRPr="00F06200">
        <w:rPr>
          <w:rFonts w:ascii="仿宋" w:eastAsia="仿宋" w:hAnsi="仿宋" w:hint="eastAsia"/>
          <w:i/>
          <w:sz w:val="24"/>
          <w:szCs w:val="24"/>
        </w:rPr>
        <w:t>（请根据项目存续期计算管理次数并添行或删行，存续期管理期间逐期在此登记）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6"/>
        <w:gridCol w:w="3261"/>
        <w:gridCol w:w="1205"/>
        <w:gridCol w:w="1205"/>
        <w:gridCol w:w="1205"/>
        <w:gridCol w:w="1205"/>
      </w:tblGrid>
      <w:tr w:rsidR="00F315ED" w:rsidRPr="00F06200" w:rsidTr="00913D87">
        <w:tc>
          <w:tcPr>
            <w:tcW w:w="816" w:type="dxa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kern w:val="0"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3261" w:type="dxa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kern w:val="0"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kern w:val="0"/>
                <w:szCs w:val="21"/>
              </w:rPr>
              <w:t>管理期间</w:t>
            </w:r>
          </w:p>
        </w:tc>
        <w:tc>
          <w:tcPr>
            <w:tcW w:w="4820" w:type="dxa"/>
            <w:gridSpan w:val="4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kern w:val="0"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kern w:val="0"/>
                <w:szCs w:val="21"/>
              </w:rPr>
              <w:t>责任人签字</w:t>
            </w:r>
          </w:p>
        </w:tc>
      </w:tr>
      <w:tr w:rsidR="00F315ED" w:rsidRPr="00F06200" w:rsidTr="00913D87">
        <w:trPr>
          <w:trHeight w:val="433"/>
        </w:trPr>
        <w:tc>
          <w:tcPr>
            <w:tcW w:w="816" w:type="dxa"/>
            <w:vMerge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  <w:tc>
          <w:tcPr>
            <w:tcW w:w="3261" w:type="dxa"/>
            <w:vMerge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  <w:tc>
          <w:tcPr>
            <w:tcW w:w="2410" w:type="dxa"/>
            <w:gridSpan w:val="2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kern w:val="0"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kern w:val="0"/>
                <w:szCs w:val="21"/>
              </w:rPr>
              <w:t>业务部门</w:t>
            </w:r>
          </w:p>
        </w:tc>
        <w:tc>
          <w:tcPr>
            <w:tcW w:w="2410" w:type="dxa"/>
            <w:gridSpan w:val="2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kern w:val="0"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kern w:val="0"/>
                <w:szCs w:val="21"/>
              </w:rPr>
              <w:t>风险管理部</w:t>
            </w:r>
          </w:p>
        </w:tc>
      </w:tr>
      <w:tr w:rsidR="00F315ED" w:rsidRPr="00F06200" w:rsidTr="00913D87">
        <w:trPr>
          <w:trHeight w:val="203"/>
        </w:trPr>
        <w:tc>
          <w:tcPr>
            <w:tcW w:w="816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3261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  <w:r w:rsidRPr="00F06200">
              <w:rPr>
                <w:rFonts w:ascii="仿宋" w:eastAsia="仿宋" w:hAnsi="仿宋" w:hint="eastAsia"/>
                <w:kern w:val="0"/>
                <w:szCs w:val="21"/>
              </w:rPr>
              <w:t>信托经理</w:t>
            </w: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  <w:r w:rsidRPr="00F06200">
              <w:rPr>
                <w:rFonts w:ascii="仿宋" w:eastAsia="仿宋" w:hAnsi="仿宋" w:hint="eastAsia"/>
                <w:kern w:val="0"/>
                <w:szCs w:val="21"/>
              </w:rPr>
              <w:t>部门经理</w:t>
            </w: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  <w:r w:rsidRPr="00F06200">
              <w:rPr>
                <w:rFonts w:ascii="仿宋" w:eastAsia="仿宋" w:hAnsi="仿宋" w:hint="eastAsia"/>
                <w:kern w:val="0"/>
                <w:szCs w:val="21"/>
              </w:rPr>
              <w:t>风险经理</w:t>
            </w: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  <w:r w:rsidRPr="00F06200">
              <w:rPr>
                <w:rFonts w:ascii="仿宋" w:eastAsia="仿宋" w:hAnsi="仿宋" w:hint="eastAsia"/>
                <w:kern w:val="0"/>
                <w:szCs w:val="21"/>
              </w:rPr>
              <w:t>部门经理</w:t>
            </w:r>
          </w:p>
        </w:tc>
      </w:tr>
      <w:tr w:rsidR="00F315ED" w:rsidRPr="00F06200" w:rsidTr="00913D87">
        <w:trPr>
          <w:trHeight w:val="351"/>
        </w:trPr>
        <w:tc>
          <w:tcPr>
            <w:tcW w:w="816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  <w:r w:rsidRPr="00F06200">
              <w:rPr>
                <w:rFonts w:ascii="仿宋" w:eastAsia="仿宋" w:hAnsi="仿宋"/>
                <w:kern w:val="0"/>
                <w:szCs w:val="21"/>
              </w:rPr>
              <w:t>1</w:t>
            </w:r>
          </w:p>
        </w:tc>
        <w:tc>
          <w:tcPr>
            <w:tcW w:w="3261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F315ED" w:rsidRPr="00F06200" w:rsidTr="00913D87">
        <w:trPr>
          <w:trHeight w:val="357"/>
        </w:trPr>
        <w:tc>
          <w:tcPr>
            <w:tcW w:w="816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  <w:r w:rsidRPr="00F06200">
              <w:rPr>
                <w:rFonts w:ascii="仿宋" w:eastAsia="仿宋" w:hAnsi="仿宋"/>
                <w:kern w:val="0"/>
                <w:szCs w:val="21"/>
              </w:rPr>
              <w:t>2</w:t>
            </w:r>
          </w:p>
        </w:tc>
        <w:tc>
          <w:tcPr>
            <w:tcW w:w="3261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F315ED" w:rsidRPr="00F06200" w:rsidTr="00913D87">
        <w:trPr>
          <w:trHeight w:val="363"/>
        </w:trPr>
        <w:tc>
          <w:tcPr>
            <w:tcW w:w="816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  <w:r w:rsidRPr="00F06200">
              <w:rPr>
                <w:rFonts w:ascii="仿宋" w:eastAsia="仿宋" w:hAnsi="仿宋"/>
                <w:kern w:val="0"/>
                <w:szCs w:val="21"/>
              </w:rPr>
              <w:t>3</w:t>
            </w:r>
          </w:p>
        </w:tc>
        <w:tc>
          <w:tcPr>
            <w:tcW w:w="3261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F315ED" w:rsidRPr="00F06200" w:rsidTr="00913D87">
        <w:trPr>
          <w:trHeight w:val="369"/>
        </w:trPr>
        <w:tc>
          <w:tcPr>
            <w:tcW w:w="816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  <w:r w:rsidRPr="00F06200">
              <w:rPr>
                <w:rFonts w:ascii="仿宋" w:eastAsia="仿宋" w:hAnsi="仿宋"/>
                <w:kern w:val="0"/>
                <w:szCs w:val="21"/>
              </w:rPr>
              <w:t>4</w:t>
            </w:r>
          </w:p>
        </w:tc>
        <w:tc>
          <w:tcPr>
            <w:tcW w:w="3261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F315ED" w:rsidRPr="00F06200" w:rsidTr="00913D87">
        <w:trPr>
          <w:trHeight w:val="375"/>
        </w:trPr>
        <w:tc>
          <w:tcPr>
            <w:tcW w:w="816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  <w:r w:rsidRPr="00F06200">
              <w:rPr>
                <w:rFonts w:ascii="仿宋" w:eastAsia="仿宋" w:hAnsi="仿宋"/>
                <w:kern w:val="0"/>
                <w:szCs w:val="21"/>
              </w:rPr>
              <w:t>5</w:t>
            </w:r>
          </w:p>
        </w:tc>
        <w:tc>
          <w:tcPr>
            <w:tcW w:w="3261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F315ED" w:rsidRPr="00F06200" w:rsidTr="00913D87">
        <w:trPr>
          <w:trHeight w:val="395"/>
        </w:trPr>
        <w:tc>
          <w:tcPr>
            <w:tcW w:w="816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  <w:r w:rsidRPr="00F06200">
              <w:rPr>
                <w:rFonts w:ascii="仿宋" w:eastAsia="仿宋" w:hAnsi="仿宋"/>
                <w:kern w:val="0"/>
                <w:szCs w:val="21"/>
              </w:rPr>
              <w:t>6</w:t>
            </w:r>
          </w:p>
        </w:tc>
        <w:tc>
          <w:tcPr>
            <w:tcW w:w="3261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F315ED" w:rsidRPr="00F06200" w:rsidTr="00913D87">
        <w:trPr>
          <w:trHeight w:val="401"/>
        </w:trPr>
        <w:tc>
          <w:tcPr>
            <w:tcW w:w="816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  <w:r w:rsidRPr="00F06200">
              <w:rPr>
                <w:rFonts w:ascii="仿宋" w:eastAsia="仿宋" w:hAnsi="仿宋"/>
                <w:kern w:val="0"/>
                <w:szCs w:val="21"/>
              </w:rPr>
              <w:t>7</w:t>
            </w:r>
          </w:p>
        </w:tc>
        <w:tc>
          <w:tcPr>
            <w:tcW w:w="3261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F315ED" w:rsidRPr="00F06200" w:rsidTr="00913D87">
        <w:trPr>
          <w:trHeight w:val="53"/>
        </w:trPr>
        <w:tc>
          <w:tcPr>
            <w:tcW w:w="816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  <w:r w:rsidRPr="00F06200">
              <w:rPr>
                <w:rFonts w:ascii="仿宋" w:eastAsia="仿宋" w:hAnsi="仿宋" w:hint="eastAsia"/>
                <w:kern w:val="0"/>
                <w:szCs w:val="21"/>
              </w:rPr>
              <w:t>…</w:t>
            </w:r>
          </w:p>
        </w:tc>
        <w:tc>
          <w:tcPr>
            <w:tcW w:w="3261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205" w:type="dxa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</w:tbl>
    <w:p w:rsidR="00F315ED" w:rsidRPr="00F06200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F06200">
        <w:rPr>
          <w:rFonts w:ascii="仿宋" w:eastAsia="仿宋" w:hAnsi="仿宋" w:hint="eastAsia"/>
          <w:sz w:val="24"/>
          <w:szCs w:val="24"/>
        </w:rPr>
        <w:t>（期间管理报告填写说明请详见附件一）</w:t>
      </w:r>
    </w:p>
    <w:p w:rsidR="00F315ED" w:rsidRPr="00F06200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7"/>
        <w:gridCol w:w="759"/>
        <w:gridCol w:w="746"/>
        <w:gridCol w:w="3124"/>
        <w:gridCol w:w="601"/>
        <w:gridCol w:w="1784"/>
        <w:gridCol w:w="1686"/>
      </w:tblGrid>
      <w:tr w:rsidR="00F315ED" w:rsidRPr="00F06200" w:rsidTr="00913D87">
        <w:trPr>
          <w:trHeight w:val="630"/>
          <w:tblHeader/>
        </w:trPr>
        <w:tc>
          <w:tcPr>
            <w:tcW w:w="2725" w:type="pct"/>
            <w:gridSpan w:val="4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检查事项</w:t>
            </w:r>
          </w:p>
        </w:tc>
        <w:tc>
          <w:tcPr>
            <w:tcW w:w="336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频率</w:t>
            </w:r>
          </w:p>
        </w:tc>
        <w:tc>
          <w:tcPr>
            <w:tcW w:w="997" w:type="pct"/>
            <w:vMerge w:val="restar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信托经理（测算、描述）</w:t>
            </w:r>
          </w:p>
        </w:tc>
        <w:tc>
          <w:tcPr>
            <w:tcW w:w="943" w:type="pct"/>
            <w:vMerge w:val="restar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风险经理（审核、评价）</w:t>
            </w:r>
          </w:p>
        </w:tc>
      </w:tr>
      <w:tr w:rsidR="00F315ED" w:rsidRPr="00F06200" w:rsidTr="00913D87">
        <w:trPr>
          <w:trHeight w:val="600"/>
          <w:tblHeader/>
        </w:trPr>
        <w:tc>
          <w:tcPr>
            <w:tcW w:w="2725" w:type="pct"/>
            <w:gridSpan w:val="4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访谈对象及职位</w:t>
            </w:r>
          </w:p>
        </w:tc>
        <w:tc>
          <w:tcPr>
            <w:tcW w:w="336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97" w:type="pct"/>
            <w:vMerge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vMerge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341"/>
          <w:tblHeader/>
        </w:trPr>
        <w:tc>
          <w:tcPr>
            <w:tcW w:w="138" w:type="pct"/>
            <w:vMerge w:val="restar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1</w:t>
            </w:r>
          </w:p>
        </w:tc>
        <w:tc>
          <w:tcPr>
            <w:tcW w:w="424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交易对手情况</w:t>
            </w:r>
          </w:p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1.1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工商基本信息变动情况</w:t>
            </w:r>
          </w:p>
        </w:tc>
        <w:tc>
          <w:tcPr>
            <w:tcW w:w="336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15"/>
          <w:tblHeader/>
        </w:trPr>
        <w:tc>
          <w:tcPr>
            <w:tcW w:w="138" w:type="pct"/>
            <w:vMerge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1.2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公司高管变动情况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07"/>
          <w:tblHeader/>
        </w:trPr>
        <w:tc>
          <w:tcPr>
            <w:tcW w:w="138" w:type="pct"/>
            <w:vMerge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1.3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公司股权变更情况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12"/>
          <w:tblHeader/>
        </w:trPr>
        <w:tc>
          <w:tcPr>
            <w:tcW w:w="138" w:type="pct"/>
            <w:vMerge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1.4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公司主营业务重大变化情况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689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1.5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主要财务科目变动情况（占比净资产</w:t>
            </w:r>
            <w:r w:rsidRPr="00F06200">
              <w:rPr>
                <w:rFonts w:ascii="仿宋" w:eastAsia="仿宋" w:hAnsi="仿宋"/>
                <w:bCs/>
                <w:szCs w:val="21"/>
              </w:rPr>
              <w:t>10%</w:t>
            </w:r>
            <w:r w:rsidRPr="00F06200">
              <w:rPr>
                <w:rFonts w:ascii="仿宋" w:eastAsia="仿宋" w:hAnsi="仿宋" w:hint="eastAsia"/>
                <w:bCs/>
                <w:szCs w:val="21"/>
              </w:rPr>
              <w:t>以上科目）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16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1.6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银行融资变化情况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16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1.7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信托融资变化情况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22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1.8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其他渠道融资变化情况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13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1.9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对外担保情况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841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1.10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交易对手所处行业宏观环境的重大负面变化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841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1.11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其他重大信息（如涉诉讼、舆情等）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839"/>
          <w:tblHeader/>
        </w:trPr>
        <w:tc>
          <w:tcPr>
            <w:tcW w:w="138" w:type="pct"/>
            <w:vMerge w:val="restar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2</w:t>
            </w:r>
          </w:p>
        </w:tc>
        <w:tc>
          <w:tcPr>
            <w:tcW w:w="424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风险管控措施</w:t>
            </w:r>
          </w:p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2.1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担保人情况（检查要求参照前述交易对手）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13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2.2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抵押物物理现状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18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2.3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抵押物确权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24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2.4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质押物情况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275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2.5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质押物确权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501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2.6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其他限制或管控措施实施情况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345"/>
          <w:tblHeader/>
        </w:trPr>
        <w:tc>
          <w:tcPr>
            <w:tcW w:w="138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3</w:t>
            </w:r>
          </w:p>
        </w:tc>
        <w:tc>
          <w:tcPr>
            <w:tcW w:w="424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资金运用</w:t>
            </w:r>
          </w:p>
        </w:tc>
        <w:tc>
          <w:tcPr>
            <w:tcW w:w="417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3.1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与原有资金运用计划的差异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78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3.2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资金投向项目进度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1408"/>
          <w:tblHeader/>
        </w:trPr>
        <w:tc>
          <w:tcPr>
            <w:tcW w:w="138" w:type="pct"/>
            <w:vMerge w:val="restar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4</w:t>
            </w:r>
          </w:p>
        </w:tc>
        <w:tc>
          <w:tcPr>
            <w:tcW w:w="424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兑付风险分析</w:t>
            </w:r>
          </w:p>
        </w:tc>
        <w:tc>
          <w:tcPr>
            <w:tcW w:w="417" w:type="pct"/>
            <w:vMerge w:val="restar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4.1</w:t>
            </w:r>
          </w:p>
        </w:tc>
        <w:tc>
          <w:tcPr>
            <w:tcW w:w="1745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项目临到期现金流预测</w:t>
            </w:r>
          </w:p>
        </w:tc>
        <w:tc>
          <w:tcPr>
            <w:tcW w:w="336" w:type="pct"/>
            <w:vMerge w:val="restar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vMerge w:val="restar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943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09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vMerge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745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336" w:type="pct"/>
            <w:vMerge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97" w:type="pct"/>
            <w:vMerge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943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F315ED" w:rsidRPr="00F06200" w:rsidTr="00913D87">
        <w:trPr>
          <w:trHeight w:val="440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4.2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监管账户资金归集情况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404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4.3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期间返本付息执行情况</w:t>
            </w:r>
          </w:p>
        </w:tc>
        <w:tc>
          <w:tcPr>
            <w:tcW w:w="336" w:type="pct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F315ED" w:rsidRPr="00F06200" w:rsidTr="00913D87">
        <w:trPr>
          <w:trHeight w:val="70"/>
          <w:tblHeader/>
        </w:trPr>
        <w:tc>
          <w:tcPr>
            <w:tcW w:w="1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4.4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压力测试</w:t>
            </w:r>
          </w:p>
        </w:tc>
        <w:tc>
          <w:tcPr>
            <w:tcW w:w="336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每年</w:t>
            </w:r>
            <w:r w:rsidRPr="00F06200">
              <w:rPr>
                <w:rFonts w:ascii="仿宋" w:eastAsia="仿宋" w:hAnsi="仿宋"/>
                <w:bCs/>
                <w:szCs w:val="21"/>
              </w:rPr>
              <w:t>6</w:t>
            </w:r>
            <w:r w:rsidRPr="00F06200">
              <w:rPr>
                <w:rFonts w:ascii="仿宋" w:eastAsia="仿宋" w:hAnsi="仿宋" w:hint="eastAsia"/>
                <w:bCs/>
                <w:szCs w:val="21"/>
              </w:rPr>
              <w:t>月末和</w:t>
            </w:r>
            <w:r w:rsidRPr="00F06200">
              <w:rPr>
                <w:rFonts w:ascii="仿宋" w:eastAsia="仿宋" w:hAnsi="仿宋"/>
                <w:bCs/>
                <w:szCs w:val="21"/>
              </w:rPr>
              <w:t>12</w:t>
            </w:r>
            <w:r w:rsidRPr="00F06200">
              <w:rPr>
                <w:rFonts w:ascii="仿宋" w:eastAsia="仿宋" w:hAnsi="仿宋" w:hint="eastAsia"/>
                <w:bCs/>
                <w:szCs w:val="21"/>
              </w:rPr>
              <w:t>月末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F315ED" w:rsidRPr="00F06200" w:rsidTr="00913D87">
        <w:trPr>
          <w:trHeight w:val="954"/>
          <w:tblHeader/>
        </w:trPr>
        <w:tc>
          <w:tcPr>
            <w:tcW w:w="138" w:type="pct"/>
            <w:vMerge w:val="restar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5</w:t>
            </w:r>
          </w:p>
        </w:tc>
        <w:tc>
          <w:tcPr>
            <w:tcW w:w="424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结论</w:t>
            </w: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5.1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简要概述影响交易对手履约的主要有利因素（若有）</w:t>
            </w:r>
          </w:p>
        </w:tc>
        <w:tc>
          <w:tcPr>
            <w:tcW w:w="336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F315ED" w:rsidRPr="00F06200" w:rsidTr="00913D87">
        <w:trPr>
          <w:trHeight w:val="841"/>
          <w:tblHeader/>
        </w:trPr>
        <w:tc>
          <w:tcPr>
            <w:tcW w:w="138" w:type="pct"/>
            <w:vMerge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5.2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按顺序归纳最关注的三个风险因素，并估计违约可能性</w:t>
            </w:r>
          </w:p>
        </w:tc>
        <w:tc>
          <w:tcPr>
            <w:tcW w:w="336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F315ED" w:rsidRPr="00F06200" w:rsidTr="00913D87">
        <w:trPr>
          <w:trHeight w:val="697"/>
          <w:tblHeader/>
        </w:trPr>
        <w:tc>
          <w:tcPr>
            <w:tcW w:w="138" w:type="pct"/>
            <w:vMerge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41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/>
                <w:bCs/>
                <w:szCs w:val="21"/>
              </w:rPr>
              <w:t>5.3</w:t>
            </w:r>
          </w:p>
        </w:tc>
        <w:tc>
          <w:tcPr>
            <w:tcW w:w="1745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根据上述风险因素提出拟采取的主要处理措施</w:t>
            </w:r>
          </w:p>
        </w:tc>
        <w:tc>
          <w:tcPr>
            <w:tcW w:w="336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季</w:t>
            </w:r>
          </w:p>
        </w:tc>
        <w:tc>
          <w:tcPr>
            <w:tcW w:w="997" w:type="pc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</w:tbl>
    <w:p w:rsidR="00F315ED" w:rsidRPr="00F06200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</w:p>
    <w:p w:rsidR="00F315ED" w:rsidRPr="00D22B35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b/>
          <w:sz w:val="30"/>
          <w:szCs w:val="30"/>
        </w:rPr>
      </w:pPr>
      <w:r w:rsidRPr="00D22B35">
        <w:rPr>
          <w:rFonts w:ascii="仿宋" w:eastAsia="仿宋" w:hAnsi="仿宋" w:hint="eastAsia"/>
          <w:b/>
          <w:sz w:val="30"/>
          <w:szCs w:val="30"/>
        </w:rPr>
        <w:t>房地产项目附加检查工作表格</w:t>
      </w:r>
    </w:p>
    <w:tbl>
      <w:tblPr>
        <w:tblW w:w="5000" w:type="pct"/>
        <w:tblLook w:val="00A0"/>
      </w:tblPr>
      <w:tblGrid>
        <w:gridCol w:w="729"/>
        <w:gridCol w:w="746"/>
        <w:gridCol w:w="832"/>
        <w:gridCol w:w="619"/>
        <w:gridCol w:w="580"/>
        <w:gridCol w:w="329"/>
        <w:gridCol w:w="256"/>
        <w:gridCol w:w="667"/>
        <w:gridCol w:w="667"/>
        <w:gridCol w:w="700"/>
        <w:gridCol w:w="388"/>
        <w:gridCol w:w="2434"/>
      </w:tblGrid>
      <w:tr w:rsidR="00F315ED" w:rsidRPr="00F06200" w:rsidTr="00913D87">
        <w:trPr>
          <w:trHeight w:val="640"/>
        </w:trPr>
        <w:tc>
          <w:tcPr>
            <w:tcW w:w="214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信托经理（测算、描述）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bCs/>
                <w:szCs w:val="21"/>
              </w:rPr>
              <w:t>风险经理（审核、评价）</w:t>
            </w:r>
          </w:p>
        </w:tc>
      </w:tr>
      <w:tr w:rsidR="00F315ED" w:rsidRPr="00F06200" w:rsidTr="00913D87">
        <w:trPr>
          <w:trHeight w:val="556"/>
        </w:trPr>
        <w:tc>
          <w:tcPr>
            <w:tcW w:w="214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1.</w:t>
            </w:r>
            <w:r w:rsidRPr="00F06200">
              <w:rPr>
                <w:rFonts w:ascii="仿宋" w:eastAsia="仿宋" w:hAnsi="仿宋" w:hint="eastAsia"/>
                <w:szCs w:val="21"/>
              </w:rPr>
              <w:t>当地房产政策或市场环境的变化对项目可能产生的影响</w:t>
            </w:r>
          </w:p>
        </w:tc>
        <w:tc>
          <w:tcPr>
            <w:tcW w:w="14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441"/>
        </w:trPr>
        <w:tc>
          <w:tcPr>
            <w:tcW w:w="214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2.</w:t>
            </w:r>
            <w:r w:rsidRPr="00F06200">
              <w:rPr>
                <w:rFonts w:ascii="仿宋" w:eastAsia="仿宋" w:hAnsi="仿宋" w:hint="eastAsia"/>
                <w:szCs w:val="21"/>
              </w:rPr>
              <w:t>项目建设是否延工</w:t>
            </w:r>
          </w:p>
        </w:tc>
        <w:tc>
          <w:tcPr>
            <w:tcW w:w="14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418"/>
        </w:trPr>
        <w:tc>
          <w:tcPr>
            <w:tcW w:w="214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3.</w:t>
            </w:r>
            <w:r w:rsidRPr="00F06200">
              <w:rPr>
                <w:rFonts w:ascii="仿宋" w:eastAsia="仿宋" w:hAnsi="仿宋" w:hint="eastAsia"/>
                <w:szCs w:val="21"/>
              </w:rPr>
              <w:t>资金支付进度与原计划对比的差异</w:t>
            </w:r>
          </w:p>
        </w:tc>
        <w:tc>
          <w:tcPr>
            <w:tcW w:w="14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41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 xml:space="preserve">4. </w:t>
            </w:r>
            <w:r w:rsidRPr="00F06200">
              <w:rPr>
                <w:rFonts w:ascii="仿宋" w:eastAsia="仿宋" w:hAnsi="仿宋" w:hint="eastAsia"/>
                <w:szCs w:val="21"/>
              </w:rPr>
              <w:t>项目去化情况</w:t>
            </w:r>
          </w:p>
        </w:tc>
      </w:tr>
      <w:tr w:rsidR="00F315ED" w:rsidRPr="00F06200" w:rsidTr="00913D87">
        <w:trPr>
          <w:trHeight w:val="1275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存续期内历次开盘时间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销售面积（万平方米）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可售面积（万平方米）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栋号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产品类型</w:t>
            </w:r>
          </w:p>
        </w:tc>
        <w:tc>
          <w:tcPr>
            <w:tcW w:w="3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套数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销售单价（万元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平方米）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销售合同金额（万元）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回款金额（万元）</w:t>
            </w:r>
          </w:p>
        </w:tc>
        <w:tc>
          <w:tcPr>
            <w:tcW w:w="157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销售去化率（基数为本次开盘总面积）</w:t>
            </w:r>
          </w:p>
        </w:tc>
      </w:tr>
      <w:tr w:rsidR="00F315ED" w:rsidRPr="00F06200" w:rsidTr="00913D87">
        <w:trPr>
          <w:trHeight w:val="508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  <w:tc>
          <w:tcPr>
            <w:tcW w:w="3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  <w:tc>
          <w:tcPr>
            <w:tcW w:w="157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F315ED" w:rsidRPr="00F06200" w:rsidTr="00913D87">
        <w:trPr>
          <w:trHeight w:val="780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总计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\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\</w:t>
            </w:r>
          </w:p>
        </w:tc>
        <w:tc>
          <w:tcPr>
            <w:tcW w:w="3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平均成交单价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7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59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风控意见：</w:t>
            </w:r>
          </w:p>
        </w:tc>
      </w:tr>
      <w:tr w:rsidR="00F315ED" w:rsidRPr="00F06200" w:rsidTr="00913D87">
        <w:trPr>
          <w:trHeight w:val="698"/>
        </w:trPr>
        <w:tc>
          <w:tcPr>
            <w:tcW w:w="16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5.</w:t>
            </w:r>
            <w:r w:rsidRPr="00F06200">
              <w:rPr>
                <w:rFonts w:ascii="仿宋" w:eastAsia="仿宋" w:hAnsi="仿宋" w:hint="eastAsia"/>
                <w:szCs w:val="21"/>
              </w:rPr>
              <w:t>回笼资金情况</w:t>
            </w:r>
          </w:p>
        </w:tc>
        <w:tc>
          <w:tcPr>
            <w:tcW w:w="336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目前已累计回笼</w:t>
            </w:r>
            <w:r w:rsidRPr="00F06200">
              <w:rPr>
                <w:rFonts w:ascii="仿宋" w:eastAsia="仿宋" w:hAnsi="仿宋"/>
                <w:szCs w:val="21"/>
              </w:rPr>
              <w:t>____</w:t>
            </w:r>
            <w:r w:rsidRPr="00F06200">
              <w:rPr>
                <w:rFonts w:ascii="仿宋" w:eastAsia="仿宋" w:hAnsi="仿宋" w:hint="eastAsia"/>
                <w:szCs w:val="21"/>
              </w:rPr>
              <w:t>万元，与原计划比较是否存在明显差距。</w:t>
            </w:r>
          </w:p>
        </w:tc>
      </w:tr>
      <w:tr w:rsidR="00F315ED" w:rsidRPr="00F06200" w:rsidTr="00913D87">
        <w:trPr>
          <w:trHeight w:val="1274"/>
        </w:trPr>
        <w:tc>
          <w:tcPr>
            <w:tcW w:w="16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6.</w:t>
            </w:r>
            <w:r w:rsidRPr="00F06200">
              <w:rPr>
                <w:rFonts w:ascii="仿宋" w:eastAsia="仿宋" w:hAnsi="仿宋" w:hint="eastAsia"/>
                <w:szCs w:val="21"/>
              </w:rPr>
              <w:t>压力测试（市场价格下跌分析）</w:t>
            </w:r>
          </w:p>
        </w:tc>
        <w:tc>
          <w:tcPr>
            <w:tcW w:w="336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目前投资标的项目的市场销售均价约</w:t>
            </w:r>
            <w:r w:rsidRPr="00F06200">
              <w:rPr>
                <w:rFonts w:ascii="仿宋" w:eastAsia="仿宋" w:hAnsi="仿宋"/>
                <w:szCs w:val="21"/>
              </w:rPr>
              <w:t>____</w:t>
            </w:r>
            <w:r w:rsidRPr="00F06200">
              <w:rPr>
                <w:rFonts w:ascii="仿宋" w:eastAsia="仿宋" w:hAnsi="仿宋" w:hint="eastAsia"/>
                <w:szCs w:val="21"/>
              </w:rPr>
              <w:t>元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平方米，盈亏平衡价为</w:t>
            </w:r>
            <w:r w:rsidRPr="00F06200">
              <w:rPr>
                <w:rFonts w:ascii="仿宋" w:eastAsia="仿宋" w:hAnsi="仿宋"/>
                <w:szCs w:val="21"/>
              </w:rPr>
              <w:t>____</w:t>
            </w:r>
            <w:r w:rsidRPr="00F06200">
              <w:rPr>
                <w:rFonts w:ascii="仿宋" w:eastAsia="仿宋" w:hAnsi="仿宋" w:hint="eastAsia"/>
                <w:szCs w:val="21"/>
              </w:rPr>
              <w:t>元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平方米，市场价格下降</w:t>
            </w:r>
            <w:r w:rsidRPr="00F06200">
              <w:rPr>
                <w:rFonts w:ascii="仿宋" w:eastAsia="仿宋" w:hAnsi="仿宋"/>
                <w:szCs w:val="21"/>
              </w:rPr>
              <w:t>____%</w:t>
            </w:r>
            <w:r w:rsidRPr="00F06200">
              <w:rPr>
                <w:rFonts w:ascii="仿宋" w:eastAsia="仿宋" w:hAnsi="仿宋" w:hint="eastAsia"/>
                <w:szCs w:val="21"/>
              </w:rPr>
              <w:t>，才触及盈亏平衡点，可承受的降价空间较大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较小。如果销售价格保持目前水平，则销售率达到</w:t>
            </w:r>
            <w:r w:rsidRPr="00F06200">
              <w:rPr>
                <w:rFonts w:ascii="仿宋" w:eastAsia="仿宋" w:hAnsi="仿宋"/>
                <w:szCs w:val="21"/>
              </w:rPr>
              <w:t>__%</w:t>
            </w:r>
            <w:r w:rsidRPr="00F06200">
              <w:rPr>
                <w:rFonts w:ascii="仿宋" w:eastAsia="仿宋" w:hAnsi="仿宋" w:hint="eastAsia"/>
                <w:szCs w:val="21"/>
              </w:rPr>
              <w:t>，则项目开始盈利。</w:t>
            </w:r>
          </w:p>
        </w:tc>
      </w:tr>
      <w:tr w:rsidR="00F315ED" w:rsidRPr="00F06200" w:rsidTr="00913D87">
        <w:trPr>
          <w:trHeight w:val="335"/>
        </w:trPr>
        <w:tc>
          <w:tcPr>
            <w:tcW w:w="16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7.</w:t>
            </w:r>
            <w:r w:rsidRPr="00F06200">
              <w:rPr>
                <w:rFonts w:ascii="仿宋" w:eastAsia="仿宋" w:hAnsi="仿宋" w:hint="eastAsia"/>
                <w:szCs w:val="21"/>
              </w:rPr>
              <w:t>其他需要说明的事项</w:t>
            </w:r>
          </w:p>
        </w:tc>
        <w:tc>
          <w:tcPr>
            <w:tcW w:w="336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1249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风控意见：</w:t>
            </w:r>
          </w:p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（风险经理在本人实地检查后，根据业务部门对第</w:t>
            </w:r>
            <w:r w:rsidRPr="00F06200">
              <w:rPr>
                <w:rFonts w:ascii="仿宋" w:eastAsia="仿宋" w:hAnsi="仿宋"/>
                <w:szCs w:val="21"/>
              </w:rPr>
              <w:t>4</w:t>
            </w:r>
            <w:r w:rsidRPr="00F06200">
              <w:rPr>
                <w:rFonts w:ascii="仿宋" w:eastAsia="仿宋" w:hAnsi="仿宋" w:hint="eastAsia"/>
                <w:szCs w:val="21"/>
              </w:rPr>
              <w:t>至</w:t>
            </w:r>
            <w:r w:rsidRPr="00F06200">
              <w:rPr>
                <w:rFonts w:ascii="仿宋" w:eastAsia="仿宋" w:hAnsi="仿宋"/>
                <w:szCs w:val="21"/>
              </w:rPr>
              <w:t>7</w:t>
            </w:r>
            <w:r w:rsidRPr="00F06200">
              <w:rPr>
                <w:rFonts w:ascii="仿宋" w:eastAsia="仿宋" w:hAnsi="仿宋" w:hint="eastAsia"/>
                <w:szCs w:val="21"/>
              </w:rPr>
              <w:t>部分的描述进行综合审核及评价。）</w:t>
            </w:r>
          </w:p>
        </w:tc>
      </w:tr>
    </w:tbl>
    <w:p w:rsidR="00F315ED" w:rsidRPr="00F06200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  <w:sectPr w:rsidR="00F315ED" w:rsidRPr="00F06200" w:rsidSect="007C03EE">
          <w:pgSz w:w="11907" w:h="16840" w:code="9"/>
          <w:pgMar w:top="1440" w:right="1588" w:bottom="1361" w:left="1588" w:header="1021" w:footer="907" w:gutter="0"/>
          <w:pgNumType w:start="1"/>
          <w:cols w:space="425"/>
          <w:docGrid w:linePitch="312"/>
        </w:sectPr>
      </w:pPr>
    </w:p>
    <w:p w:rsidR="00F315ED" w:rsidRPr="00F06200" w:rsidRDefault="00F315ED" w:rsidP="00F315ED">
      <w:pPr>
        <w:snapToGrid w:val="0"/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F315ED" w:rsidRPr="00D22B35" w:rsidRDefault="00F315ED" w:rsidP="00F315ED">
      <w:pPr>
        <w:snapToGrid w:val="0"/>
        <w:spacing w:line="360" w:lineRule="auto"/>
        <w:jc w:val="center"/>
        <w:rPr>
          <w:rFonts w:ascii="仿宋" w:eastAsia="仿宋" w:hAnsi="仿宋"/>
          <w:b/>
          <w:sz w:val="30"/>
          <w:szCs w:val="30"/>
        </w:rPr>
      </w:pPr>
      <w:r w:rsidRPr="00D22B35">
        <w:rPr>
          <w:rFonts w:ascii="仿宋" w:eastAsia="仿宋" w:hAnsi="仿宋" w:hint="eastAsia"/>
          <w:b/>
          <w:sz w:val="30"/>
          <w:szCs w:val="30"/>
        </w:rPr>
        <w:t>项目清算阶段</w:t>
      </w:r>
    </w:p>
    <w:p w:rsidR="00F315ED" w:rsidRPr="00F06200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F06200">
        <w:rPr>
          <w:rFonts w:ascii="仿宋" w:eastAsia="仿宋" w:hAnsi="仿宋"/>
          <w:b/>
          <w:sz w:val="24"/>
          <w:szCs w:val="24"/>
        </w:rPr>
        <w:t>1.</w:t>
      </w:r>
      <w:r w:rsidRPr="00F06200">
        <w:rPr>
          <w:rFonts w:ascii="仿宋" w:eastAsia="仿宋" w:hAnsi="仿宋" w:hint="eastAsia"/>
          <w:b/>
          <w:bCs/>
          <w:sz w:val="24"/>
          <w:szCs w:val="24"/>
        </w:rPr>
        <w:t>交易对手还款情况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0"/>
        <w:gridCol w:w="1609"/>
        <w:gridCol w:w="1258"/>
        <w:gridCol w:w="1120"/>
        <w:gridCol w:w="1193"/>
        <w:gridCol w:w="1212"/>
      </w:tblGrid>
      <w:tr w:rsidR="00F315ED" w:rsidRPr="00F06200" w:rsidTr="00913D87">
        <w:trPr>
          <w:trHeight w:val="593"/>
        </w:trPr>
        <w:tc>
          <w:tcPr>
            <w:tcW w:w="1250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次数</w:t>
            </w:r>
          </w:p>
        </w:tc>
        <w:tc>
          <w:tcPr>
            <w:tcW w:w="944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支付时间</w:t>
            </w:r>
          </w:p>
        </w:tc>
        <w:tc>
          <w:tcPr>
            <w:tcW w:w="738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支付金额</w:t>
            </w:r>
          </w:p>
        </w:tc>
        <w:tc>
          <w:tcPr>
            <w:tcW w:w="657" w:type="pct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是否逾期</w:t>
            </w:r>
          </w:p>
        </w:tc>
        <w:tc>
          <w:tcPr>
            <w:tcW w:w="1411" w:type="pct"/>
            <w:gridSpan w:val="2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复核人签字</w:t>
            </w:r>
          </w:p>
        </w:tc>
      </w:tr>
      <w:tr w:rsidR="00F315ED" w:rsidRPr="00F06200" w:rsidTr="00913D87">
        <w:trPr>
          <w:trHeight w:val="682"/>
        </w:trPr>
        <w:tc>
          <w:tcPr>
            <w:tcW w:w="1250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44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38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7" w:type="pct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信托经理</w:t>
            </w:r>
          </w:p>
        </w:tc>
        <w:tc>
          <w:tcPr>
            <w:tcW w:w="71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财务人员</w:t>
            </w:r>
          </w:p>
        </w:tc>
      </w:tr>
      <w:tr w:rsidR="00F315ED" w:rsidRPr="00F06200" w:rsidTr="00913D87">
        <w:trPr>
          <w:trHeight w:val="523"/>
        </w:trPr>
        <w:tc>
          <w:tcPr>
            <w:tcW w:w="125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第一次</w:t>
            </w:r>
          </w:p>
        </w:tc>
        <w:tc>
          <w:tcPr>
            <w:tcW w:w="944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38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7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1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523"/>
        </w:trPr>
        <w:tc>
          <w:tcPr>
            <w:tcW w:w="125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第二次</w:t>
            </w:r>
          </w:p>
        </w:tc>
        <w:tc>
          <w:tcPr>
            <w:tcW w:w="944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38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7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1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523"/>
        </w:trPr>
        <w:tc>
          <w:tcPr>
            <w:tcW w:w="125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第三次</w:t>
            </w:r>
          </w:p>
        </w:tc>
        <w:tc>
          <w:tcPr>
            <w:tcW w:w="944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38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7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1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523"/>
        </w:trPr>
        <w:tc>
          <w:tcPr>
            <w:tcW w:w="125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…</w:t>
            </w:r>
          </w:p>
        </w:tc>
        <w:tc>
          <w:tcPr>
            <w:tcW w:w="944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38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7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11" w:type="pc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</w:tbl>
    <w:p w:rsidR="00F315ED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</w:p>
    <w:p w:rsidR="00F315ED" w:rsidRPr="00F06200" w:rsidRDefault="00F315ED" w:rsidP="00F315ED">
      <w:pPr>
        <w:snapToGrid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F06200">
        <w:rPr>
          <w:rFonts w:ascii="仿宋" w:eastAsia="仿宋" w:hAnsi="仿宋" w:hint="eastAsia"/>
          <w:b/>
          <w:sz w:val="24"/>
          <w:szCs w:val="24"/>
        </w:rPr>
        <w:t>附件一：期间管理报告填写说明</w:t>
      </w:r>
    </w:p>
    <w:tbl>
      <w:tblPr>
        <w:tblW w:w="9073" w:type="dxa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6"/>
        <w:gridCol w:w="706"/>
        <w:gridCol w:w="531"/>
        <w:gridCol w:w="1971"/>
        <w:gridCol w:w="709"/>
        <w:gridCol w:w="4820"/>
      </w:tblGrid>
      <w:tr w:rsidR="00F315ED" w:rsidRPr="00F06200" w:rsidTr="00913D87">
        <w:trPr>
          <w:trHeight w:val="300"/>
          <w:jc w:val="center"/>
        </w:trPr>
        <w:tc>
          <w:tcPr>
            <w:tcW w:w="3544" w:type="dxa"/>
            <w:gridSpan w:val="4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填写项目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频率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重要说明</w:t>
            </w:r>
          </w:p>
        </w:tc>
      </w:tr>
      <w:tr w:rsidR="00F315ED" w:rsidRPr="00F06200" w:rsidTr="00913D87">
        <w:trPr>
          <w:trHeight w:val="952"/>
          <w:jc w:val="center"/>
        </w:trPr>
        <w:tc>
          <w:tcPr>
            <w:tcW w:w="336" w:type="dxa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3208" w:type="dxa"/>
            <w:gridSpan w:val="3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交易对手情况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有变化情况的，据实填写相关变化内容，无变化的，填“无变化”。</w:t>
            </w:r>
          </w:p>
        </w:tc>
      </w:tr>
      <w:tr w:rsidR="00F315ED" w:rsidRPr="00F06200" w:rsidTr="00913D87">
        <w:trPr>
          <w:trHeight w:val="300"/>
          <w:jc w:val="center"/>
        </w:trPr>
        <w:tc>
          <w:tcPr>
            <w:tcW w:w="336" w:type="dxa"/>
            <w:vMerge w:val="restar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风险管控措施</w:t>
            </w: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2.1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担保人情况（检查要求参照前述交易对手）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1830"/>
          <w:jc w:val="center"/>
        </w:trPr>
        <w:tc>
          <w:tcPr>
            <w:tcW w:w="336" w:type="dxa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2.2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抵押物物理现状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对抵押物进行现场查看并进行拍照存档。</w:t>
            </w:r>
          </w:p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本部分着重分析抵押物价值的变化情况等。</w:t>
            </w:r>
          </w:p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房产类：仔细查看抵押物状态，若房产用于出租，应了解其租金变化情况</w:t>
            </w:r>
            <w:r w:rsidRPr="00F06200">
              <w:rPr>
                <w:rFonts w:ascii="仿宋" w:eastAsia="仿宋" w:hAnsi="仿宋"/>
                <w:szCs w:val="21"/>
              </w:rPr>
              <w:t>,</w:t>
            </w:r>
            <w:r w:rsidRPr="00F06200">
              <w:rPr>
                <w:rFonts w:ascii="仿宋" w:eastAsia="仿宋" w:hAnsi="仿宋" w:hint="eastAsia"/>
                <w:szCs w:val="21"/>
              </w:rPr>
              <w:t>若有保险，查看保险是否到期。</w:t>
            </w:r>
          </w:p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土地类：仔细查看抵押物状态，应了解工程进展，了解周边市政建设情况。</w:t>
            </w:r>
          </w:p>
        </w:tc>
      </w:tr>
      <w:tr w:rsidR="00F315ED" w:rsidRPr="00F06200" w:rsidTr="00913D87">
        <w:trPr>
          <w:trHeight w:val="300"/>
          <w:jc w:val="center"/>
        </w:trPr>
        <w:tc>
          <w:tcPr>
            <w:tcW w:w="336" w:type="dxa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2.3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抵押物确权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风险管理部向相关抵押登记机关进行确权。</w:t>
            </w:r>
          </w:p>
        </w:tc>
      </w:tr>
      <w:tr w:rsidR="00F315ED" w:rsidRPr="00F06200" w:rsidTr="00913D87">
        <w:trPr>
          <w:trHeight w:val="1290"/>
          <w:jc w:val="center"/>
        </w:trPr>
        <w:tc>
          <w:tcPr>
            <w:tcW w:w="336" w:type="dxa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2.4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质押物情况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重点分析质押物现状。</w:t>
            </w:r>
          </w:p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股权类：上市公司股权质押的，应定期从证券市场了解股票市场价格变化。非上市公司股权质押的，应定期了解股权所属公司经营情况、净资产变化情况、股权稀释情况，并与贷款发放时进行对比。</w:t>
            </w:r>
          </w:p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lastRenderedPageBreak/>
              <w:t>应收账款类：重点对应收账款回款进行监管。</w:t>
            </w:r>
          </w:p>
        </w:tc>
      </w:tr>
      <w:tr w:rsidR="00F315ED" w:rsidRPr="00F06200" w:rsidTr="00913D87">
        <w:trPr>
          <w:trHeight w:val="300"/>
          <w:jc w:val="center"/>
        </w:trPr>
        <w:tc>
          <w:tcPr>
            <w:tcW w:w="336" w:type="dxa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2.5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质押物确权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若为股权投资类项目，有外派人员入驻，则在此列明职责及执行情况。</w:t>
            </w:r>
          </w:p>
        </w:tc>
      </w:tr>
      <w:tr w:rsidR="00F315ED" w:rsidRPr="00F06200" w:rsidTr="00913D87">
        <w:trPr>
          <w:trHeight w:val="300"/>
          <w:jc w:val="center"/>
        </w:trPr>
        <w:tc>
          <w:tcPr>
            <w:tcW w:w="336" w:type="dxa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2.6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其他限制或管控措施实施情况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写明交易对手对其他限制或管控措施实施情况，如“各股东以股东借款和资本公积形式在项目公司投入的资金不得抽回”，“交易对手不分红不派息”等。</w:t>
            </w:r>
          </w:p>
        </w:tc>
      </w:tr>
      <w:tr w:rsidR="00F315ED" w:rsidRPr="00F06200" w:rsidTr="00913D87">
        <w:trPr>
          <w:trHeight w:val="300"/>
          <w:jc w:val="center"/>
        </w:trPr>
        <w:tc>
          <w:tcPr>
            <w:tcW w:w="336" w:type="dxa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资金运用</w:t>
            </w:r>
          </w:p>
        </w:tc>
        <w:tc>
          <w:tcPr>
            <w:tcW w:w="0" w:type="auto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3.1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与原有资金运用计划的差异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请拍摄现场形象进度照片作为附件上传；房产项目请填写“房地产项目附加检查工作表格”。</w:t>
            </w:r>
          </w:p>
        </w:tc>
      </w:tr>
      <w:tr w:rsidR="00F315ED" w:rsidRPr="00F06200" w:rsidTr="00913D87">
        <w:trPr>
          <w:trHeight w:val="300"/>
          <w:jc w:val="center"/>
        </w:trPr>
        <w:tc>
          <w:tcPr>
            <w:tcW w:w="336" w:type="dxa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3.2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资金投向项目进度（若适用）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285"/>
          <w:jc w:val="center"/>
        </w:trPr>
        <w:tc>
          <w:tcPr>
            <w:tcW w:w="336" w:type="dxa"/>
            <w:vMerge w:val="restar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兑付风险分析</w:t>
            </w: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4.1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项目临到期现金流预测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仅适用于</w:t>
            </w:r>
            <w:r w:rsidRPr="00F06200">
              <w:rPr>
                <w:rFonts w:ascii="仿宋" w:eastAsia="仿宋" w:hAnsi="仿宋"/>
                <w:szCs w:val="21"/>
              </w:rPr>
              <w:t>6</w:t>
            </w:r>
            <w:r w:rsidRPr="00F06200">
              <w:rPr>
                <w:rFonts w:ascii="仿宋" w:eastAsia="仿宋" w:hAnsi="仿宋" w:hint="eastAsia"/>
                <w:szCs w:val="21"/>
              </w:rPr>
              <w:t>个月内到期的项目。</w:t>
            </w:r>
          </w:p>
        </w:tc>
      </w:tr>
      <w:tr w:rsidR="00F315ED" w:rsidRPr="00F06200" w:rsidTr="00913D87">
        <w:trPr>
          <w:trHeight w:val="300"/>
          <w:jc w:val="center"/>
        </w:trPr>
        <w:tc>
          <w:tcPr>
            <w:tcW w:w="336" w:type="dxa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4.2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监管账户资金归集情况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300"/>
          <w:jc w:val="center"/>
        </w:trPr>
        <w:tc>
          <w:tcPr>
            <w:tcW w:w="336" w:type="dxa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4.3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期间返本付息执行情况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F315ED" w:rsidRPr="00F06200" w:rsidTr="00913D87">
        <w:trPr>
          <w:trHeight w:val="406"/>
          <w:jc w:val="center"/>
        </w:trPr>
        <w:tc>
          <w:tcPr>
            <w:tcW w:w="336" w:type="dxa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4.4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压力测试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每年</w:t>
            </w:r>
            <w:r w:rsidRPr="00F06200">
              <w:rPr>
                <w:rFonts w:ascii="仿宋" w:eastAsia="仿宋" w:hAnsi="仿宋"/>
                <w:szCs w:val="21"/>
              </w:rPr>
              <w:t>6</w:t>
            </w:r>
            <w:r w:rsidRPr="00F06200">
              <w:rPr>
                <w:rFonts w:ascii="仿宋" w:eastAsia="仿宋" w:hAnsi="仿宋" w:hint="eastAsia"/>
                <w:szCs w:val="21"/>
              </w:rPr>
              <w:t>月末和</w:t>
            </w:r>
            <w:r w:rsidRPr="00F06200">
              <w:rPr>
                <w:rFonts w:ascii="仿宋" w:eastAsia="仿宋" w:hAnsi="仿宋"/>
                <w:szCs w:val="21"/>
              </w:rPr>
              <w:t>12</w:t>
            </w:r>
            <w:r w:rsidRPr="00F06200">
              <w:rPr>
                <w:rFonts w:ascii="仿宋" w:eastAsia="仿宋" w:hAnsi="仿宋" w:hint="eastAsia"/>
                <w:szCs w:val="21"/>
              </w:rPr>
              <w:t>月末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若为房地产项目，请填写此项，并按以下格式：</w:t>
            </w:r>
          </w:p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目前投资标的项目的市场销售均价约</w:t>
            </w:r>
            <w:r w:rsidRPr="00F06200">
              <w:rPr>
                <w:rFonts w:ascii="仿宋" w:eastAsia="仿宋" w:hAnsi="仿宋"/>
                <w:szCs w:val="21"/>
              </w:rPr>
              <w:t>____</w:t>
            </w:r>
            <w:r w:rsidRPr="00F06200">
              <w:rPr>
                <w:rFonts w:ascii="仿宋" w:eastAsia="仿宋" w:hAnsi="仿宋" w:hint="eastAsia"/>
                <w:szCs w:val="21"/>
              </w:rPr>
              <w:t>元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平方米，盈亏平衡价为</w:t>
            </w:r>
            <w:r w:rsidRPr="00F06200">
              <w:rPr>
                <w:rFonts w:ascii="仿宋" w:eastAsia="仿宋" w:hAnsi="仿宋"/>
                <w:szCs w:val="21"/>
              </w:rPr>
              <w:t>____</w:t>
            </w:r>
            <w:r w:rsidRPr="00F06200">
              <w:rPr>
                <w:rFonts w:ascii="仿宋" w:eastAsia="仿宋" w:hAnsi="仿宋" w:hint="eastAsia"/>
                <w:szCs w:val="21"/>
              </w:rPr>
              <w:t>元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平方米，市场价格下降</w:t>
            </w:r>
            <w:r w:rsidRPr="00F06200">
              <w:rPr>
                <w:rFonts w:ascii="仿宋" w:eastAsia="仿宋" w:hAnsi="仿宋"/>
                <w:szCs w:val="21"/>
              </w:rPr>
              <w:t>____%</w:t>
            </w:r>
            <w:r w:rsidRPr="00F06200">
              <w:rPr>
                <w:rFonts w:ascii="仿宋" w:eastAsia="仿宋" w:hAnsi="仿宋" w:hint="eastAsia"/>
                <w:szCs w:val="21"/>
              </w:rPr>
              <w:t>，才触及盈亏平衡点，可承受的降价空间较大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较小。如果销售价格保持目前水平，则销售率达到</w:t>
            </w:r>
            <w:r w:rsidRPr="00F06200">
              <w:rPr>
                <w:rFonts w:ascii="仿宋" w:eastAsia="仿宋" w:hAnsi="仿宋"/>
                <w:szCs w:val="21"/>
              </w:rPr>
              <w:t>__%</w:t>
            </w:r>
            <w:r w:rsidRPr="00F06200">
              <w:rPr>
                <w:rFonts w:ascii="仿宋" w:eastAsia="仿宋" w:hAnsi="仿宋" w:hint="eastAsia"/>
                <w:szCs w:val="21"/>
              </w:rPr>
              <w:t>，则项目开始盈利。</w:t>
            </w:r>
          </w:p>
        </w:tc>
      </w:tr>
      <w:tr w:rsidR="00F315ED" w:rsidRPr="00F06200" w:rsidTr="00913D87">
        <w:trPr>
          <w:trHeight w:val="300"/>
          <w:jc w:val="center"/>
        </w:trPr>
        <w:tc>
          <w:tcPr>
            <w:tcW w:w="336" w:type="dxa"/>
            <w:vMerge w:val="restart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结论</w:t>
            </w: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5.1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简要概述影响交易对手履约的主要有利因素（若有）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F315ED" w:rsidRPr="00F06200" w:rsidTr="00913D87">
        <w:trPr>
          <w:trHeight w:val="300"/>
          <w:jc w:val="center"/>
        </w:trPr>
        <w:tc>
          <w:tcPr>
            <w:tcW w:w="336" w:type="dxa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5.2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按顺序归纳最关注的三个风险因素，并估计违约可能性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F315ED" w:rsidRPr="00F06200" w:rsidTr="00913D87">
        <w:trPr>
          <w:trHeight w:val="2085"/>
          <w:jc w:val="center"/>
        </w:trPr>
        <w:tc>
          <w:tcPr>
            <w:tcW w:w="336" w:type="dxa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5.3</w:t>
            </w:r>
          </w:p>
        </w:tc>
        <w:tc>
          <w:tcPr>
            <w:tcW w:w="1971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根据上述风险因素提出拟采取的主要处理措施</w:t>
            </w:r>
          </w:p>
        </w:tc>
        <w:tc>
          <w:tcPr>
            <w:tcW w:w="709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季</w:t>
            </w:r>
          </w:p>
        </w:tc>
        <w:tc>
          <w:tcPr>
            <w:tcW w:w="4820" w:type="dxa"/>
            <w:vAlign w:val="center"/>
          </w:tcPr>
          <w:p w:rsidR="00F315ED" w:rsidRPr="00F06200" w:rsidRDefault="00F315ED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评级标准：</w:t>
            </w:r>
            <w:r w:rsidRPr="00F06200">
              <w:rPr>
                <w:rFonts w:ascii="仿宋" w:eastAsia="仿宋" w:hAnsi="仿宋"/>
                <w:szCs w:val="21"/>
              </w:rPr>
              <w:br/>
            </w:r>
            <w:r w:rsidRPr="00F06200">
              <w:rPr>
                <w:rFonts w:ascii="仿宋" w:eastAsia="仿宋" w:hAnsi="仿宋" w:hint="eastAsia"/>
                <w:szCs w:val="21"/>
              </w:rPr>
              <w:t>正常：交易对手能够履行合同或协议、没有足够理由怀疑债务本金及收益不能按时足额偿还。</w:t>
            </w:r>
            <w:r w:rsidRPr="00F06200">
              <w:rPr>
                <w:rFonts w:ascii="仿宋" w:eastAsia="仿宋" w:hAnsi="仿宋"/>
                <w:szCs w:val="21"/>
              </w:rPr>
              <w:t xml:space="preserve"> </w:t>
            </w:r>
            <w:r w:rsidRPr="00F06200">
              <w:rPr>
                <w:rFonts w:ascii="仿宋" w:eastAsia="仿宋" w:hAnsi="仿宋"/>
                <w:szCs w:val="21"/>
              </w:rPr>
              <w:br/>
            </w:r>
            <w:r w:rsidRPr="00F06200">
              <w:rPr>
                <w:rFonts w:ascii="仿宋" w:eastAsia="仿宋" w:hAnsi="仿宋" w:hint="eastAsia"/>
                <w:szCs w:val="21"/>
              </w:rPr>
              <w:t>关注：交易对手尽管目前自身业务运营正常，但区域整体市场近期的变化可能会影响交易对手未来的业务经营。</w:t>
            </w:r>
            <w:r w:rsidRPr="00F06200">
              <w:rPr>
                <w:rFonts w:ascii="仿宋" w:eastAsia="仿宋" w:hAnsi="仿宋"/>
                <w:szCs w:val="21"/>
              </w:rPr>
              <w:br/>
            </w:r>
            <w:r w:rsidRPr="00F06200">
              <w:rPr>
                <w:rFonts w:ascii="仿宋" w:eastAsia="仿宋" w:hAnsi="仿宋" w:hint="eastAsia"/>
                <w:szCs w:val="21"/>
              </w:rPr>
              <w:t>可能发生风险：交易对手所处区域受整体市场出现不良趋势，且自身业务经营出现与尽调时预期情况重大不一致，可能会进一步影响交易对手的信用状况和现金流的情况。</w:t>
            </w:r>
          </w:p>
        </w:tc>
      </w:tr>
    </w:tbl>
    <w:p w:rsidR="00F315ED" w:rsidRPr="00490C75" w:rsidRDefault="00F315ED" w:rsidP="00F315ED">
      <w:pPr>
        <w:adjustRightInd w:val="0"/>
        <w:snapToGrid w:val="0"/>
        <w:spacing w:beforeLines="100" w:line="360" w:lineRule="auto"/>
        <w:jc w:val="center"/>
        <w:outlineLvl w:val="1"/>
        <w:rPr>
          <w:rFonts w:ascii="仿宋" w:eastAsia="仿宋" w:hAnsi="仿宋"/>
          <w:b/>
          <w:sz w:val="4"/>
          <w:szCs w:val="4"/>
        </w:rPr>
      </w:pPr>
    </w:p>
    <w:p w:rsidR="00474E72" w:rsidRPr="00F315ED" w:rsidRDefault="00474E72"/>
    <w:sectPr w:rsidR="00474E72" w:rsidRPr="00F31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E72" w:rsidRDefault="00474E72" w:rsidP="00F315ED">
      <w:r>
        <w:separator/>
      </w:r>
    </w:p>
  </w:endnote>
  <w:endnote w:type="continuationSeparator" w:id="1">
    <w:p w:rsidR="00474E72" w:rsidRDefault="00474E72" w:rsidP="00F315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E72" w:rsidRDefault="00474E72" w:rsidP="00F315ED">
      <w:r>
        <w:separator/>
      </w:r>
    </w:p>
  </w:footnote>
  <w:footnote w:type="continuationSeparator" w:id="1">
    <w:p w:rsidR="00474E72" w:rsidRDefault="00474E72" w:rsidP="00F315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5ED"/>
    <w:rsid w:val="00474E72"/>
    <w:rsid w:val="00F31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5E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5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5E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5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Nan</cp:lastModifiedBy>
  <cp:revision>2</cp:revision>
  <dcterms:created xsi:type="dcterms:W3CDTF">2015-01-20T03:06:00Z</dcterms:created>
  <dcterms:modified xsi:type="dcterms:W3CDTF">2015-01-20T03:06:00Z</dcterms:modified>
</cp:coreProperties>
</file>