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511" w:rsidRDefault="002B1511" w:rsidP="002B1511">
      <w:pPr>
        <w:autoSpaceDE w:val="0"/>
        <w:autoSpaceDN w:val="0"/>
        <w:adjustRightInd w:val="0"/>
        <w:snapToGrid w:val="0"/>
        <w:spacing w:line="360" w:lineRule="auto"/>
        <w:ind w:firstLineChars="200" w:firstLine="482"/>
        <w:jc w:val="center"/>
        <w:outlineLvl w:val="2"/>
        <w:rPr>
          <w:rFonts w:ascii="仿宋_GB2312" w:eastAsia="仿宋_GB2312" w:hAnsiTheme="minorEastAsia" w:cs="宋体"/>
          <w:b/>
          <w:sz w:val="24"/>
          <w:szCs w:val="24"/>
        </w:rPr>
      </w:pPr>
      <w:bookmarkStart w:id="0" w:name="_Toc391137711"/>
      <w:bookmarkStart w:id="1" w:name="_Toc391305150"/>
      <w:r w:rsidRPr="00B45D8D">
        <w:rPr>
          <w:rFonts w:ascii="仿宋_GB2312" w:eastAsia="仿宋_GB2312" w:hAnsiTheme="minorEastAsia" w:cs="宋体" w:hint="eastAsia"/>
          <w:b/>
          <w:sz w:val="24"/>
          <w:szCs w:val="24"/>
        </w:rPr>
        <w:t>单一项目暂行操作指引（放款前）</w:t>
      </w:r>
      <w:bookmarkEnd w:id="0"/>
      <w:bookmarkEnd w:id="1"/>
    </w:p>
    <w:p w:rsidR="002B1511" w:rsidRPr="00277406" w:rsidRDefault="002B1511" w:rsidP="002B1511">
      <w:pPr>
        <w:autoSpaceDE w:val="0"/>
        <w:autoSpaceDN w:val="0"/>
        <w:adjustRightInd w:val="0"/>
        <w:snapToGrid w:val="0"/>
        <w:spacing w:line="360" w:lineRule="auto"/>
        <w:ind w:firstLineChars="200" w:firstLine="420"/>
        <w:jc w:val="center"/>
        <w:outlineLvl w:val="2"/>
        <w:rPr>
          <w:rFonts w:ascii="楷体_GB2312" w:eastAsia="楷体_GB2312" w:hAnsiTheme="minorEastAsia" w:cs="宋体"/>
          <w:szCs w:val="24"/>
        </w:rPr>
      </w:pPr>
      <w:bookmarkStart w:id="2" w:name="_Toc391137712"/>
      <w:bookmarkStart w:id="3" w:name="_Toc391305151"/>
      <w:r w:rsidRPr="00277406">
        <w:rPr>
          <w:rFonts w:ascii="楷体_GB2312" w:eastAsia="楷体_GB2312" w:hAnsiTheme="minorEastAsia" w:cs="宋体" w:hint="eastAsia"/>
          <w:szCs w:val="24"/>
        </w:rPr>
        <w:t>（</w:t>
      </w:r>
      <w:r>
        <w:rPr>
          <w:rFonts w:ascii="楷体_GB2312" w:eastAsia="楷体_GB2312" w:hAnsiTheme="minorEastAsia" w:cs="宋体" w:hint="eastAsia"/>
          <w:szCs w:val="24"/>
        </w:rPr>
        <w:t>20</w:t>
      </w:r>
      <w:r w:rsidRPr="00277406">
        <w:rPr>
          <w:rFonts w:ascii="楷体_GB2312" w:eastAsia="楷体_GB2312" w:hAnsiTheme="minorEastAsia" w:cs="宋体" w:hint="eastAsia"/>
          <w:szCs w:val="24"/>
        </w:rPr>
        <w:t>14年5月21日经公司决策委员会审批通过）</w:t>
      </w:r>
      <w:bookmarkEnd w:id="2"/>
      <w:bookmarkEnd w:id="3"/>
    </w:p>
    <w:p w:rsidR="002B1511" w:rsidRPr="00B45D8D" w:rsidRDefault="002B1511" w:rsidP="002B1511">
      <w:pPr>
        <w:autoSpaceDE w:val="0"/>
        <w:autoSpaceDN w:val="0"/>
        <w:adjustRightInd w:val="0"/>
        <w:snapToGrid w:val="0"/>
        <w:spacing w:line="360" w:lineRule="auto"/>
        <w:ind w:firstLineChars="200" w:firstLine="482"/>
        <w:jc w:val="center"/>
        <w:rPr>
          <w:rFonts w:ascii="仿宋_GB2312" w:eastAsia="仿宋_GB2312" w:hAnsiTheme="minorEastAsia" w:cs="宋体"/>
          <w:b/>
          <w:sz w:val="24"/>
          <w:szCs w:val="24"/>
        </w:rPr>
      </w:pPr>
      <w:r w:rsidRPr="00B45D8D">
        <w:rPr>
          <w:rFonts w:ascii="仿宋_GB2312" w:eastAsia="仿宋_GB2312" w:hAnsiTheme="minorEastAsia" w:cs="宋体" w:hint="eastAsia"/>
          <w:b/>
          <w:sz w:val="24"/>
          <w:szCs w:val="24"/>
        </w:rPr>
        <w:t>第一章</w:t>
      </w:r>
      <w:r w:rsidRPr="00B45D8D">
        <w:rPr>
          <w:rFonts w:ascii="仿宋_GB2312" w:eastAsia="仿宋_GB2312" w:hAnsiTheme="minorEastAsia" w:cs="宋体" w:hint="eastAsia"/>
          <w:b/>
          <w:sz w:val="24"/>
          <w:szCs w:val="24"/>
        </w:rPr>
        <w:tab/>
        <w:t>总  则</w:t>
      </w:r>
    </w:p>
    <w:p w:rsidR="002B1511" w:rsidRPr="00B45D8D" w:rsidRDefault="002B1511" w:rsidP="002B1511">
      <w:pPr>
        <w:autoSpaceDE w:val="0"/>
        <w:autoSpaceDN w:val="0"/>
        <w:adjustRightInd w:val="0"/>
        <w:snapToGrid w:val="0"/>
        <w:spacing w:line="360" w:lineRule="auto"/>
        <w:ind w:firstLineChars="200" w:firstLine="482"/>
        <w:jc w:val="left"/>
        <w:rPr>
          <w:rFonts w:ascii="仿宋_GB2312" w:eastAsia="仿宋_GB2312" w:hAnsiTheme="minorEastAsia" w:cs="宋体"/>
          <w:sz w:val="24"/>
          <w:szCs w:val="24"/>
        </w:rPr>
      </w:pPr>
      <w:r w:rsidRPr="00B45D8D">
        <w:rPr>
          <w:rFonts w:ascii="仿宋_GB2312" w:eastAsia="仿宋_GB2312" w:hAnsiTheme="minorEastAsia" w:cs="宋体" w:hint="eastAsia"/>
          <w:b/>
          <w:sz w:val="24"/>
          <w:szCs w:val="24"/>
        </w:rPr>
        <w:t>第一条</w:t>
      </w:r>
      <w:r w:rsidRPr="00B45D8D">
        <w:rPr>
          <w:rFonts w:ascii="仿宋_GB2312" w:eastAsia="仿宋_GB2312" w:hAnsiTheme="minorEastAsia" w:cs="宋体" w:hint="eastAsia"/>
          <w:sz w:val="24"/>
          <w:szCs w:val="24"/>
        </w:rPr>
        <w:tab/>
        <w:t>为合法合规、高效有序地开展单一项目，特编制本操作指引。</w:t>
      </w:r>
    </w:p>
    <w:p w:rsidR="002B1511" w:rsidRPr="00B45D8D" w:rsidRDefault="002B1511" w:rsidP="002B1511">
      <w:pPr>
        <w:autoSpaceDE w:val="0"/>
        <w:autoSpaceDN w:val="0"/>
        <w:adjustRightInd w:val="0"/>
        <w:snapToGrid w:val="0"/>
        <w:spacing w:line="360" w:lineRule="auto"/>
        <w:ind w:firstLineChars="200" w:firstLine="482"/>
        <w:jc w:val="left"/>
        <w:rPr>
          <w:rFonts w:ascii="仿宋_GB2312" w:eastAsia="仿宋_GB2312" w:hAnsiTheme="minorEastAsia" w:cs="宋体"/>
          <w:sz w:val="24"/>
          <w:szCs w:val="24"/>
        </w:rPr>
      </w:pPr>
      <w:r w:rsidRPr="00B45D8D">
        <w:rPr>
          <w:rFonts w:ascii="仿宋_GB2312" w:eastAsia="仿宋_GB2312" w:hAnsiTheme="minorEastAsia" w:cs="宋体" w:hint="eastAsia"/>
          <w:b/>
          <w:sz w:val="24"/>
          <w:szCs w:val="24"/>
        </w:rPr>
        <w:t>第二条</w:t>
      </w:r>
      <w:r w:rsidRPr="00B45D8D">
        <w:rPr>
          <w:rFonts w:ascii="仿宋_GB2312" w:eastAsia="仿宋_GB2312" w:hAnsiTheme="minorEastAsia" w:cs="宋体" w:hint="eastAsia"/>
          <w:sz w:val="24"/>
          <w:szCs w:val="24"/>
        </w:rPr>
        <w:tab/>
        <w:t>本指引所称单一项目，是指公司接受单个委托人的委托，依据委托人确定的管理方式（指定用途），全部风险由委托人自行承担的业务。</w:t>
      </w:r>
    </w:p>
    <w:p w:rsidR="002B1511" w:rsidRPr="00B45D8D" w:rsidRDefault="002B1511" w:rsidP="002B1511">
      <w:pPr>
        <w:autoSpaceDE w:val="0"/>
        <w:autoSpaceDN w:val="0"/>
        <w:adjustRightInd w:val="0"/>
        <w:snapToGrid w:val="0"/>
        <w:spacing w:line="360" w:lineRule="auto"/>
        <w:ind w:firstLineChars="200" w:firstLine="482"/>
        <w:jc w:val="center"/>
        <w:rPr>
          <w:rFonts w:ascii="仿宋_GB2312" w:eastAsia="仿宋_GB2312" w:hAnsiTheme="minorEastAsia" w:cs="宋体"/>
          <w:b/>
          <w:sz w:val="24"/>
          <w:szCs w:val="24"/>
        </w:rPr>
      </w:pPr>
      <w:r w:rsidRPr="00B45D8D">
        <w:rPr>
          <w:rFonts w:ascii="仿宋_GB2312" w:eastAsia="仿宋_GB2312" w:hAnsiTheme="minorEastAsia" w:cs="宋体" w:hint="eastAsia"/>
          <w:b/>
          <w:sz w:val="24"/>
          <w:szCs w:val="24"/>
        </w:rPr>
        <w:t>第二章</w:t>
      </w:r>
      <w:r w:rsidRPr="00B45D8D">
        <w:rPr>
          <w:rFonts w:ascii="仿宋_GB2312" w:eastAsia="仿宋_GB2312" w:hAnsiTheme="minorEastAsia" w:cs="宋体" w:hint="eastAsia"/>
          <w:b/>
          <w:sz w:val="24"/>
          <w:szCs w:val="24"/>
        </w:rPr>
        <w:tab/>
        <w:t>业务部门尽调和自行审核</w:t>
      </w:r>
    </w:p>
    <w:p w:rsidR="002B1511" w:rsidRPr="00B45D8D" w:rsidRDefault="002B1511" w:rsidP="002B1511">
      <w:pPr>
        <w:autoSpaceDE w:val="0"/>
        <w:autoSpaceDN w:val="0"/>
        <w:adjustRightInd w:val="0"/>
        <w:snapToGrid w:val="0"/>
        <w:spacing w:line="360" w:lineRule="auto"/>
        <w:ind w:firstLineChars="200" w:firstLine="482"/>
        <w:jc w:val="left"/>
        <w:rPr>
          <w:rFonts w:ascii="仿宋_GB2312" w:eastAsia="仿宋_GB2312" w:hAnsiTheme="minorEastAsia" w:cs="宋体"/>
          <w:sz w:val="24"/>
          <w:szCs w:val="24"/>
        </w:rPr>
      </w:pPr>
      <w:r w:rsidRPr="00B45D8D">
        <w:rPr>
          <w:rFonts w:ascii="仿宋_GB2312" w:eastAsia="仿宋_GB2312" w:hAnsiTheme="minorEastAsia" w:cs="宋体" w:hint="eastAsia"/>
          <w:b/>
          <w:sz w:val="24"/>
          <w:szCs w:val="24"/>
        </w:rPr>
        <w:t>第三条</w:t>
      </w:r>
      <w:r w:rsidRPr="00B45D8D">
        <w:rPr>
          <w:rFonts w:ascii="仿宋_GB2312" w:eastAsia="仿宋_GB2312" w:hAnsiTheme="minorEastAsia" w:cs="宋体" w:hint="eastAsia"/>
          <w:sz w:val="24"/>
          <w:szCs w:val="24"/>
        </w:rPr>
        <w:tab/>
        <w:t>业务部门对项目进行尽职调查后,根据《单一项目合规审查标准（暂行）》（见附件1）对项目合规性进行自行审核。</w:t>
      </w:r>
    </w:p>
    <w:p w:rsidR="002B1511" w:rsidRPr="00B45D8D" w:rsidRDefault="002B1511" w:rsidP="002B1511">
      <w:pPr>
        <w:autoSpaceDE w:val="0"/>
        <w:autoSpaceDN w:val="0"/>
        <w:adjustRightInd w:val="0"/>
        <w:snapToGrid w:val="0"/>
        <w:spacing w:line="360" w:lineRule="auto"/>
        <w:ind w:firstLineChars="200" w:firstLine="482"/>
        <w:jc w:val="center"/>
        <w:rPr>
          <w:rFonts w:ascii="仿宋_GB2312" w:eastAsia="仿宋_GB2312" w:hAnsiTheme="minorEastAsia" w:cs="宋体"/>
          <w:b/>
          <w:sz w:val="24"/>
          <w:szCs w:val="24"/>
        </w:rPr>
      </w:pPr>
      <w:r w:rsidRPr="00B45D8D">
        <w:rPr>
          <w:rFonts w:ascii="仿宋_GB2312" w:eastAsia="仿宋_GB2312" w:hAnsiTheme="minorEastAsia" w:cs="宋体" w:hint="eastAsia"/>
          <w:b/>
          <w:sz w:val="24"/>
          <w:szCs w:val="24"/>
        </w:rPr>
        <w:t>第三章</w:t>
      </w:r>
      <w:r w:rsidRPr="00B45D8D">
        <w:rPr>
          <w:rFonts w:ascii="仿宋_GB2312" w:eastAsia="仿宋_GB2312" w:hAnsiTheme="minorEastAsia" w:cs="宋体" w:hint="eastAsia"/>
          <w:b/>
          <w:sz w:val="24"/>
          <w:szCs w:val="24"/>
        </w:rPr>
        <w:tab/>
        <w:t>信托立项和事前报告</w:t>
      </w:r>
    </w:p>
    <w:p w:rsidR="002B1511" w:rsidRPr="00B45D8D" w:rsidRDefault="002B1511" w:rsidP="002B1511">
      <w:pPr>
        <w:autoSpaceDE w:val="0"/>
        <w:autoSpaceDN w:val="0"/>
        <w:adjustRightInd w:val="0"/>
        <w:snapToGrid w:val="0"/>
        <w:spacing w:line="360" w:lineRule="auto"/>
        <w:ind w:firstLineChars="200" w:firstLine="482"/>
        <w:jc w:val="left"/>
        <w:rPr>
          <w:rFonts w:ascii="仿宋_GB2312" w:eastAsia="仿宋_GB2312" w:hAnsiTheme="minorEastAsia" w:cs="宋体"/>
          <w:sz w:val="24"/>
          <w:szCs w:val="24"/>
        </w:rPr>
      </w:pPr>
      <w:r w:rsidRPr="00B45D8D">
        <w:rPr>
          <w:rFonts w:ascii="仿宋_GB2312" w:eastAsia="仿宋_GB2312" w:hAnsiTheme="minorEastAsia" w:cs="宋体" w:hint="eastAsia"/>
          <w:b/>
          <w:sz w:val="24"/>
          <w:szCs w:val="24"/>
        </w:rPr>
        <w:t>第四条</w:t>
      </w:r>
      <w:r w:rsidRPr="00B45D8D">
        <w:rPr>
          <w:rFonts w:ascii="仿宋_GB2312" w:eastAsia="仿宋_GB2312" w:hAnsiTheme="minorEastAsia" w:cs="宋体" w:hint="eastAsia"/>
          <w:sz w:val="24"/>
          <w:szCs w:val="24"/>
        </w:rPr>
        <w:tab/>
        <w:t>项目经业务部门尽调和自行审核通过后，由业务经理发起项目审批流程。提交附件2《万向信托-XXX信托立项申请表暨尽调报告》）、相关材料扫描件（具体见附件3《单一信托立项申请需提供材料清单》）和附件4《信托公司固有业务、信托项目事前报告表》。</w:t>
      </w:r>
    </w:p>
    <w:p w:rsidR="002B1511" w:rsidRPr="00B45D8D" w:rsidRDefault="002B1511" w:rsidP="002B1511">
      <w:pPr>
        <w:autoSpaceDE w:val="0"/>
        <w:autoSpaceDN w:val="0"/>
        <w:adjustRightInd w:val="0"/>
        <w:snapToGrid w:val="0"/>
        <w:spacing w:line="360" w:lineRule="auto"/>
        <w:ind w:firstLineChars="200" w:firstLine="482"/>
        <w:jc w:val="left"/>
        <w:rPr>
          <w:rFonts w:ascii="仿宋_GB2312" w:eastAsia="仿宋_GB2312" w:hAnsiTheme="minorEastAsia" w:cs="宋体"/>
          <w:sz w:val="24"/>
          <w:szCs w:val="24"/>
        </w:rPr>
      </w:pPr>
      <w:r w:rsidRPr="00B45D8D">
        <w:rPr>
          <w:rFonts w:ascii="仿宋_GB2312" w:eastAsia="仿宋_GB2312" w:hAnsiTheme="minorEastAsia" w:cs="宋体" w:hint="eastAsia"/>
          <w:b/>
          <w:sz w:val="24"/>
          <w:szCs w:val="24"/>
        </w:rPr>
        <w:t>第五条</w:t>
      </w:r>
      <w:r w:rsidRPr="00B45D8D">
        <w:rPr>
          <w:rFonts w:ascii="仿宋_GB2312" w:eastAsia="仿宋_GB2312" w:hAnsiTheme="minorEastAsia" w:cs="宋体" w:hint="eastAsia"/>
          <w:sz w:val="24"/>
          <w:szCs w:val="24"/>
        </w:rPr>
        <w:tab/>
        <w:t>原则上放款前两个工作日向监管部门报备《信托公司固有业务、信托项目事前报告表》。在立项通过后，在管理部对《信托公司固有业务、信托项目事前报告表》用印、业务部门经办人员签字后，业务部门将该报告表交由分管高管签字确认。报告表由风险管理部向监管部门报备。</w:t>
      </w:r>
    </w:p>
    <w:p w:rsidR="002B1511" w:rsidRPr="00B45D8D" w:rsidRDefault="002B1511" w:rsidP="002B1511">
      <w:pPr>
        <w:autoSpaceDE w:val="0"/>
        <w:autoSpaceDN w:val="0"/>
        <w:adjustRightInd w:val="0"/>
        <w:snapToGrid w:val="0"/>
        <w:spacing w:line="360" w:lineRule="auto"/>
        <w:ind w:firstLineChars="200" w:firstLine="482"/>
        <w:jc w:val="center"/>
        <w:rPr>
          <w:rFonts w:ascii="仿宋_GB2312" w:eastAsia="仿宋_GB2312" w:hAnsiTheme="minorEastAsia" w:cs="宋体"/>
          <w:b/>
          <w:sz w:val="24"/>
          <w:szCs w:val="24"/>
        </w:rPr>
      </w:pPr>
      <w:r w:rsidRPr="00B45D8D">
        <w:rPr>
          <w:rFonts w:ascii="仿宋_GB2312" w:eastAsia="仿宋_GB2312" w:hAnsiTheme="minorEastAsia" w:cs="宋体" w:hint="eastAsia"/>
          <w:b/>
          <w:sz w:val="24"/>
          <w:szCs w:val="24"/>
        </w:rPr>
        <w:t>第四章法律文件管理</w:t>
      </w:r>
    </w:p>
    <w:p w:rsidR="002B1511" w:rsidRPr="00B45D8D" w:rsidRDefault="002B1511" w:rsidP="002B1511">
      <w:pPr>
        <w:autoSpaceDE w:val="0"/>
        <w:autoSpaceDN w:val="0"/>
        <w:adjustRightInd w:val="0"/>
        <w:snapToGrid w:val="0"/>
        <w:spacing w:line="360" w:lineRule="auto"/>
        <w:ind w:firstLineChars="200" w:firstLine="482"/>
        <w:jc w:val="left"/>
        <w:rPr>
          <w:rFonts w:ascii="仿宋_GB2312" w:eastAsia="仿宋_GB2312" w:hAnsiTheme="minorEastAsia" w:cs="宋体"/>
          <w:sz w:val="24"/>
          <w:szCs w:val="24"/>
        </w:rPr>
      </w:pPr>
      <w:r w:rsidRPr="00B45D8D">
        <w:rPr>
          <w:rFonts w:ascii="仿宋_GB2312" w:eastAsia="仿宋_GB2312" w:hAnsiTheme="minorEastAsia" w:cs="宋体" w:hint="eastAsia"/>
          <w:b/>
          <w:sz w:val="24"/>
          <w:szCs w:val="24"/>
        </w:rPr>
        <w:t>第六条</w:t>
      </w:r>
      <w:r w:rsidRPr="00B45D8D">
        <w:rPr>
          <w:rFonts w:ascii="仿宋_GB2312" w:eastAsia="仿宋_GB2312" w:hAnsiTheme="minorEastAsia" w:cs="宋体" w:hint="eastAsia"/>
          <w:sz w:val="24"/>
          <w:szCs w:val="24"/>
        </w:rPr>
        <w:tab/>
        <w:t>法律文件审批</w:t>
      </w:r>
    </w:p>
    <w:p w:rsidR="002B1511" w:rsidRPr="00B45D8D" w:rsidRDefault="002B1511" w:rsidP="002B1511">
      <w:pPr>
        <w:autoSpaceDE w:val="0"/>
        <w:autoSpaceDN w:val="0"/>
        <w:adjustRightInd w:val="0"/>
        <w:snapToGrid w:val="0"/>
        <w:spacing w:line="360" w:lineRule="auto"/>
        <w:ind w:firstLineChars="200" w:firstLine="480"/>
        <w:jc w:val="left"/>
        <w:rPr>
          <w:rFonts w:ascii="仿宋_GB2312" w:eastAsia="仿宋_GB2312" w:hAnsiTheme="minorEastAsia" w:cs="宋体"/>
          <w:sz w:val="24"/>
          <w:szCs w:val="24"/>
        </w:rPr>
      </w:pPr>
      <w:r w:rsidRPr="00B45D8D">
        <w:rPr>
          <w:rFonts w:ascii="仿宋_GB2312" w:eastAsia="仿宋_GB2312" w:hAnsiTheme="minorEastAsia" w:cs="宋体" w:hint="eastAsia"/>
          <w:sz w:val="24"/>
          <w:szCs w:val="24"/>
        </w:rPr>
        <w:t>业务经理与风险管理部法律合规经理沟通确定法律文件模板。业务经理根据法律合规经理提供的法律文件模板自行填写相关法律文件，并将填写完毕的法律文件初稿和合同要素表发送法律合规经理审核。</w:t>
      </w:r>
    </w:p>
    <w:p w:rsidR="002B1511" w:rsidRPr="00B45D8D" w:rsidRDefault="002B1511" w:rsidP="002B1511">
      <w:pPr>
        <w:autoSpaceDE w:val="0"/>
        <w:autoSpaceDN w:val="0"/>
        <w:adjustRightInd w:val="0"/>
        <w:snapToGrid w:val="0"/>
        <w:spacing w:line="360" w:lineRule="auto"/>
        <w:ind w:firstLineChars="200" w:firstLine="482"/>
        <w:jc w:val="left"/>
        <w:rPr>
          <w:rFonts w:ascii="仿宋_GB2312" w:eastAsia="仿宋_GB2312" w:hAnsiTheme="minorEastAsia" w:cs="宋体"/>
          <w:sz w:val="24"/>
          <w:szCs w:val="24"/>
        </w:rPr>
      </w:pPr>
      <w:r w:rsidRPr="00B45D8D">
        <w:rPr>
          <w:rFonts w:ascii="仿宋_GB2312" w:eastAsia="仿宋_GB2312" w:hAnsiTheme="minorEastAsia" w:cs="宋体" w:hint="eastAsia"/>
          <w:b/>
          <w:sz w:val="24"/>
          <w:szCs w:val="24"/>
        </w:rPr>
        <w:t>第七条</w:t>
      </w:r>
      <w:r w:rsidRPr="00B45D8D">
        <w:rPr>
          <w:rFonts w:ascii="仿宋_GB2312" w:eastAsia="仿宋_GB2312" w:hAnsiTheme="minorEastAsia" w:cs="宋体" w:hint="eastAsia"/>
          <w:sz w:val="24"/>
          <w:szCs w:val="24"/>
        </w:rPr>
        <w:tab/>
        <w:t>法律文件印刷用印</w:t>
      </w:r>
    </w:p>
    <w:p w:rsidR="002B1511" w:rsidRPr="00B45D8D" w:rsidRDefault="002B1511" w:rsidP="002B1511">
      <w:pPr>
        <w:autoSpaceDE w:val="0"/>
        <w:autoSpaceDN w:val="0"/>
        <w:adjustRightInd w:val="0"/>
        <w:snapToGrid w:val="0"/>
        <w:spacing w:line="360" w:lineRule="auto"/>
        <w:ind w:firstLineChars="200" w:firstLine="480"/>
        <w:jc w:val="left"/>
        <w:rPr>
          <w:rFonts w:ascii="仿宋_GB2312" w:eastAsia="仿宋_GB2312" w:hAnsiTheme="minorEastAsia" w:cs="宋体"/>
          <w:sz w:val="24"/>
          <w:szCs w:val="24"/>
        </w:rPr>
      </w:pPr>
      <w:r w:rsidRPr="00B45D8D">
        <w:rPr>
          <w:rFonts w:ascii="仿宋_GB2312" w:eastAsia="仿宋_GB2312" w:hAnsiTheme="minorEastAsia" w:cs="宋体" w:hint="eastAsia"/>
          <w:sz w:val="24"/>
          <w:szCs w:val="24"/>
        </w:rPr>
        <w:t>所有法律文件原则上应由我方印刷并一并盖章，如对方先行印刷的，则应由风险管理部法律合规经理核验后方可由我方用印。信托合同原则上应在抵质押手续办理完毕、相关法律文件原件已移交给风险管理部后方可用印。</w:t>
      </w:r>
    </w:p>
    <w:p w:rsidR="002B1511" w:rsidRPr="00B45D8D" w:rsidRDefault="002B1511" w:rsidP="002B1511">
      <w:pPr>
        <w:autoSpaceDE w:val="0"/>
        <w:autoSpaceDN w:val="0"/>
        <w:adjustRightInd w:val="0"/>
        <w:snapToGrid w:val="0"/>
        <w:spacing w:line="360" w:lineRule="auto"/>
        <w:ind w:firstLineChars="200" w:firstLine="482"/>
        <w:jc w:val="left"/>
        <w:rPr>
          <w:rFonts w:ascii="仿宋_GB2312" w:eastAsia="仿宋_GB2312" w:hAnsiTheme="minorEastAsia" w:cs="宋体"/>
          <w:sz w:val="24"/>
          <w:szCs w:val="24"/>
        </w:rPr>
      </w:pPr>
      <w:r w:rsidRPr="00B45D8D">
        <w:rPr>
          <w:rFonts w:ascii="仿宋_GB2312" w:eastAsia="仿宋_GB2312" w:hAnsiTheme="minorEastAsia" w:cs="宋体" w:hint="eastAsia"/>
          <w:b/>
          <w:sz w:val="24"/>
          <w:szCs w:val="24"/>
        </w:rPr>
        <w:t>第八条</w:t>
      </w:r>
      <w:r w:rsidRPr="00B45D8D">
        <w:rPr>
          <w:rFonts w:ascii="仿宋_GB2312" w:eastAsia="仿宋_GB2312" w:hAnsiTheme="minorEastAsia" w:cs="宋体" w:hint="eastAsia"/>
          <w:sz w:val="24"/>
          <w:szCs w:val="24"/>
        </w:rPr>
        <w:tab/>
        <w:t>相关法律文件签署流程</w:t>
      </w:r>
    </w:p>
    <w:p w:rsidR="002B1511" w:rsidRPr="00B45D8D" w:rsidRDefault="002B1511" w:rsidP="002B1511">
      <w:pPr>
        <w:autoSpaceDE w:val="0"/>
        <w:autoSpaceDN w:val="0"/>
        <w:adjustRightInd w:val="0"/>
        <w:snapToGrid w:val="0"/>
        <w:spacing w:line="360" w:lineRule="auto"/>
        <w:ind w:firstLineChars="200" w:firstLine="480"/>
        <w:jc w:val="left"/>
        <w:rPr>
          <w:rFonts w:ascii="仿宋_GB2312" w:eastAsia="仿宋_GB2312" w:hAnsiTheme="minorEastAsia" w:cs="宋体"/>
          <w:sz w:val="24"/>
          <w:szCs w:val="24"/>
        </w:rPr>
      </w:pPr>
      <w:r w:rsidRPr="00B45D8D">
        <w:rPr>
          <w:rFonts w:ascii="仿宋_GB2312" w:eastAsia="仿宋_GB2312" w:hAnsiTheme="minorEastAsia" w:cs="宋体" w:hint="eastAsia"/>
          <w:sz w:val="24"/>
          <w:szCs w:val="24"/>
        </w:rPr>
        <w:t>信托合同签署方为银行、券商、基金子公司的，该法律文件可在放款前进行扫描签或寄送签，但放款前必须取得扫描件。</w:t>
      </w:r>
    </w:p>
    <w:p w:rsidR="002B1511" w:rsidRPr="00B45D8D" w:rsidRDefault="002B1511" w:rsidP="002B1511">
      <w:pPr>
        <w:autoSpaceDE w:val="0"/>
        <w:autoSpaceDN w:val="0"/>
        <w:adjustRightInd w:val="0"/>
        <w:snapToGrid w:val="0"/>
        <w:spacing w:line="360" w:lineRule="auto"/>
        <w:ind w:firstLineChars="200" w:firstLine="480"/>
        <w:jc w:val="left"/>
        <w:rPr>
          <w:rFonts w:ascii="仿宋_GB2312" w:eastAsia="仿宋_GB2312" w:hAnsiTheme="minorEastAsia" w:cs="宋体"/>
          <w:sz w:val="24"/>
          <w:szCs w:val="24"/>
        </w:rPr>
      </w:pPr>
      <w:r w:rsidRPr="00B45D8D">
        <w:rPr>
          <w:rFonts w:ascii="仿宋_GB2312" w:eastAsia="仿宋_GB2312" w:hAnsiTheme="minorEastAsia" w:cs="宋体" w:hint="eastAsia"/>
          <w:sz w:val="24"/>
          <w:szCs w:val="24"/>
        </w:rPr>
        <w:lastRenderedPageBreak/>
        <w:t>为信托提供服务的相关协议（如财务顾问协议、保管协议、业务咨询服务协议）可在放款后进行签署，可采用寄送签的形式。</w:t>
      </w:r>
    </w:p>
    <w:p w:rsidR="002B1511" w:rsidRPr="00B45D8D" w:rsidRDefault="002B1511" w:rsidP="002B1511">
      <w:pPr>
        <w:autoSpaceDE w:val="0"/>
        <w:autoSpaceDN w:val="0"/>
        <w:adjustRightInd w:val="0"/>
        <w:snapToGrid w:val="0"/>
        <w:spacing w:line="360" w:lineRule="auto"/>
        <w:ind w:firstLineChars="200" w:firstLine="480"/>
        <w:jc w:val="left"/>
        <w:rPr>
          <w:rFonts w:ascii="仿宋_GB2312" w:eastAsia="仿宋_GB2312" w:hAnsiTheme="minorEastAsia" w:cs="宋体"/>
          <w:sz w:val="24"/>
          <w:szCs w:val="24"/>
        </w:rPr>
      </w:pPr>
      <w:r w:rsidRPr="00B45D8D">
        <w:rPr>
          <w:rFonts w:ascii="仿宋_GB2312" w:eastAsia="仿宋_GB2312" w:hAnsiTheme="minorEastAsia" w:cs="宋体" w:hint="eastAsia"/>
          <w:sz w:val="24"/>
          <w:szCs w:val="24"/>
        </w:rPr>
        <w:t>除以上情形外，所有其他法律文件须由业务经理在法律文件签署方经营场所进行面签。如法律文件签署方为自然人，业务经理必须核验该自然人的身份证。如为夫妻担保，还需核验结婚证。</w:t>
      </w:r>
    </w:p>
    <w:p w:rsidR="002B1511" w:rsidRPr="00B45D8D" w:rsidRDefault="002B1511" w:rsidP="002B1511">
      <w:pPr>
        <w:autoSpaceDE w:val="0"/>
        <w:autoSpaceDN w:val="0"/>
        <w:adjustRightInd w:val="0"/>
        <w:snapToGrid w:val="0"/>
        <w:spacing w:line="360" w:lineRule="auto"/>
        <w:ind w:firstLineChars="200" w:firstLine="482"/>
        <w:jc w:val="left"/>
        <w:rPr>
          <w:rFonts w:ascii="仿宋_GB2312" w:eastAsia="仿宋_GB2312" w:hAnsiTheme="minorEastAsia" w:cs="宋体"/>
          <w:sz w:val="24"/>
          <w:szCs w:val="24"/>
        </w:rPr>
      </w:pPr>
      <w:r w:rsidRPr="00B45D8D">
        <w:rPr>
          <w:rFonts w:ascii="仿宋_GB2312" w:eastAsia="仿宋_GB2312" w:hAnsiTheme="minorEastAsia" w:cs="宋体" w:hint="eastAsia"/>
          <w:b/>
          <w:sz w:val="24"/>
          <w:szCs w:val="24"/>
        </w:rPr>
        <w:t>第九条</w:t>
      </w:r>
      <w:r w:rsidRPr="00B45D8D">
        <w:rPr>
          <w:rFonts w:ascii="仿宋_GB2312" w:eastAsia="仿宋_GB2312" w:hAnsiTheme="minorEastAsia" w:cs="宋体" w:hint="eastAsia"/>
          <w:b/>
          <w:sz w:val="24"/>
          <w:szCs w:val="24"/>
        </w:rPr>
        <w:tab/>
      </w:r>
      <w:r w:rsidRPr="00B45D8D">
        <w:rPr>
          <w:rFonts w:ascii="仿宋_GB2312" w:eastAsia="仿宋_GB2312" w:hAnsiTheme="minorEastAsia" w:cs="宋体" w:hint="eastAsia"/>
          <w:sz w:val="24"/>
          <w:szCs w:val="24"/>
        </w:rPr>
        <w:t>法律文件原件移交及填写流程</w:t>
      </w:r>
    </w:p>
    <w:p w:rsidR="002B1511" w:rsidRPr="00B45D8D" w:rsidRDefault="002B1511" w:rsidP="002B1511">
      <w:pPr>
        <w:autoSpaceDE w:val="0"/>
        <w:autoSpaceDN w:val="0"/>
        <w:adjustRightInd w:val="0"/>
        <w:snapToGrid w:val="0"/>
        <w:spacing w:line="360" w:lineRule="auto"/>
        <w:ind w:firstLineChars="200" w:firstLine="480"/>
        <w:jc w:val="left"/>
        <w:rPr>
          <w:rFonts w:ascii="仿宋_GB2312" w:eastAsia="仿宋_GB2312" w:hAnsiTheme="minorEastAsia" w:cs="宋体"/>
          <w:sz w:val="24"/>
          <w:szCs w:val="24"/>
        </w:rPr>
      </w:pPr>
      <w:r w:rsidRPr="00B45D8D">
        <w:rPr>
          <w:rFonts w:ascii="仿宋_GB2312" w:eastAsia="仿宋_GB2312" w:hAnsiTheme="minorEastAsia" w:cs="宋体" w:hint="eastAsia"/>
          <w:sz w:val="24"/>
          <w:szCs w:val="24"/>
        </w:rPr>
        <w:t>在放款前，业务部门应将所有的法律文件的原件（如为扫描签，则应提交复印件）移交至风险管理部。</w:t>
      </w:r>
    </w:p>
    <w:p w:rsidR="002B1511" w:rsidRPr="00B45D8D" w:rsidRDefault="002B1511" w:rsidP="002B1511">
      <w:pPr>
        <w:autoSpaceDE w:val="0"/>
        <w:autoSpaceDN w:val="0"/>
        <w:adjustRightInd w:val="0"/>
        <w:snapToGrid w:val="0"/>
        <w:spacing w:line="360" w:lineRule="auto"/>
        <w:ind w:firstLineChars="200" w:firstLine="480"/>
        <w:jc w:val="left"/>
        <w:rPr>
          <w:rFonts w:ascii="仿宋_GB2312" w:eastAsia="仿宋_GB2312" w:hAnsiTheme="minorEastAsia" w:cs="宋体"/>
          <w:sz w:val="24"/>
          <w:szCs w:val="24"/>
        </w:rPr>
      </w:pPr>
      <w:r w:rsidRPr="00B45D8D">
        <w:rPr>
          <w:rFonts w:ascii="仿宋_GB2312" w:eastAsia="仿宋_GB2312" w:hAnsiTheme="minorEastAsia" w:cs="宋体" w:hint="eastAsia"/>
          <w:sz w:val="24"/>
          <w:szCs w:val="24"/>
        </w:rPr>
        <w:t>与银行或委托方的相关法律文件原件（如信托合同、财务顾问协议、保管协议、业务咨询服务协议）可在放款后5个工作日内取得。</w:t>
      </w:r>
    </w:p>
    <w:p w:rsidR="002B1511" w:rsidRPr="00B45D8D" w:rsidRDefault="002B1511" w:rsidP="002B1511">
      <w:pPr>
        <w:autoSpaceDE w:val="0"/>
        <w:autoSpaceDN w:val="0"/>
        <w:adjustRightInd w:val="0"/>
        <w:snapToGrid w:val="0"/>
        <w:spacing w:line="360" w:lineRule="auto"/>
        <w:ind w:firstLineChars="200" w:firstLine="482"/>
        <w:jc w:val="center"/>
        <w:rPr>
          <w:rFonts w:ascii="仿宋_GB2312" w:eastAsia="仿宋_GB2312" w:hAnsiTheme="minorEastAsia" w:cs="宋体"/>
          <w:b/>
          <w:sz w:val="24"/>
          <w:szCs w:val="24"/>
        </w:rPr>
      </w:pPr>
      <w:r w:rsidRPr="00B45D8D">
        <w:rPr>
          <w:rFonts w:ascii="仿宋_GB2312" w:eastAsia="仿宋_GB2312" w:hAnsiTheme="minorEastAsia" w:cs="宋体" w:hint="eastAsia"/>
          <w:b/>
          <w:sz w:val="24"/>
          <w:szCs w:val="24"/>
        </w:rPr>
        <w:t>第五章放款前抵质押、核保办理</w:t>
      </w:r>
    </w:p>
    <w:p w:rsidR="002B1511" w:rsidRPr="00B45D8D" w:rsidRDefault="002B1511" w:rsidP="002B1511">
      <w:pPr>
        <w:autoSpaceDE w:val="0"/>
        <w:autoSpaceDN w:val="0"/>
        <w:adjustRightInd w:val="0"/>
        <w:snapToGrid w:val="0"/>
        <w:spacing w:line="360" w:lineRule="auto"/>
        <w:ind w:firstLineChars="200" w:firstLine="482"/>
        <w:jc w:val="left"/>
        <w:rPr>
          <w:rFonts w:ascii="仿宋_GB2312" w:eastAsia="仿宋_GB2312" w:hAnsiTheme="minorEastAsia" w:cs="宋体"/>
          <w:sz w:val="24"/>
          <w:szCs w:val="24"/>
        </w:rPr>
      </w:pPr>
      <w:r w:rsidRPr="00B45D8D">
        <w:rPr>
          <w:rFonts w:ascii="仿宋_GB2312" w:eastAsia="仿宋_GB2312" w:hAnsiTheme="minorEastAsia" w:cs="宋体" w:hint="eastAsia"/>
          <w:b/>
          <w:sz w:val="24"/>
          <w:szCs w:val="24"/>
        </w:rPr>
        <w:t>第十条</w:t>
      </w:r>
      <w:r w:rsidRPr="00B45D8D">
        <w:rPr>
          <w:rFonts w:ascii="仿宋_GB2312" w:eastAsia="仿宋_GB2312" w:hAnsiTheme="minorEastAsia" w:cs="宋体" w:hint="eastAsia"/>
          <w:b/>
          <w:sz w:val="24"/>
          <w:szCs w:val="24"/>
        </w:rPr>
        <w:tab/>
      </w:r>
      <w:r w:rsidRPr="00B45D8D">
        <w:rPr>
          <w:rFonts w:ascii="仿宋_GB2312" w:eastAsia="仿宋_GB2312" w:hAnsiTheme="minorEastAsia" w:cs="宋体" w:hint="eastAsia"/>
          <w:sz w:val="24"/>
          <w:szCs w:val="24"/>
        </w:rPr>
        <w:t>抵质押物材料审批流程</w:t>
      </w:r>
    </w:p>
    <w:p w:rsidR="002B1511" w:rsidRPr="00B45D8D" w:rsidRDefault="002B1511" w:rsidP="002B1511">
      <w:pPr>
        <w:autoSpaceDE w:val="0"/>
        <w:autoSpaceDN w:val="0"/>
        <w:adjustRightInd w:val="0"/>
        <w:snapToGrid w:val="0"/>
        <w:spacing w:line="360" w:lineRule="auto"/>
        <w:ind w:firstLineChars="200" w:firstLine="480"/>
        <w:jc w:val="left"/>
        <w:rPr>
          <w:rFonts w:ascii="仿宋_GB2312" w:eastAsia="仿宋_GB2312" w:hAnsiTheme="minorEastAsia" w:cs="宋体"/>
          <w:sz w:val="24"/>
          <w:szCs w:val="24"/>
        </w:rPr>
      </w:pPr>
      <w:r w:rsidRPr="00B45D8D">
        <w:rPr>
          <w:rFonts w:ascii="仿宋_GB2312" w:eastAsia="仿宋_GB2312" w:hAnsiTheme="minorEastAsia" w:cs="宋体" w:hint="eastAsia"/>
          <w:sz w:val="24"/>
          <w:szCs w:val="24"/>
        </w:rPr>
        <w:t>在发起信托立项流程的同时，业务经理即可发起用印流程。抵质押物材料中抵押权人信息必须填写完整。</w:t>
      </w:r>
    </w:p>
    <w:p w:rsidR="002B1511" w:rsidRPr="00B45D8D" w:rsidRDefault="002B1511" w:rsidP="002B1511">
      <w:pPr>
        <w:autoSpaceDE w:val="0"/>
        <w:autoSpaceDN w:val="0"/>
        <w:adjustRightInd w:val="0"/>
        <w:snapToGrid w:val="0"/>
        <w:spacing w:line="360" w:lineRule="auto"/>
        <w:ind w:firstLineChars="200" w:firstLine="482"/>
        <w:jc w:val="left"/>
        <w:rPr>
          <w:rFonts w:ascii="仿宋_GB2312" w:eastAsia="仿宋_GB2312" w:hAnsiTheme="minorEastAsia" w:cs="宋体"/>
          <w:sz w:val="24"/>
          <w:szCs w:val="24"/>
        </w:rPr>
      </w:pPr>
      <w:r w:rsidRPr="00B45D8D">
        <w:rPr>
          <w:rFonts w:ascii="仿宋_GB2312" w:eastAsia="仿宋_GB2312" w:hAnsiTheme="minorEastAsia" w:cs="宋体" w:hint="eastAsia"/>
          <w:b/>
          <w:sz w:val="24"/>
          <w:szCs w:val="24"/>
        </w:rPr>
        <w:t>第十一条</w:t>
      </w:r>
      <w:r w:rsidRPr="00B45D8D">
        <w:rPr>
          <w:rFonts w:ascii="仿宋_GB2312" w:eastAsia="仿宋_GB2312" w:hAnsiTheme="minorEastAsia" w:cs="宋体" w:hint="eastAsia"/>
          <w:b/>
          <w:sz w:val="24"/>
          <w:szCs w:val="24"/>
        </w:rPr>
        <w:tab/>
      </w:r>
      <w:r w:rsidRPr="00B45D8D">
        <w:rPr>
          <w:rFonts w:ascii="仿宋_GB2312" w:eastAsia="仿宋_GB2312" w:hAnsiTheme="minorEastAsia" w:cs="宋体" w:hint="eastAsia"/>
          <w:sz w:val="24"/>
          <w:szCs w:val="24"/>
        </w:rPr>
        <w:t>抵质押手续办理及入库</w:t>
      </w:r>
    </w:p>
    <w:p w:rsidR="002B1511" w:rsidRPr="00B45D8D" w:rsidRDefault="002B1511" w:rsidP="002B1511">
      <w:pPr>
        <w:autoSpaceDE w:val="0"/>
        <w:autoSpaceDN w:val="0"/>
        <w:adjustRightInd w:val="0"/>
        <w:snapToGrid w:val="0"/>
        <w:spacing w:line="360" w:lineRule="auto"/>
        <w:ind w:firstLineChars="200" w:firstLine="480"/>
        <w:jc w:val="left"/>
        <w:rPr>
          <w:rFonts w:ascii="仿宋_GB2312" w:eastAsia="仿宋_GB2312" w:hAnsiTheme="minorEastAsia" w:cs="宋体"/>
          <w:sz w:val="24"/>
          <w:szCs w:val="24"/>
        </w:rPr>
      </w:pPr>
      <w:r w:rsidRPr="00B45D8D">
        <w:rPr>
          <w:rFonts w:ascii="仿宋_GB2312" w:eastAsia="仿宋_GB2312" w:hAnsiTheme="minorEastAsia" w:cs="宋体" w:hint="eastAsia"/>
          <w:sz w:val="24"/>
          <w:szCs w:val="24"/>
        </w:rPr>
        <w:t>抵质押相关手续由业务部门负责办理。相关证书由风险管理部门人员现场从登记机构办公场所中取出。相关证书由风险管理部门人员持有并办理抵质押物入库手续。</w:t>
      </w:r>
    </w:p>
    <w:p w:rsidR="002B1511" w:rsidRPr="00B45D8D" w:rsidRDefault="002B1511" w:rsidP="002B1511">
      <w:pPr>
        <w:autoSpaceDE w:val="0"/>
        <w:autoSpaceDN w:val="0"/>
        <w:adjustRightInd w:val="0"/>
        <w:snapToGrid w:val="0"/>
        <w:spacing w:line="360" w:lineRule="auto"/>
        <w:ind w:firstLineChars="200" w:firstLine="480"/>
        <w:jc w:val="left"/>
        <w:rPr>
          <w:rFonts w:ascii="仿宋_GB2312" w:eastAsia="仿宋_GB2312" w:hAnsiTheme="minorEastAsia" w:cs="宋体"/>
          <w:sz w:val="24"/>
          <w:szCs w:val="24"/>
        </w:rPr>
      </w:pPr>
      <w:r w:rsidRPr="00B45D8D">
        <w:rPr>
          <w:rFonts w:ascii="仿宋_GB2312" w:eastAsia="仿宋_GB2312" w:hAnsiTheme="minorEastAsia" w:cs="宋体" w:hint="eastAsia"/>
          <w:sz w:val="24"/>
          <w:szCs w:val="24"/>
        </w:rPr>
        <w:t>存单质押时，存单原件可由银行保管，但我司应取得存单复印件加盖银行公章。</w:t>
      </w:r>
    </w:p>
    <w:p w:rsidR="002B1511" w:rsidRPr="00B45D8D" w:rsidRDefault="002B1511" w:rsidP="002B1511">
      <w:pPr>
        <w:autoSpaceDE w:val="0"/>
        <w:autoSpaceDN w:val="0"/>
        <w:adjustRightInd w:val="0"/>
        <w:snapToGrid w:val="0"/>
        <w:spacing w:line="360" w:lineRule="auto"/>
        <w:ind w:firstLineChars="200" w:firstLine="482"/>
        <w:jc w:val="left"/>
        <w:rPr>
          <w:rFonts w:ascii="仿宋_GB2312" w:eastAsia="仿宋_GB2312" w:hAnsiTheme="minorEastAsia" w:cs="宋体"/>
          <w:sz w:val="24"/>
          <w:szCs w:val="24"/>
        </w:rPr>
      </w:pPr>
      <w:r w:rsidRPr="00B45D8D">
        <w:rPr>
          <w:rFonts w:ascii="仿宋_GB2312" w:eastAsia="仿宋_GB2312" w:hAnsiTheme="minorEastAsia" w:cs="宋体" w:hint="eastAsia"/>
          <w:b/>
          <w:sz w:val="24"/>
          <w:szCs w:val="24"/>
        </w:rPr>
        <w:t>第十二条</w:t>
      </w:r>
      <w:r w:rsidRPr="00B45D8D">
        <w:rPr>
          <w:rFonts w:ascii="仿宋_GB2312" w:eastAsia="仿宋_GB2312" w:hAnsiTheme="minorEastAsia" w:cs="宋体" w:hint="eastAsia"/>
          <w:b/>
          <w:sz w:val="24"/>
          <w:szCs w:val="24"/>
        </w:rPr>
        <w:tab/>
      </w:r>
      <w:r w:rsidRPr="00B45D8D">
        <w:rPr>
          <w:rFonts w:ascii="仿宋_GB2312" w:eastAsia="仿宋_GB2312" w:hAnsiTheme="minorEastAsia" w:cs="宋体" w:hint="eastAsia"/>
          <w:sz w:val="24"/>
          <w:szCs w:val="24"/>
        </w:rPr>
        <w:t>核保手续办理</w:t>
      </w:r>
    </w:p>
    <w:p w:rsidR="002B1511" w:rsidRPr="00B45D8D" w:rsidRDefault="002B1511" w:rsidP="002B1511">
      <w:pPr>
        <w:autoSpaceDE w:val="0"/>
        <w:autoSpaceDN w:val="0"/>
        <w:adjustRightInd w:val="0"/>
        <w:snapToGrid w:val="0"/>
        <w:spacing w:line="360" w:lineRule="auto"/>
        <w:ind w:firstLineChars="200" w:firstLine="480"/>
        <w:jc w:val="left"/>
        <w:rPr>
          <w:rFonts w:ascii="仿宋_GB2312" w:eastAsia="仿宋_GB2312" w:hAnsiTheme="minorEastAsia" w:cs="宋体"/>
          <w:sz w:val="24"/>
          <w:szCs w:val="24"/>
        </w:rPr>
      </w:pPr>
      <w:r w:rsidRPr="00B45D8D">
        <w:rPr>
          <w:rFonts w:ascii="仿宋_GB2312" w:eastAsia="仿宋_GB2312" w:hAnsiTheme="minorEastAsia" w:cs="宋体" w:hint="eastAsia"/>
          <w:sz w:val="24"/>
          <w:szCs w:val="24"/>
        </w:rPr>
        <w:t>核保手续即核验担保的真实性，原则上放款前须办理完毕核保手续。</w:t>
      </w:r>
    </w:p>
    <w:p w:rsidR="002B1511" w:rsidRPr="00B45D8D" w:rsidRDefault="002B1511" w:rsidP="002B1511">
      <w:pPr>
        <w:autoSpaceDE w:val="0"/>
        <w:autoSpaceDN w:val="0"/>
        <w:adjustRightInd w:val="0"/>
        <w:snapToGrid w:val="0"/>
        <w:spacing w:line="360" w:lineRule="auto"/>
        <w:ind w:firstLineChars="200" w:firstLine="480"/>
        <w:jc w:val="left"/>
        <w:rPr>
          <w:rFonts w:ascii="仿宋_GB2312" w:eastAsia="仿宋_GB2312" w:hAnsiTheme="minorEastAsia" w:cs="宋体"/>
          <w:sz w:val="24"/>
          <w:szCs w:val="24"/>
        </w:rPr>
      </w:pPr>
      <w:r w:rsidRPr="00B45D8D">
        <w:rPr>
          <w:rFonts w:ascii="仿宋_GB2312" w:eastAsia="仿宋_GB2312" w:hAnsiTheme="minorEastAsia" w:cs="宋体" w:hint="eastAsia"/>
          <w:sz w:val="24"/>
          <w:szCs w:val="24"/>
        </w:rPr>
        <w:t>相关核保单由风险管理部制作。风险管理部人员和业务经理应现场核验签字人身份证原件并要求签字人签署核保单。</w:t>
      </w:r>
    </w:p>
    <w:p w:rsidR="002B1511" w:rsidRPr="00B45D8D" w:rsidRDefault="002B1511" w:rsidP="002B1511">
      <w:pPr>
        <w:autoSpaceDE w:val="0"/>
        <w:autoSpaceDN w:val="0"/>
        <w:adjustRightInd w:val="0"/>
        <w:snapToGrid w:val="0"/>
        <w:spacing w:line="360" w:lineRule="auto"/>
        <w:ind w:firstLineChars="200" w:firstLine="482"/>
        <w:jc w:val="center"/>
        <w:rPr>
          <w:rFonts w:ascii="仿宋_GB2312" w:eastAsia="仿宋_GB2312" w:hAnsiTheme="minorEastAsia" w:cs="宋体"/>
          <w:b/>
          <w:sz w:val="24"/>
          <w:szCs w:val="24"/>
        </w:rPr>
      </w:pPr>
      <w:r w:rsidRPr="00B45D8D">
        <w:rPr>
          <w:rFonts w:ascii="仿宋_GB2312" w:eastAsia="仿宋_GB2312" w:hAnsiTheme="minorEastAsia" w:cs="宋体" w:hint="eastAsia"/>
          <w:b/>
          <w:sz w:val="24"/>
          <w:szCs w:val="24"/>
        </w:rPr>
        <w:t>第六章资料收集和征信录入</w:t>
      </w:r>
    </w:p>
    <w:p w:rsidR="002B1511" w:rsidRPr="00B45D8D" w:rsidRDefault="002B1511" w:rsidP="002B1511">
      <w:pPr>
        <w:autoSpaceDE w:val="0"/>
        <w:autoSpaceDN w:val="0"/>
        <w:adjustRightInd w:val="0"/>
        <w:snapToGrid w:val="0"/>
        <w:spacing w:line="360" w:lineRule="auto"/>
        <w:ind w:firstLineChars="200" w:firstLine="482"/>
        <w:jc w:val="left"/>
        <w:rPr>
          <w:rFonts w:ascii="仿宋_GB2312" w:eastAsia="仿宋_GB2312" w:hAnsiTheme="minorEastAsia" w:cs="宋体"/>
          <w:sz w:val="24"/>
          <w:szCs w:val="24"/>
        </w:rPr>
      </w:pPr>
      <w:r w:rsidRPr="00B45D8D">
        <w:rPr>
          <w:rFonts w:ascii="仿宋_GB2312" w:eastAsia="仿宋_GB2312" w:hAnsiTheme="minorEastAsia" w:cs="宋体" w:hint="eastAsia"/>
          <w:b/>
          <w:sz w:val="24"/>
          <w:szCs w:val="24"/>
        </w:rPr>
        <w:t>第十三条</w:t>
      </w:r>
      <w:r w:rsidRPr="00B45D8D">
        <w:rPr>
          <w:rFonts w:ascii="仿宋_GB2312" w:eastAsia="仿宋_GB2312" w:hAnsiTheme="minorEastAsia" w:cs="宋体" w:hint="eastAsia"/>
          <w:sz w:val="24"/>
          <w:szCs w:val="24"/>
        </w:rPr>
        <w:tab/>
        <w:t>立项流程中资料提供</w:t>
      </w:r>
    </w:p>
    <w:p w:rsidR="002B1511" w:rsidRPr="00B45D8D" w:rsidRDefault="002B1511" w:rsidP="002B1511">
      <w:pPr>
        <w:autoSpaceDE w:val="0"/>
        <w:autoSpaceDN w:val="0"/>
        <w:adjustRightInd w:val="0"/>
        <w:snapToGrid w:val="0"/>
        <w:spacing w:line="360" w:lineRule="auto"/>
        <w:ind w:firstLineChars="200" w:firstLine="480"/>
        <w:jc w:val="left"/>
        <w:rPr>
          <w:rFonts w:ascii="仿宋_GB2312" w:eastAsia="仿宋_GB2312" w:hAnsiTheme="minorEastAsia" w:cs="宋体"/>
          <w:sz w:val="24"/>
          <w:szCs w:val="24"/>
        </w:rPr>
      </w:pPr>
      <w:r w:rsidRPr="00B45D8D">
        <w:rPr>
          <w:rFonts w:ascii="仿宋_GB2312" w:eastAsia="仿宋_GB2312" w:hAnsiTheme="minorEastAsia" w:cs="宋体" w:hint="eastAsia"/>
          <w:sz w:val="24"/>
          <w:szCs w:val="24"/>
        </w:rPr>
        <w:t>在立项流程中，业务部门应提供部分资料的扫描件。</w:t>
      </w:r>
    </w:p>
    <w:p w:rsidR="002B1511" w:rsidRPr="00B45D8D" w:rsidRDefault="002B1511" w:rsidP="002B1511">
      <w:pPr>
        <w:autoSpaceDE w:val="0"/>
        <w:autoSpaceDN w:val="0"/>
        <w:adjustRightInd w:val="0"/>
        <w:snapToGrid w:val="0"/>
        <w:spacing w:line="360" w:lineRule="auto"/>
        <w:ind w:firstLineChars="200" w:firstLine="482"/>
        <w:jc w:val="left"/>
        <w:rPr>
          <w:rFonts w:ascii="仿宋_GB2312" w:eastAsia="仿宋_GB2312" w:hAnsiTheme="minorEastAsia" w:cs="宋体"/>
          <w:sz w:val="24"/>
          <w:szCs w:val="24"/>
        </w:rPr>
      </w:pPr>
      <w:r w:rsidRPr="00B45D8D">
        <w:rPr>
          <w:rFonts w:ascii="仿宋_GB2312" w:eastAsia="仿宋_GB2312" w:hAnsiTheme="minorEastAsia" w:cs="宋体" w:hint="eastAsia"/>
          <w:b/>
          <w:sz w:val="24"/>
          <w:szCs w:val="24"/>
        </w:rPr>
        <w:t>第十四条</w:t>
      </w:r>
      <w:r w:rsidRPr="00B45D8D">
        <w:rPr>
          <w:rFonts w:ascii="仿宋_GB2312" w:eastAsia="仿宋_GB2312" w:hAnsiTheme="minorEastAsia" w:cs="宋体" w:hint="eastAsia"/>
          <w:sz w:val="24"/>
          <w:szCs w:val="24"/>
        </w:rPr>
        <w:tab/>
        <w:t>放款前资料提供</w:t>
      </w:r>
    </w:p>
    <w:p w:rsidR="002B1511" w:rsidRPr="00B45D8D" w:rsidRDefault="002B1511" w:rsidP="002B1511">
      <w:pPr>
        <w:autoSpaceDE w:val="0"/>
        <w:autoSpaceDN w:val="0"/>
        <w:adjustRightInd w:val="0"/>
        <w:snapToGrid w:val="0"/>
        <w:spacing w:line="360" w:lineRule="auto"/>
        <w:ind w:firstLineChars="200" w:firstLine="480"/>
        <w:jc w:val="left"/>
        <w:rPr>
          <w:rFonts w:ascii="仿宋_GB2312" w:eastAsia="仿宋_GB2312" w:hAnsiTheme="minorEastAsia" w:cs="宋体"/>
          <w:sz w:val="24"/>
          <w:szCs w:val="24"/>
        </w:rPr>
      </w:pPr>
      <w:r w:rsidRPr="00B45D8D">
        <w:rPr>
          <w:rFonts w:ascii="仿宋_GB2312" w:eastAsia="仿宋_GB2312" w:hAnsiTheme="minorEastAsia" w:cs="宋体" w:hint="eastAsia"/>
          <w:sz w:val="24"/>
          <w:szCs w:val="24"/>
        </w:rPr>
        <w:t>在放款前，业务部门应向风险管理部提交《万向信托-XXX信托立项申请表暨尽调报告》、《信托公司固有业务、信托项目事前报告表》，根据《单一项目资料</w:t>
      </w:r>
      <w:r w:rsidRPr="00B45D8D">
        <w:rPr>
          <w:rFonts w:ascii="仿宋_GB2312" w:eastAsia="仿宋_GB2312" w:hAnsiTheme="minorEastAsia" w:cs="宋体" w:hint="eastAsia"/>
          <w:sz w:val="24"/>
          <w:szCs w:val="24"/>
        </w:rPr>
        <w:lastRenderedPageBreak/>
        <w:t>清单》（见附件5）向风险管理部提供全套资料的原件（如为复印件须加盖提供方的公章）。如业务部门在放款前无法取得纸质版文件，需提交已加盖提供方公章的资料扫描件，并应向风险管理部承诺在放款后5个工作日内需取得纸质版文件（承诺书由业务经办人员签字确认）。</w:t>
      </w:r>
    </w:p>
    <w:p w:rsidR="002B1511" w:rsidRPr="00B45D8D" w:rsidRDefault="002B1511" w:rsidP="002B1511">
      <w:pPr>
        <w:autoSpaceDE w:val="0"/>
        <w:autoSpaceDN w:val="0"/>
        <w:adjustRightInd w:val="0"/>
        <w:snapToGrid w:val="0"/>
        <w:spacing w:line="360" w:lineRule="auto"/>
        <w:ind w:firstLineChars="200" w:firstLine="482"/>
        <w:jc w:val="left"/>
        <w:rPr>
          <w:rFonts w:ascii="仿宋_GB2312" w:eastAsia="仿宋_GB2312" w:hAnsiTheme="minorEastAsia" w:cs="宋体"/>
          <w:sz w:val="24"/>
          <w:szCs w:val="24"/>
        </w:rPr>
      </w:pPr>
      <w:r w:rsidRPr="00B45D8D">
        <w:rPr>
          <w:rFonts w:ascii="仿宋_GB2312" w:eastAsia="仿宋_GB2312" w:hAnsiTheme="minorEastAsia" w:cs="宋体" w:hint="eastAsia"/>
          <w:b/>
          <w:sz w:val="24"/>
          <w:szCs w:val="24"/>
        </w:rPr>
        <w:t>第十五条</w:t>
      </w:r>
      <w:r w:rsidRPr="00B45D8D">
        <w:rPr>
          <w:rFonts w:ascii="仿宋_GB2312" w:eastAsia="仿宋_GB2312" w:hAnsiTheme="minorEastAsia" w:cs="宋体" w:hint="eastAsia"/>
          <w:sz w:val="24"/>
          <w:szCs w:val="24"/>
        </w:rPr>
        <w:tab/>
        <w:t>征信录入</w:t>
      </w:r>
    </w:p>
    <w:p w:rsidR="002B1511" w:rsidRPr="00B45D8D" w:rsidRDefault="002B1511" w:rsidP="002B1511">
      <w:pPr>
        <w:autoSpaceDE w:val="0"/>
        <w:autoSpaceDN w:val="0"/>
        <w:adjustRightInd w:val="0"/>
        <w:snapToGrid w:val="0"/>
        <w:spacing w:line="360" w:lineRule="auto"/>
        <w:ind w:firstLineChars="200" w:firstLine="480"/>
        <w:jc w:val="left"/>
        <w:rPr>
          <w:rFonts w:ascii="仿宋_GB2312" w:eastAsia="仿宋_GB2312" w:hAnsiTheme="minorEastAsia" w:cs="宋体"/>
          <w:sz w:val="24"/>
          <w:szCs w:val="24"/>
        </w:rPr>
      </w:pPr>
      <w:r w:rsidRPr="00B45D8D">
        <w:rPr>
          <w:rFonts w:ascii="仿宋_GB2312" w:eastAsia="仿宋_GB2312" w:hAnsiTheme="minorEastAsia" w:cs="宋体" w:hint="eastAsia"/>
          <w:sz w:val="24"/>
          <w:szCs w:val="24"/>
        </w:rPr>
        <w:t>放款后，业务经理应根据征信录入要求，在规定的时间内完成征信录入工作。</w:t>
      </w:r>
    </w:p>
    <w:p w:rsidR="002B1511" w:rsidRPr="00B45D8D" w:rsidRDefault="002B1511" w:rsidP="002B1511">
      <w:pPr>
        <w:autoSpaceDE w:val="0"/>
        <w:autoSpaceDN w:val="0"/>
        <w:adjustRightInd w:val="0"/>
        <w:snapToGrid w:val="0"/>
        <w:spacing w:line="360" w:lineRule="auto"/>
        <w:ind w:firstLineChars="200" w:firstLine="482"/>
        <w:jc w:val="center"/>
        <w:rPr>
          <w:rFonts w:ascii="仿宋_GB2312" w:eastAsia="仿宋_GB2312" w:hAnsiTheme="minorEastAsia" w:cs="宋体"/>
          <w:b/>
          <w:sz w:val="24"/>
          <w:szCs w:val="24"/>
        </w:rPr>
      </w:pPr>
      <w:r w:rsidRPr="00B45D8D">
        <w:rPr>
          <w:rFonts w:ascii="仿宋_GB2312" w:eastAsia="仿宋_GB2312" w:hAnsiTheme="minorEastAsia" w:cs="宋体" w:hint="eastAsia"/>
          <w:b/>
          <w:sz w:val="24"/>
          <w:szCs w:val="24"/>
        </w:rPr>
        <w:t>第七章</w:t>
      </w:r>
      <w:r w:rsidRPr="00B45D8D">
        <w:rPr>
          <w:rFonts w:ascii="仿宋_GB2312" w:eastAsia="仿宋_GB2312" w:hAnsiTheme="minorEastAsia" w:cs="宋体" w:hint="eastAsia"/>
          <w:b/>
          <w:sz w:val="24"/>
          <w:szCs w:val="24"/>
        </w:rPr>
        <w:tab/>
        <w:t>相关决议文件的取得</w:t>
      </w:r>
    </w:p>
    <w:p w:rsidR="002B1511" w:rsidRPr="00B45D8D" w:rsidRDefault="002B1511" w:rsidP="002B1511">
      <w:pPr>
        <w:autoSpaceDE w:val="0"/>
        <w:autoSpaceDN w:val="0"/>
        <w:adjustRightInd w:val="0"/>
        <w:snapToGrid w:val="0"/>
        <w:spacing w:line="360" w:lineRule="auto"/>
        <w:ind w:firstLineChars="200" w:firstLine="482"/>
        <w:jc w:val="left"/>
        <w:rPr>
          <w:rFonts w:ascii="仿宋_GB2312" w:eastAsia="仿宋_GB2312" w:hAnsiTheme="minorEastAsia" w:cs="宋体"/>
          <w:sz w:val="24"/>
          <w:szCs w:val="24"/>
        </w:rPr>
      </w:pPr>
      <w:r w:rsidRPr="00B45D8D">
        <w:rPr>
          <w:rFonts w:ascii="仿宋_GB2312" w:eastAsia="仿宋_GB2312" w:hAnsiTheme="minorEastAsia" w:cs="宋体" w:hint="eastAsia"/>
          <w:b/>
          <w:sz w:val="24"/>
          <w:szCs w:val="24"/>
        </w:rPr>
        <w:t>第十六条</w:t>
      </w:r>
      <w:r w:rsidRPr="00B45D8D">
        <w:rPr>
          <w:rFonts w:ascii="仿宋_GB2312" w:eastAsia="仿宋_GB2312" w:hAnsiTheme="minorEastAsia" w:cs="宋体" w:hint="eastAsia"/>
          <w:sz w:val="24"/>
          <w:szCs w:val="24"/>
        </w:rPr>
        <w:tab/>
        <w:t>业务部门须根据公司章程和《单一项目决议文件出具指引》（见附件6）要求交易对手提供决议文件。业务部门需在放款前向风险管理部提供决议文件的原件。</w:t>
      </w:r>
    </w:p>
    <w:p w:rsidR="002B1511" w:rsidRPr="00B45D8D" w:rsidRDefault="002B1511" w:rsidP="002B1511">
      <w:pPr>
        <w:autoSpaceDE w:val="0"/>
        <w:autoSpaceDN w:val="0"/>
        <w:adjustRightInd w:val="0"/>
        <w:snapToGrid w:val="0"/>
        <w:spacing w:line="360" w:lineRule="auto"/>
        <w:ind w:firstLineChars="200" w:firstLine="482"/>
        <w:jc w:val="center"/>
        <w:rPr>
          <w:rFonts w:ascii="仿宋_GB2312" w:eastAsia="仿宋_GB2312" w:hAnsiTheme="minorEastAsia" w:cs="宋体"/>
          <w:b/>
          <w:sz w:val="24"/>
          <w:szCs w:val="24"/>
        </w:rPr>
      </w:pPr>
      <w:r w:rsidRPr="00B45D8D">
        <w:rPr>
          <w:rFonts w:ascii="仿宋_GB2312" w:eastAsia="仿宋_GB2312" w:hAnsiTheme="minorEastAsia" w:cs="宋体" w:hint="eastAsia"/>
          <w:b/>
          <w:sz w:val="24"/>
          <w:szCs w:val="24"/>
        </w:rPr>
        <w:t>第八章放款审核</w:t>
      </w:r>
    </w:p>
    <w:p w:rsidR="002B1511" w:rsidRPr="00B45D8D" w:rsidRDefault="002B1511" w:rsidP="002B1511">
      <w:pPr>
        <w:autoSpaceDE w:val="0"/>
        <w:autoSpaceDN w:val="0"/>
        <w:adjustRightInd w:val="0"/>
        <w:snapToGrid w:val="0"/>
        <w:spacing w:line="360" w:lineRule="auto"/>
        <w:ind w:firstLineChars="200" w:firstLine="482"/>
        <w:jc w:val="left"/>
        <w:rPr>
          <w:rFonts w:ascii="仿宋_GB2312" w:eastAsia="仿宋_GB2312" w:hAnsiTheme="minorEastAsia" w:cs="宋体"/>
          <w:sz w:val="24"/>
          <w:szCs w:val="24"/>
        </w:rPr>
      </w:pPr>
      <w:r w:rsidRPr="00B45D8D">
        <w:rPr>
          <w:rFonts w:ascii="仿宋_GB2312" w:eastAsia="仿宋_GB2312" w:hAnsiTheme="minorEastAsia" w:cs="宋体" w:hint="eastAsia"/>
          <w:b/>
          <w:sz w:val="24"/>
          <w:szCs w:val="24"/>
        </w:rPr>
        <w:t>第十七条</w:t>
      </w:r>
      <w:r w:rsidRPr="00B45D8D">
        <w:rPr>
          <w:rFonts w:ascii="仿宋_GB2312" w:eastAsia="仿宋_GB2312" w:hAnsiTheme="minorEastAsia" w:cs="宋体" w:hint="eastAsia"/>
          <w:b/>
          <w:sz w:val="24"/>
          <w:szCs w:val="24"/>
        </w:rPr>
        <w:tab/>
      </w:r>
      <w:r w:rsidRPr="00B45D8D">
        <w:rPr>
          <w:rFonts w:ascii="仿宋_GB2312" w:eastAsia="仿宋_GB2312" w:hAnsiTheme="minorEastAsia" w:cs="宋体" w:hint="eastAsia"/>
          <w:sz w:val="24"/>
          <w:szCs w:val="24"/>
        </w:rPr>
        <w:t>在项目放款前，由业务部门向风险管理部提交《信托项目出款审批表》（见附件7），风险管理部进行核实相关事项。</w:t>
      </w:r>
    </w:p>
    <w:p w:rsidR="002B1511" w:rsidRPr="00B45D8D" w:rsidRDefault="002B1511" w:rsidP="002B1511">
      <w:pPr>
        <w:autoSpaceDE w:val="0"/>
        <w:autoSpaceDN w:val="0"/>
        <w:adjustRightInd w:val="0"/>
        <w:snapToGrid w:val="0"/>
        <w:spacing w:line="360" w:lineRule="auto"/>
        <w:ind w:firstLineChars="200" w:firstLine="482"/>
        <w:jc w:val="center"/>
        <w:rPr>
          <w:rFonts w:ascii="仿宋_GB2312" w:eastAsia="仿宋_GB2312" w:hAnsiTheme="minorEastAsia" w:cs="宋体"/>
          <w:b/>
          <w:sz w:val="24"/>
          <w:szCs w:val="24"/>
        </w:rPr>
      </w:pPr>
      <w:r w:rsidRPr="00B45D8D">
        <w:rPr>
          <w:rFonts w:ascii="仿宋_GB2312" w:eastAsia="仿宋_GB2312" w:hAnsiTheme="minorEastAsia" w:cs="宋体" w:hint="eastAsia"/>
          <w:b/>
          <w:sz w:val="24"/>
          <w:szCs w:val="24"/>
        </w:rPr>
        <w:t>第九章附  则</w:t>
      </w:r>
    </w:p>
    <w:p w:rsidR="002B1511" w:rsidRPr="00B45D8D" w:rsidRDefault="002B1511" w:rsidP="002B1511">
      <w:pPr>
        <w:autoSpaceDE w:val="0"/>
        <w:autoSpaceDN w:val="0"/>
        <w:adjustRightInd w:val="0"/>
        <w:snapToGrid w:val="0"/>
        <w:spacing w:line="360" w:lineRule="auto"/>
        <w:ind w:firstLineChars="200" w:firstLine="482"/>
        <w:jc w:val="left"/>
        <w:rPr>
          <w:rFonts w:ascii="仿宋_GB2312" w:eastAsia="仿宋_GB2312" w:hAnsiTheme="minorEastAsia" w:cs="宋体"/>
          <w:sz w:val="24"/>
          <w:szCs w:val="24"/>
        </w:rPr>
      </w:pPr>
      <w:r w:rsidRPr="00B45D8D">
        <w:rPr>
          <w:rFonts w:ascii="仿宋_GB2312" w:eastAsia="仿宋_GB2312" w:hAnsiTheme="minorEastAsia" w:cs="宋体" w:hint="eastAsia"/>
          <w:b/>
          <w:sz w:val="24"/>
          <w:szCs w:val="24"/>
        </w:rPr>
        <w:t>第十八条</w:t>
      </w:r>
      <w:r w:rsidRPr="00B45D8D">
        <w:rPr>
          <w:rFonts w:ascii="仿宋_GB2312" w:eastAsia="仿宋_GB2312" w:hAnsiTheme="minorEastAsia" w:cs="宋体" w:hint="eastAsia"/>
          <w:b/>
          <w:sz w:val="24"/>
          <w:szCs w:val="24"/>
        </w:rPr>
        <w:tab/>
      </w:r>
      <w:r w:rsidRPr="00B45D8D">
        <w:rPr>
          <w:rFonts w:ascii="仿宋_GB2312" w:eastAsia="仿宋_GB2312" w:hAnsiTheme="minorEastAsia" w:cs="宋体" w:hint="eastAsia"/>
          <w:sz w:val="24"/>
          <w:szCs w:val="24"/>
        </w:rPr>
        <w:t>本操作指引仅适用于单一项目放款前的操作流程。</w:t>
      </w:r>
    </w:p>
    <w:p w:rsidR="002B1511" w:rsidRDefault="002B1511" w:rsidP="002B1511">
      <w:pPr>
        <w:autoSpaceDE w:val="0"/>
        <w:autoSpaceDN w:val="0"/>
        <w:adjustRightInd w:val="0"/>
        <w:snapToGrid w:val="0"/>
        <w:spacing w:line="360" w:lineRule="auto"/>
        <w:ind w:firstLineChars="200" w:firstLine="482"/>
        <w:jc w:val="left"/>
        <w:rPr>
          <w:rFonts w:ascii="仿宋_GB2312" w:eastAsia="仿宋_GB2312" w:hAnsiTheme="minorEastAsia" w:cs="宋体"/>
          <w:sz w:val="24"/>
          <w:szCs w:val="24"/>
        </w:rPr>
      </w:pPr>
      <w:r w:rsidRPr="00B45D8D">
        <w:rPr>
          <w:rFonts w:ascii="仿宋_GB2312" w:eastAsia="仿宋_GB2312" w:hAnsiTheme="minorEastAsia" w:cs="宋体" w:hint="eastAsia"/>
          <w:b/>
          <w:sz w:val="24"/>
          <w:szCs w:val="24"/>
        </w:rPr>
        <w:t>第十九条</w:t>
      </w:r>
      <w:r w:rsidRPr="00B45D8D">
        <w:rPr>
          <w:rFonts w:ascii="仿宋_GB2312" w:eastAsia="仿宋_GB2312" w:hAnsiTheme="minorEastAsia" w:cs="宋体" w:hint="eastAsia"/>
          <w:sz w:val="24"/>
          <w:szCs w:val="24"/>
        </w:rPr>
        <w:tab/>
        <w:t>本操作指引由风险管理部负责解释与修订。</w:t>
      </w:r>
    </w:p>
    <w:p w:rsidR="00733506" w:rsidRPr="002B1511" w:rsidRDefault="00733506"/>
    <w:sectPr w:rsidR="00733506" w:rsidRPr="002B15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506" w:rsidRDefault="00733506" w:rsidP="002B1511">
      <w:r>
        <w:separator/>
      </w:r>
    </w:p>
  </w:endnote>
  <w:endnote w:type="continuationSeparator" w:id="1">
    <w:p w:rsidR="00733506" w:rsidRDefault="00733506" w:rsidP="002B151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506" w:rsidRDefault="00733506" w:rsidP="002B1511">
      <w:r>
        <w:separator/>
      </w:r>
    </w:p>
  </w:footnote>
  <w:footnote w:type="continuationSeparator" w:id="1">
    <w:p w:rsidR="00733506" w:rsidRDefault="00733506" w:rsidP="002B151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1511"/>
    <w:rsid w:val="002B1511"/>
    <w:rsid w:val="007335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5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1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1511"/>
    <w:rPr>
      <w:sz w:val="18"/>
      <w:szCs w:val="18"/>
    </w:rPr>
  </w:style>
  <w:style w:type="paragraph" w:styleId="a4">
    <w:name w:val="footer"/>
    <w:basedOn w:val="a"/>
    <w:link w:val="Char0"/>
    <w:uiPriority w:val="99"/>
    <w:semiHidden/>
    <w:unhideWhenUsed/>
    <w:rsid w:val="002B151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151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277</Words>
  <Characters>1582</Characters>
  <Application>Microsoft Office Word</Application>
  <DocSecurity>0</DocSecurity>
  <Lines>13</Lines>
  <Paragraphs>3</Paragraphs>
  <ScaleCrop>false</ScaleCrop>
  <Company>wxtrust</Company>
  <LinksUpToDate>false</LinksUpToDate>
  <CharactersWithSpaces>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dczheng</dc:creator>
  <cp:keywords/>
  <dc:description/>
  <cp:lastModifiedBy>dczheng</cp:lastModifiedBy>
  <cp:revision>2</cp:revision>
  <dcterms:created xsi:type="dcterms:W3CDTF">2014-07-02T06:09:00Z</dcterms:created>
  <dcterms:modified xsi:type="dcterms:W3CDTF">2014-07-02T06:09:00Z</dcterms:modified>
</cp:coreProperties>
</file>