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D1B" w:rsidRPr="00D22B35" w:rsidRDefault="00633D1B" w:rsidP="00633D1B">
      <w:pPr>
        <w:adjustRightInd w:val="0"/>
        <w:snapToGrid w:val="0"/>
        <w:spacing w:beforeLines="100" w:line="360" w:lineRule="auto"/>
        <w:jc w:val="center"/>
        <w:outlineLvl w:val="1"/>
        <w:rPr>
          <w:rFonts w:ascii="仿宋" w:eastAsia="仿宋" w:hAnsi="仿宋"/>
          <w:b/>
          <w:sz w:val="32"/>
          <w:szCs w:val="32"/>
        </w:rPr>
      </w:pPr>
      <w:bookmarkStart w:id="0" w:name="_Toc407634416"/>
      <w:r w:rsidRPr="00D22B35">
        <w:rPr>
          <w:rFonts w:ascii="仿宋" w:eastAsia="仿宋" w:hAnsi="仿宋" w:hint="eastAsia"/>
          <w:b/>
          <w:sz w:val="32"/>
          <w:szCs w:val="32"/>
        </w:rPr>
        <w:t>集合资金信托计划发行工作管理规程</w:t>
      </w:r>
      <w:bookmarkEnd w:id="0"/>
    </w:p>
    <w:p w:rsidR="00633D1B" w:rsidRPr="00490C75" w:rsidRDefault="00633D1B" w:rsidP="00633D1B">
      <w:pPr>
        <w:spacing w:afterLines="50" w:line="360" w:lineRule="auto"/>
        <w:jc w:val="center"/>
        <w:rPr>
          <w:rFonts w:ascii="仿宋" w:eastAsia="仿宋" w:hAnsi="仿宋"/>
          <w:sz w:val="24"/>
          <w:szCs w:val="24"/>
        </w:rPr>
      </w:pPr>
      <w:bookmarkStart w:id="1" w:name="_Toc391137722"/>
      <w:r w:rsidRPr="00490C75">
        <w:rPr>
          <w:rFonts w:ascii="仿宋" w:eastAsia="仿宋" w:hAnsi="仿宋" w:hint="eastAsia"/>
          <w:sz w:val="24"/>
          <w:szCs w:val="24"/>
        </w:rPr>
        <w:t>（财富管理总部</w:t>
      </w:r>
      <w:r w:rsidRPr="00490C75">
        <w:rPr>
          <w:rFonts w:ascii="仿宋" w:eastAsia="仿宋" w:hAnsi="仿宋"/>
          <w:sz w:val="24"/>
          <w:szCs w:val="24"/>
        </w:rPr>
        <w:t>2014</w:t>
      </w:r>
      <w:r w:rsidRPr="00490C75">
        <w:rPr>
          <w:rFonts w:ascii="仿宋" w:eastAsia="仿宋" w:hAnsi="仿宋" w:hint="eastAsia"/>
          <w:sz w:val="24"/>
          <w:szCs w:val="24"/>
        </w:rPr>
        <w:t>年</w:t>
      </w:r>
      <w:r w:rsidRPr="00490C75">
        <w:rPr>
          <w:rFonts w:ascii="仿宋" w:eastAsia="仿宋" w:hAnsi="仿宋"/>
          <w:sz w:val="24"/>
          <w:szCs w:val="24"/>
        </w:rPr>
        <w:t>4</w:t>
      </w:r>
      <w:r w:rsidRPr="00490C75">
        <w:rPr>
          <w:rFonts w:ascii="仿宋" w:eastAsia="仿宋" w:hAnsi="仿宋" w:hint="eastAsia"/>
          <w:sz w:val="24"/>
          <w:szCs w:val="24"/>
        </w:rPr>
        <w:t>月</w:t>
      </w:r>
      <w:r w:rsidRPr="00490C75">
        <w:rPr>
          <w:rFonts w:ascii="仿宋" w:eastAsia="仿宋" w:hAnsi="仿宋"/>
          <w:sz w:val="24"/>
          <w:szCs w:val="24"/>
        </w:rPr>
        <w:t>3</w:t>
      </w:r>
      <w:r w:rsidRPr="00490C75">
        <w:rPr>
          <w:rFonts w:ascii="仿宋" w:eastAsia="仿宋" w:hAnsi="仿宋" w:hint="eastAsia"/>
          <w:sz w:val="24"/>
          <w:szCs w:val="24"/>
        </w:rPr>
        <w:t>日制订，</w:t>
      </w:r>
      <w:r w:rsidRPr="00490C75">
        <w:rPr>
          <w:rFonts w:ascii="仿宋" w:eastAsia="仿宋" w:hAnsi="仿宋"/>
          <w:sz w:val="24"/>
          <w:szCs w:val="24"/>
        </w:rPr>
        <w:t xml:space="preserve"> 6</w:t>
      </w:r>
      <w:r w:rsidRPr="00490C75">
        <w:rPr>
          <w:rFonts w:ascii="仿宋" w:eastAsia="仿宋" w:hAnsi="仿宋" w:hint="eastAsia"/>
          <w:sz w:val="24"/>
          <w:szCs w:val="24"/>
        </w:rPr>
        <w:t>月</w:t>
      </w:r>
      <w:r w:rsidRPr="00490C75">
        <w:rPr>
          <w:rFonts w:ascii="仿宋" w:eastAsia="仿宋" w:hAnsi="仿宋"/>
          <w:sz w:val="24"/>
          <w:szCs w:val="24"/>
        </w:rPr>
        <w:t>20</w:t>
      </w:r>
      <w:r w:rsidRPr="00490C75">
        <w:rPr>
          <w:rFonts w:ascii="仿宋" w:eastAsia="仿宋" w:hAnsi="仿宋" w:hint="eastAsia"/>
          <w:sz w:val="24"/>
          <w:szCs w:val="24"/>
        </w:rPr>
        <w:t>日公司总裁批准）</w:t>
      </w:r>
      <w:bookmarkEnd w:id="1"/>
    </w:p>
    <w:p w:rsidR="00633D1B" w:rsidRPr="00D22B35" w:rsidRDefault="00633D1B" w:rsidP="00633D1B">
      <w:pPr>
        <w:snapToGrid w:val="0"/>
        <w:spacing w:line="360" w:lineRule="auto"/>
        <w:jc w:val="center"/>
        <w:rPr>
          <w:rFonts w:ascii="仿宋" w:eastAsia="仿宋" w:hAnsi="仿宋"/>
          <w:b/>
          <w:sz w:val="32"/>
          <w:szCs w:val="32"/>
        </w:rPr>
      </w:pPr>
      <w:r w:rsidRPr="00D22B35">
        <w:rPr>
          <w:rFonts w:ascii="仿宋" w:eastAsia="仿宋" w:hAnsi="仿宋" w:hint="eastAsia"/>
          <w:b/>
          <w:sz w:val="32"/>
          <w:szCs w:val="32"/>
        </w:rPr>
        <w:t>第一章</w:t>
      </w:r>
      <w:r w:rsidRPr="00D22B35">
        <w:rPr>
          <w:rFonts w:ascii="仿宋" w:eastAsia="仿宋" w:hAnsi="仿宋"/>
          <w:b/>
          <w:sz w:val="32"/>
          <w:szCs w:val="32"/>
        </w:rPr>
        <w:t xml:space="preserve">  </w:t>
      </w:r>
      <w:r w:rsidRPr="00D22B35">
        <w:rPr>
          <w:rFonts w:ascii="仿宋" w:eastAsia="仿宋" w:hAnsi="仿宋" w:hint="eastAsia"/>
          <w:b/>
          <w:sz w:val="32"/>
          <w:szCs w:val="32"/>
        </w:rPr>
        <w:t>总则</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为加强集合资金信托计划发行管理工作，明确职责分工，保证工作质量与效率，结合公司业务实际，制定本规程。</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本规程适用于集合资金信托计划的发行工作。如涉及代销，须符合《代销管理办法》相关规定。</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本规程及《代销管理办法》所规定事项的具体操作流程，参照《财富管理业务操作指引》执行。</w:t>
      </w:r>
    </w:p>
    <w:p w:rsidR="00633D1B" w:rsidRPr="00D22B35" w:rsidRDefault="00633D1B" w:rsidP="00633D1B">
      <w:pPr>
        <w:snapToGrid w:val="0"/>
        <w:spacing w:line="360" w:lineRule="auto"/>
        <w:jc w:val="center"/>
        <w:rPr>
          <w:rFonts w:ascii="仿宋" w:eastAsia="仿宋" w:hAnsi="仿宋"/>
          <w:b/>
          <w:sz w:val="30"/>
          <w:szCs w:val="30"/>
        </w:rPr>
      </w:pPr>
      <w:r w:rsidRPr="00D22B35">
        <w:rPr>
          <w:rFonts w:ascii="仿宋" w:eastAsia="仿宋" w:hAnsi="仿宋" w:hint="eastAsia"/>
          <w:b/>
          <w:sz w:val="30"/>
          <w:szCs w:val="30"/>
        </w:rPr>
        <w:t>第二章</w:t>
      </w:r>
      <w:r w:rsidRPr="00D22B35">
        <w:rPr>
          <w:rFonts w:ascii="仿宋" w:eastAsia="仿宋" w:hAnsi="仿宋"/>
          <w:b/>
          <w:sz w:val="30"/>
          <w:szCs w:val="30"/>
        </w:rPr>
        <w:t xml:space="preserve">  </w:t>
      </w:r>
      <w:r w:rsidRPr="00D22B35">
        <w:rPr>
          <w:rFonts w:ascii="仿宋" w:eastAsia="仿宋" w:hAnsi="仿宋" w:hint="eastAsia"/>
          <w:b/>
          <w:sz w:val="30"/>
          <w:szCs w:val="30"/>
        </w:rPr>
        <w:t>职责分工</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风险管理部负责确认集合资金信托计划信托合同的出具以及风控措施的落实。</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财富管理总部（以下简称“财富总部”）负责集合资金信托计划发行安排、组织管理工作。</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业务部门负责在产品发行环节配合财富总部提供项目相关材料。</w:t>
      </w:r>
    </w:p>
    <w:p w:rsidR="00633D1B" w:rsidRPr="00D22B35" w:rsidRDefault="00633D1B" w:rsidP="00633D1B">
      <w:pPr>
        <w:snapToGrid w:val="0"/>
        <w:spacing w:line="360" w:lineRule="auto"/>
        <w:jc w:val="center"/>
        <w:rPr>
          <w:rFonts w:ascii="仿宋" w:eastAsia="仿宋" w:hAnsi="仿宋"/>
          <w:b/>
          <w:sz w:val="32"/>
          <w:szCs w:val="32"/>
        </w:rPr>
      </w:pPr>
      <w:r w:rsidRPr="00D22B35">
        <w:rPr>
          <w:rFonts w:ascii="仿宋" w:eastAsia="仿宋" w:hAnsi="仿宋" w:hint="eastAsia"/>
          <w:b/>
          <w:sz w:val="32"/>
          <w:szCs w:val="32"/>
        </w:rPr>
        <w:t>第三章</w:t>
      </w:r>
      <w:r w:rsidRPr="00D22B35">
        <w:rPr>
          <w:rFonts w:ascii="仿宋" w:eastAsia="仿宋" w:hAnsi="仿宋"/>
          <w:b/>
          <w:sz w:val="32"/>
          <w:szCs w:val="32"/>
        </w:rPr>
        <w:t xml:space="preserve">  </w:t>
      </w:r>
      <w:r w:rsidRPr="00D22B35">
        <w:rPr>
          <w:rFonts w:ascii="仿宋" w:eastAsia="仿宋" w:hAnsi="仿宋" w:hint="eastAsia"/>
          <w:b/>
          <w:sz w:val="32"/>
          <w:szCs w:val="32"/>
        </w:rPr>
        <w:t>发行准备</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业务部门将信托计划上报风险管理部时，可填写《项目前期市场沟通表》（见“附件一”），同尽调报告一并发送财富总部，做为财富总部在项目前期与外部资金端对接的依据。</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信托计划经公司投资决策委员会同意发行后，财富总部与业务部门召开会议，共同确定《项目发行联络表》（见“附件二”）内容，包括产品收益率、销售额度、发行进度安排等。</w:t>
      </w:r>
    </w:p>
    <w:p w:rsidR="00633D1B" w:rsidRPr="00F06200" w:rsidRDefault="00633D1B" w:rsidP="00633D1B">
      <w:pPr>
        <w:snapToGrid w:val="0"/>
        <w:spacing w:line="360" w:lineRule="auto"/>
        <w:ind w:firstLineChars="200" w:firstLine="480"/>
        <w:jc w:val="left"/>
        <w:rPr>
          <w:rFonts w:ascii="仿宋" w:eastAsia="仿宋" w:hAnsi="仿宋"/>
          <w:sz w:val="24"/>
        </w:rPr>
      </w:pPr>
      <w:r w:rsidRPr="00F06200">
        <w:rPr>
          <w:rFonts w:ascii="仿宋" w:eastAsia="仿宋" w:hAnsi="仿宋" w:hint="eastAsia"/>
          <w:sz w:val="24"/>
        </w:rPr>
        <w:t>《项目发行联络表》经业务部门及财富总部负责人签字确认后抄送相关领导。</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《项目发行联络表》内容如有变更，相应部门应填写《产品发行信息变更表》（见“附件三”），交由部门负责人签字确认并通知对方部门。</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信托计划经公司项目决策委员会同意发行后，财富总部起草信托产品推介书并安排产品内部路演，相应业务部门须参加路演并负责答疑。</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lastRenderedPageBreak/>
        <w:t>财富总部在收到《集合信托项目相关资料、条件落实情况表》（见“附件四”）后安排产品上线，原则上安排预热时间为两周，打款时间为一周。</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同类型集合资金信托计划发行档期安排原则上按《集合信托项目相关资料、条件落实情况表》发送至财富总部的时间进行序时安排，不同类型集合资金信托计划根据实际情况安排发行。</w:t>
      </w:r>
    </w:p>
    <w:p w:rsidR="00633D1B" w:rsidRPr="00D22B35" w:rsidRDefault="00633D1B" w:rsidP="00633D1B">
      <w:pPr>
        <w:snapToGrid w:val="0"/>
        <w:spacing w:line="360" w:lineRule="auto"/>
        <w:jc w:val="center"/>
        <w:rPr>
          <w:rFonts w:ascii="仿宋" w:eastAsia="仿宋" w:hAnsi="仿宋"/>
          <w:b/>
          <w:sz w:val="32"/>
          <w:szCs w:val="32"/>
        </w:rPr>
      </w:pPr>
      <w:r w:rsidRPr="00D22B35">
        <w:rPr>
          <w:rFonts w:ascii="仿宋" w:eastAsia="仿宋" w:hAnsi="仿宋" w:hint="eastAsia"/>
          <w:b/>
          <w:sz w:val="32"/>
          <w:szCs w:val="32"/>
        </w:rPr>
        <w:t>第四章</w:t>
      </w:r>
      <w:r w:rsidRPr="00D22B35">
        <w:rPr>
          <w:rFonts w:ascii="仿宋" w:eastAsia="仿宋" w:hAnsi="仿宋"/>
          <w:b/>
          <w:sz w:val="32"/>
          <w:szCs w:val="32"/>
        </w:rPr>
        <w:t xml:space="preserve">  </w:t>
      </w:r>
      <w:r w:rsidRPr="00D22B35">
        <w:rPr>
          <w:rFonts w:ascii="仿宋" w:eastAsia="仿宋" w:hAnsi="仿宋" w:hint="eastAsia"/>
          <w:b/>
          <w:sz w:val="32"/>
          <w:szCs w:val="32"/>
        </w:rPr>
        <w:t>发行工作流程</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信托计划发行准备工作完成后，由业务部门填写《集合信托项目相关资料、条件落实情况表》，完成融资方合同签署及风控措施落实后，表单流转至风险管理部；风险管理部确认项目的发行要件完备后，表单流转至财富总部；财富总部据此安排产品上线、并向管理部申请合同印刷及用印。</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财富总部推介信托计划时应遵循《信托公司集合资金信托计划管理办法》，严格执行信托产品营销各项合规要求，包括坚持合格投资人标准、私募标准、卖者尽责义务、投资者教育等。明确如下三点：</w:t>
      </w:r>
    </w:p>
    <w:p w:rsidR="00633D1B" w:rsidRPr="00F06200" w:rsidRDefault="00633D1B" w:rsidP="00633D1B">
      <w:pPr>
        <w:pStyle w:val="a5"/>
        <w:numPr>
          <w:ilvl w:val="0"/>
          <w:numId w:val="1"/>
        </w:numPr>
        <w:snapToGrid w:val="0"/>
        <w:spacing w:line="360" w:lineRule="auto"/>
        <w:ind w:firstLineChars="0"/>
        <w:jc w:val="left"/>
        <w:rPr>
          <w:rFonts w:ascii="仿宋" w:eastAsia="仿宋" w:hAnsi="仿宋"/>
          <w:sz w:val="24"/>
        </w:rPr>
      </w:pPr>
      <w:r w:rsidRPr="00F06200">
        <w:rPr>
          <w:rFonts w:ascii="仿宋" w:eastAsia="仿宋" w:hAnsi="仿宋" w:hint="eastAsia"/>
          <w:sz w:val="24"/>
        </w:rPr>
        <w:t>坚持私募标准。不得公开宣传，不得通过手机短信等方式向不特定客户发送产品信息。</w:t>
      </w:r>
    </w:p>
    <w:p w:rsidR="00633D1B" w:rsidRPr="00F06200" w:rsidRDefault="00633D1B" w:rsidP="00633D1B">
      <w:pPr>
        <w:pStyle w:val="a5"/>
        <w:numPr>
          <w:ilvl w:val="0"/>
          <w:numId w:val="1"/>
        </w:numPr>
        <w:snapToGrid w:val="0"/>
        <w:spacing w:line="360" w:lineRule="auto"/>
        <w:ind w:firstLineChars="0"/>
        <w:jc w:val="left"/>
        <w:rPr>
          <w:rFonts w:ascii="仿宋" w:eastAsia="仿宋" w:hAnsi="仿宋"/>
          <w:sz w:val="24"/>
        </w:rPr>
      </w:pPr>
      <w:r w:rsidRPr="00F06200">
        <w:rPr>
          <w:rFonts w:ascii="仿宋" w:eastAsia="仿宋" w:hAnsi="仿宋" w:hint="eastAsia"/>
          <w:sz w:val="24"/>
        </w:rPr>
        <w:t>禁止信托公司委托非金融机构推介信托计划。禁止委托非金融机构以提供咨询、顾问、居间等方式直接或间接推介信托计划，切断第三方风险向信托公司传递的渠道，避免法律风险。</w:t>
      </w:r>
    </w:p>
    <w:p w:rsidR="00633D1B" w:rsidRPr="00F06200" w:rsidRDefault="00633D1B" w:rsidP="00633D1B">
      <w:pPr>
        <w:pStyle w:val="a5"/>
        <w:numPr>
          <w:ilvl w:val="0"/>
          <w:numId w:val="1"/>
        </w:numPr>
        <w:snapToGrid w:val="0"/>
        <w:spacing w:line="360" w:lineRule="auto"/>
        <w:ind w:firstLineChars="0"/>
        <w:jc w:val="left"/>
        <w:rPr>
          <w:rFonts w:ascii="仿宋" w:eastAsia="仿宋" w:hAnsi="仿宋"/>
          <w:sz w:val="24"/>
        </w:rPr>
      </w:pPr>
      <w:r w:rsidRPr="00F06200">
        <w:rPr>
          <w:rFonts w:ascii="仿宋" w:eastAsia="仿宋" w:hAnsi="仿宋" w:hint="eastAsia"/>
          <w:sz w:val="24"/>
        </w:rPr>
        <w:t>基于信托公司私募定位、合规推介、信息披露及客户培育等考虑，信托合同签订原则上应由信托公司和投资者当面签署。</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信托公司异地推介信托产品，应提前</w:t>
      </w:r>
      <w:r w:rsidRPr="00F06200">
        <w:rPr>
          <w:rFonts w:ascii="仿宋" w:eastAsia="仿宋" w:hAnsi="仿宋"/>
          <w:sz w:val="24"/>
        </w:rPr>
        <w:t>10</w:t>
      </w:r>
      <w:r w:rsidRPr="00F06200">
        <w:rPr>
          <w:rFonts w:ascii="仿宋" w:eastAsia="仿宋" w:hAnsi="仿宋" w:hint="eastAsia"/>
          <w:sz w:val="24"/>
        </w:rPr>
        <w:t>日上报属地银监局和推介地银监局。监管机构可不对信托公司异地推介的具体产品进行事前审核，信托公司在</w:t>
      </w:r>
      <w:r w:rsidRPr="00F06200">
        <w:rPr>
          <w:rFonts w:ascii="仿宋" w:eastAsia="仿宋" w:hAnsi="仿宋"/>
          <w:sz w:val="24"/>
        </w:rPr>
        <w:t>10</w:t>
      </w:r>
      <w:r w:rsidRPr="00F06200">
        <w:rPr>
          <w:rFonts w:ascii="仿宋" w:eastAsia="仿宋" w:hAnsi="仿宋" w:hint="eastAsia"/>
          <w:sz w:val="24"/>
        </w:rPr>
        <w:t>日报告期结束后即可异地推介。</w:t>
      </w:r>
    </w:p>
    <w:p w:rsidR="00633D1B" w:rsidRPr="00D22B35" w:rsidRDefault="00633D1B" w:rsidP="00633D1B">
      <w:pPr>
        <w:snapToGrid w:val="0"/>
        <w:spacing w:line="360" w:lineRule="auto"/>
        <w:jc w:val="center"/>
        <w:rPr>
          <w:rFonts w:ascii="仿宋" w:eastAsia="仿宋" w:hAnsi="仿宋"/>
          <w:b/>
          <w:sz w:val="32"/>
          <w:szCs w:val="32"/>
        </w:rPr>
      </w:pPr>
      <w:r w:rsidRPr="00D22B35">
        <w:rPr>
          <w:rFonts w:ascii="仿宋" w:eastAsia="仿宋" w:hAnsi="仿宋" w:hint="eastAsia"/>
          <w:b/>
          <w:sz w:val="32"/>
          <w:szCs w:val="32"/>
        </w:rPr>
        <w:t>第五章</w:t>
      </w:r>
      <w:r w:rsidRPr="00D22B35">
        <w:rPr>
          <w:rFonts w:ascii="仿宋" w:eastAsia="仿宋" w:hAnsi="仿宋"/>
          <w:b/>
          <w:sz w:val="32"/>
          <w:szCs w:val="32"/>
        </w:rPr>
        <w:t xml:space="preserve">  </w:t>
      </w:r>
      <w:r w:rsidRPr="00D22B35">
        <w:rPr>
          <w:rFonts w:ascii="仿宋" w:eastAsia="仿宋" w:hAnsi="仿宋" w:hint="eastAsia"/>
          <w:b/>
          <w:sz w:val="32"/>
          <w:szCs w:val="32"/>
        </w:rPr>
        <w:t>发行信息披露</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财富总部于每月末发布下一月度集合资金信托计划发行安排，报送公司经营层和业务部门。</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集合资金信托计划发行过程中，财富总部负责统计销售进度情况，并报送公司经营层和相关业务部门。</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财富总部于每周末统计当周集合资金信托计划发行总体情况，报</w:t>
      </w:r>
      <w:r w:rsidRPr="00F06200">
        <w:rPr>
          <w:rFonts w:ascii="仿宋" w:eastAsia="仿宋" w:hAnsi="仿宋" w:hint="eastAsia"/>
          <w:sz w:val="24"/>
        </w:rPr>
        <w:lastRenderedPageBreak/>
        <w:t>送公司经营层和业务部门。</w:t>
      </w:r>
    </w:p>
    <w:p w:rsidR="00633D1B" w:rsidRPr="00D22B35" w:rsidRDefault="00633D1B" w:rsidP="00633D1B">
      <w:pPr>
        <w:snapToGrid w:val="0"/>
        <w:spacing w:line="360" w:lineRule="auto"/>
        <w:jc w:val="center"/>
        <w:rPr>
          <w:rFonts w:ascii="仿宋" w:eastAsia="仿宋" w:hAnsi="仿宋"/>
          <w:b/>
          <w:sz w:val="32"/>
          <w:szCs w:val="32"/>
        </w:rPr>
      </w:pPr>
      <w:r w:rsidRPr="00D22B35">
        <w:rPr>
          <w:rFonts w:ascii="仿宋" w:eastAsia="仿宋" w:hAnsi="仿宋" w:hint="eastAsia"/>
          <w:b/>
          <w:sz w:val="32"/>
          <w:szCs w:val="32"/>
        </w:rPr>
        <w:t>第六章</w:t>
      </w:r>
      <w:r w:rsidRPr="00D22B35">
        <w:rPr>
          <w:rFonts w:ascii="仿宋" w:eastAsia="仿宋" w:hAnsi="仿宋"/>
          <w:b/>
          <w:sz w:val="32"/>
          <w:szCs w:val="32"/>
        </w:rPr>
        <w:t xml:space="preserve">  </w:t>
      </w:r>
      <w:r w:rsidRPr="00D22B35">
        <w:rPr>
          <w:rFonts w:ascii="仿宋" w:eastAsia="仿宋" w:hAnsi="仿宋" w:hint="eastAsia"/>
          <w:b/>
          <w:sz w:val="32"/>
          <w:szCs w:val="32"/>
        </w:rPr>
        <w:t>附则</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本规程由财富总部负责解释。</w:t>
      </w:r>
    </w:p>
    <w:p w:rsidR="00633D1B" w:rsidRPr="00F06200" w:rsidRDefault="00633D1B" w:rsidP="00633D1B">
      <w:pPr>
        <w:pStyle w:val="a5"/>
        <w:numPr>
          <w:ilvl w:val="0"/>
          <w:numId w:val="2"/>
        </w:numPr>
        <w:snapToGrid w:val="0"/>
        <w:spacing w:line="360" w:lineRule="auto"/>
        <w:ind w:firstLineChars="0"/>
        <w:jc w:val="left"/>
        <w:rPr>
          <w:rFonts w:ascii="仿宋" w:eastAsia="仿宋" w:hAnsi="仿宋"/>
          <w:sz w:val="24"/>
        </w:rPr>
      </w:pPr>
      <w:r w:rsidRPr="00F06200">
        <w:rPr>
          <w:rFonts w:ascii="仿宋" w:eastAsia="仿宋" w:hAnsi="仿宋" w:hint="eastAsia"/>
          <w:sz w:val="24"/>
        </w:rPr>
        <w:t>本规程自下发之日起施行。</w:t>
      </w:r>
    </w:p>
    <w:p w:rsidR="005B7697" w:rsidRPr="00633D1B" w:rsidRDefault="005B7697"/>
    <w:sectPr w:rsidR="005B7697" w:rsidRPr="00633D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697" w:rsidRDefault="005B7697" w:rsidP="00633D1B">
      <w:r>
        <w:separator/>
      </w:r>
    </w:p>
  </w:endnote>
  <w:endnote w:type="continuationSeparator" w:id="1">
    <w:p w:rsidR="005B7697" w:rsidRDefault="005B7697" w:rsidP="00633D1B">
      <w:r>
        <w:continuationSeparator/>
      </w:r>
    </w:p>
  </w:endnote>
</w:endnotes>
</file>

<file path=word/fontTable.xml><?xml version="1.0" encoding="utf-8"?>
<w:fonts xmlns:r="http://schemas.openxmlformats.org/officeDocument/2006/relationships" xmlns:w="http://schemas.openxmlformats.org/wordprocessingml/2006/main">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697" w:rsidRDefault="005B7697" w:rsidP="00633D1B">
      <w:r>
        <w:separator/>
      </w:r>
    </w:p>
  </w:footnote>
  <w:footnote w:type="continuationSeparator" w:id="1">
    <w:p w:rsidR="005B7697" w:rsidRDefault="005B7697" w:rsidP="00633D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63289"/>
    <w:multiLevelType w:val="hybridMultilevel"/>
    <w:tmpl w:val="0328846E"/>
    <w:lvl w:ilvl="0" w:tplc="DF16F0E0">
      <w:start w:val="1"/>
      <w:numFmt w:val="chineseCountingThousand"/>
      <w:lvlText w:val="第%1条"/>
      <w:lvlJc w:val="left"/>
      <w:pPr>
        <w:tabs>
          <w:tab w:val="num" w:pos="0"/>
        </w:tabs>
        <w:ind w:firstLine="454"/>
      </w:pPr>
      <w:rPr>
        <w:rFonts w:ascii="仿宋_GB2312" w:eastAsia="仿宋_GB2312" w:hAnsi="仿宋" w:cs="Times New Roman" w:hint="eastAsia"/>
        <w:b/>
        <w:i w:val="0"/>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65BB106C"/>
    <w:multiLevelType w:val="hybridMultilevel"/>
    <w:tmpl w:val="7A2EB0CA"/>
    <w:lvl w:ilvl="0" w:tplc="5E520700">
      <w:start w:val="1"/>
      <w:numFmt w:val="chineseCountingThousand"/>
      <w:lvlText w:val="(%1)"/>
      <w:lvlJc w:val="left"/>
      <w:pPr>
        <w:tabs>
          <w:tab w:val="num" w:pos="0"/>
        </w:tabs>
        <w:ind w:firstLine="454"/>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D1B"/>
    <w:rsid w:val="005B7697"/>
    <w:rsid w:val="00633D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D1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D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D1B"/>
    <w:rPr>
      <w:sz w:val="18"/>
      <w:szCs w:val="18"/>
    </w:rPr>
  </w:style>
  <w:style w:type="paragraph" w:styleId="a4">
    <w:name w:val="footer"/>
    <w:basedOn w:val="a"/>
    <w:link w:val="Char0"/>
    <w:uiPriority w:val="99"/>
    <w:semiHidden/>
    <w:unhideWhenUsed/>
    <w:rsid w:val="00633D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D1B"/>
    <w:rPr>
      <w:sz w:val="18"/>
      <w:szCs w:val="18"/>
    </w:rPr>
  </w:style>
  <w:style w:type="paragraph" w:styleId="a5">
    <w:name w:val="List Paragraph"/>
    <w:basedOn w:val="a"/>
    <w:uiPriority w:val="99"/>
    <w:qFormat/>
    <w:rsid w:val="00633D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2015-01-20T03:05:00Z</dcterms:created>
  <dcterms:modified xsi:type="dcterms:W3CDTF">2015-01-20T03:05:00Z</dcterms:modified>
</cp:coreProperties>
</file>