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3E3" w:rsidRDefault="00F353E3" w:rsidP="00F353E3">
      <w:pPr>
        <w:tabs>
          <w:tab w:val="left" w:pos="1620"/>
        </w:tabs>
        <w:adjustRightInd w:val="0"/>
        <w:snapToGrid w:val="0"/>
        <w:spacing w:line="360" w:lineRule="auto"/>
        <w:jc w:val="center"/>
        <w:outlineLvl w:val="2"/>
        <w:rPr>
          <w:rFonts w:ascii="仿宋_GB2312" w:eastAsia="仿宋_GB2312" w:hAnsiTheme="minorEastAsia"/>
          <w:b/>
          <w:sz w:val="24"/>
          <w:szCs w:val="24"/>
        </w:rPr>
      </w:pPr>
      <w:bookmarkStart w:id="0" w:name="_Toc391137709"/>
      <w:bookmarkStart w:id="1" w:name="_Toc391305148"/>
      <w:r w:rsidRPr="00C54FB4">
        <w:rPr>
          <w:rFonts w:ascii="仿宋_GB2312" w:eastAsia="仿宋_GB2312" w:hAnsiTheme="minorEastAsia" w:hint="eastAsia"/>
          <w:b/>
          <w:sz w:val="24"/>
          <w:szCs w:val="24"/>
        </w:rPr>
        <w:t>单一资金信托业务操作指引</w:t>
      </w:r>
      <w:bookmarkEnd w:id="0"/>
      <w:bookmarkEnd w:id="1"/>
    </w:p>
    <w:p w:rsidR="00F353E3" w:rsidRPr="004820A6" w:rsidRDefault="00F353E3" w:rsidP="00F353E3">
      <w:pPr>
        <w:adjustRightInd w:val="0"/>
        <w:snapToGrid w:val="0"/>
        <w:spacing w:line="360" w:lineRule="auto"/>
        <w:ind w:firstLineChars="50" w:firstLine="105"/>
        <w:jc w:val="center"/>
        <w:outlineLvl w:val="2"/>
        <w:rPr>
          <w:rFonts w:ascii="楷体_GB2312" w:eastAsia="楷体_GB2312" w:hAnsiTheme="minorEastAsia"/>
          <w:color w:val="000000" w:themeColor="text1"/>
          <w:szCs w:val="21"/>
        </w:rPr>
      </w:pPr>
      <w:bookmarkStart w:id="2" w:name="_Toc391137710"/>
      <w:bookmarkStart w:id="3" w:name="_Toc391305149"/>
      <w:r w:rsidRPr="004820A6">
        <w:rPr>
          <w:rFonts w:ascii="楷体_GB2312" w:eastAsia="楷体_GB2312" w:hAnsiTheme="minorEastAsia" w:hint="eastAsia"/>
          <w:color w:val="000000" w:themeColor="text1"/>
          <w:szCs w:val="21"/>
        </w:rPr>
        <w:t>（2013年5月14日风险管理部发起，2013年8月28日总裁批准）</w:t>
      </w:r>
      <w:bookmarkEnd w:id="2"/>
      <w:bookmarkEnd w:id="3"/>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第一章 总  则</w:t>
      </w:r>
    </w:p>
    <w:p w:rsidR="00F353E3" w:rsidRPr="00C54FB4" w:rsidRDefault="00F353E3" w:rsidP="00F353E3">
      <w:pPr>
        <w:numPr>
          <w:ilvl w:val="0"/>
          <w:numId w:val="1"/>
        </w:numPr>
        <w:tabs>
          <w:tab w:val="left" w:pos="1260"/>
          <w:tab w:val="left" w:pos="1620"/>
        </w:tabs>
        <w:adjustRightInd w:val="0"/>
        <w:snapToGrid w:val="0"/>
        <w:spacing w:line="360" w:lineRule="auto"/>
        <w:ind w:left="0" w:firstLineChars="192" w:firstLine="461"/>
        <w:rPr>
          <w:rFonts w:ascii="仿宋_GB2312" w:eastAsia="仿宋_GB2312" w:hAnsiTheme="minorEastAsia"/>
          <w:sz w:val="24"/>
          <w:szCs w:val="24"/>
        </w:rPr>
      </w:pPr>
      <w:r w:rsidRPr="00C54FB4">
        <w:rPr>
          <w:rFonts w:ascii="仿宋_GB2312" w:eastAsia="仿宋_GB2312" w:hAnsiTheme="minorEastAsia" w:hint="eastAsia"/>
          <w:sz w:val="24"/>
          <w:szCs w:val="24"/>
        </w:rPr>
        <w:t>为合法合规、高效有序地开展单一资金信托业务，特编制本操作指引。</w:t>
      </w:r>
    </w:p>
    <w:p w:rsidR="00F353E3" w:rsidRPr="00C54FB4" w:rsidRDefault="00F353E3" w:rsidP="00F353E3">
      <w:pPr>
        <w:numPr>
          <w:ilvl w:val="0"/>
          <w:numId w:val="1"/>
        </w:numPr>
        <w:tabs>
          <w:tab w:val="left" w:pos="1260"/>
          <w:tab w:val="left" w:pos="1620"/>
        </w:tabs>
        <w:adjustRightInd w:val="0"/>
        <w:snapToGrid w:val="0"/>
        <w:spacing w:line="360" w:lineRule="auto"/>
        <w:ind w:left="0" w:firstLineChars="192" w:firstLine="461"/>
        <w:rPr>
          <w:rFonts w:ascii="仿宋_GB2312" w:eastAsia="仿宋_GB2312" w:hAnsiTheme="minorEastAsia"/>
          <w:sz w:val="24"/>
          <w:szCs w:val="24"/>
        </w:rPr>
      </w:pPr>
      <w:r w:rsidRPr="00C54FB4">
        <w:rPr>
          <w:rFonts w:ascii="仿宋_GB2312" w:eastAsia="仿宋_GB2312" w:hAnsiTheme="minorEastAsia" w:hint="eastAsia"/>
          <w:sz w:val="24"/>
          <w:szCs w:val="24"/>
        </w:rPr>
        <w:t>单一资金信托，是指公司接受单个委托人的资金委托，依据委托人确定的管理方式（指定用途），或由公司代为确定的管理方式（非指定用途），单独管理和运用货币资金的信托。</w:t>
      </w:r>
    </w:p>
    <w:p w:rsidR="00F353E3" w:rsidRPr="00C54FB4" w:rsidRDefault="00F353E3" w:rsidP="00F353E3">
      <w:pPr>
        <w:tabs>
          <w:tab w:val="left" w:pos="1260"/>
          <w:tab w:val="left" w:pos="1620"/>
        </w:tabs>
        <w:adjustRightInd w:val="0"/>
        <w:snapToGrid w:val="0"/>
        <w:spacing w:line="360" w:lineRule="auto"/>
        <w:rPr>
          <w:rFonts w:ascii="仿宋_GB2312" w:eastAsia="仿宋_GB2312" w:hAnsiTheme="minorEastAsia"/>
          <w:sz w:val="24"/>
          <w:szCs w:val="24"/>
        </w:rPr>
      </w:pPr>
      <w:r w:rsidRPr="00C54FB4">
        <w:rPr>
          <w:rFonts w:ascii="仿宋_GB2312" w:eastAsia="仿宋_GB2312" w:hAnsiTheme="minorEastAsia" w:hint="eastAsia"/>
          <w:sz w:val="24"/>
          <w:szCs w:val="24"/>
        </w:rPr>
        <w:t xml:space="preserve">   本操作指引仅限于指定用途类单一资金信托，非指定用途类单一资金信托业务严格参照集合类资金信托业务进行操作。</w:t>
      </w:r>
    </w:p>
    <w:p w:rsidR="00F353E3" w:rsidRPr="00C54FB4" w:rsidRDefault="00F353E3" w:rsidP="00F353E3">
      <w:pPr>
        <w:numPr>
          <w:ilvl w:val="0"/>
          <w:numId w:val="1"/>
        </w:numPr>
        <w:tabs>
          <w:tab w:val="num" w:pos="540"/>
          <w:tab w:val="left" w:pos="1620"/>
        </w:tabs>
        <w:autoSpaceDE w:val="0"/>
        <w:autoSpaceDN w:val="0"/>
        <w:adjustRightInd w:val="0"/>
        <w:snapToGrid w:val="0"/>
        <w:spacing w:line="360" w:lineRule="auto"/>
        <w:ind w:hanging="780"/>
        <w:rPr>
          <w:rFonts w:ascii="仿宋_GB2312" w:eastAsia="仿宋_GB2312" w:hAnsiTheme="minorEastAsia"/>
          <w:sz w:val="24"/>
          <w:szCs w:val="24"/>
        </w:rPr>
      </w:pPr>
      <w:r w:rsidRPr="00C54FB4">
        <w:rPr>
          <w:rFonts w:ascii="仿宋_GB2312" w:eastAsia="仿宋_GB2312" w:hAnsiTheme="minorEastAsia" w:hint="eastAsia"/>
          <w:sz w:val="24"/>
          <w:szCs w:val="24"/>
        </w:rPr>
        <w:t xml:space="preserve">编制原则： </w:t>
      </w:r>
    </w:p>
    <w:p w:rsidR="00F353E3" w:rsidRPr="00C54FB4" w:rsidRDefault="00F353E3" w:rsidP="00F353E3">
      <w:pPr>
        <w:numPr>
          <w:ilvl w:val="0"/>
          <w:numId w:val="2"/>
        </w:numPr>
        <w:tabs>
          <w:tab w:val="left" w:pos="1080"/>
        </w:tabs>
        <w:autoSpaceDE w:val="0"/>
        <w:autoSpaceDN w:val="0"/>
        <w:adjustRightInd w:val="0"/>
        <w:snapToGrid w:val="0"/>
        <w:spacing w:line="360" w:lineRule="auto"/>
        <w:ind w:hanging="180"/>
        <w:rPr>
          <w:rFonts w:ascii="仿宋_GB2312" w:eastAsia="仿宋_GB2312" w:hAnsiTheme="minorEastAsia"/>
          <w:sz w:val="24"/>
          <w:szCs w:val="24"/>
        </w:rPr>
      </w:pPr>
      <w:r w:rsidRPr="00C54FB4">
        <w:rPr>
          <w:rFonts w:ascii="仿宋_GB2312" w:eastAsia="仿宋_GB2312" w:hAnsiTheme="minorEastAsia" w:hint="eastAsia"/>
          <w:sz w:val="24"/>
          <w:szCs w:val="24"/>
        </w:rPr>
        <w:t>有效防范公司在单一资金信托业务中的风险；</w:t>
      </w:r>
    </w:p>
    <w:p w:rsidR="00F353E3" w:rsidRPr="00C54FB4" w:rsidRDefault="00F353E3" w:rsidP="00F353E3">
      <w:pPr>
        <w:numPr>
          <w:ilvl w:val="0"/>
          <w:numId w:val="2"/>
        </w:numPr>
        <w:tabs>
          <w:tab w:val="left" w:pos="1080"/>
        </w:tabs>
        <w:autoSpaceDE w:val="0"/>
        <w:autoSpaceDN w:val="0"/>
        <w:adjustRightInd w:val="0"/>
        <w:snapToGrid w:val="0"/>
        <w:spacing w:line="360" w:lineRule="auto"/>
        <w:ind w:hanging="180"/>
        <w:rPr>
          <w:rFonts w:ascii="仿宋_GB2312" w:eastAsia="仿宋_GB2312" w:hAnsiTheme="minorEastAsia"/>
          <w:sz w:val="24"/>
          <w:szCs w:val="24"/>
        </w:rPr>
      </w:pPr>
      <w:r w:rsidRPr="00C54FB4">
        <w:rPr>
          <w:rFonts w:ascii="仿宋_GB2312" w:eastAsia="仿宋_GB2312" w:hAnsiTheme="minorEastAsia" w:hint="eastAsia"/>
          <w:sz w:val="24"/>
          <w:szCs w:val="24"/>
        </w:rPr>
        <w:t>单一资金信托业务的开展符合监管要求；</w:t>
      </w:r>
    </w:p>
    <w:p w:rsidR="00F353E3" w:rsidRPr="00C54FB4" w:rsidRDefault="00F353E3" w:rsidP="00F353E3">
      <w:pPr>
        <w:tabs>
          <w:tab w:val="left" w:pos="1080"/>
        </w:tabs>
        <w:autoSpaceDE w:val="0"/>
        <w:autoSpaceDN w:val="0"/>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(三) 在合规开展业务的前提下，合理安排业务进度，保证项目报送过程的合理、高效。</w:t>
      </w:r>
    </w:p>
    <w:p w:rsidR="00F353E3" w:rsidRPr="00C54FB4" w:rsidRDefault="00F353E3" w:rsidP="00F353E3">
      <w:pPr>
        <w:numPr>
          <w:ilvl w:val="0"/>
          <w:numId w:val="1"/>
        </w:numPr>
        <w:tabs>
          <w:tab w:val="clear" w:pos="1320"/>
          <w:tab w:val="num" w:pos="540"/>
          <w:tab w:val="left" w:pos="1620"/>
        </w:tabs>
        <w:autoSpaceDE w:val="0"/>
        <w:autoSpaceDN w:val="0"/>
        <w:adjustRightInd w:val="0"/>
        <w:snapToGrid w:val="0"/>
        <w:spacing w:line="360" w:lineRule="auto"/>
        <w:ind w:hanging="780"/>
        <w:rPr>
          <w:rFonts w:ascii="仿宋_GB2312" w:eastAsia="仿宋_GB2312" w:hAnsiTheme="minorEastAsia"/>
          <w:sz w:val="24"/>
          <w:szCs w:val="24"/>
        </w:rPr>
      </w:pPr>
      <w:r w:rsidRPr="00C54FB4">
        <w:rPr>
          <w:rFonts w:ascii="仿宋_GB2312" w:eastAsia="仿宋_GB2312" w:hAnsiTheme="minorEastAsia" w:hint="eastAsia"/>
          <w:sz w:val="24"/>
          <w:szCs w:val="24"/>
        </w:rPr>
        <w:t>单一资金信托业务由分管领导在总裁授权范围内行使审批</w:t>
      </w:r>
    </w:p>
    <w:p w:rsidR="00F353E3" w:rsidRPr="00C54FB4" w:rsidRDefault="00F353E3" w:rsidP="00F353E3">
      <w:pPr>
        <w:tabs>
          <w:tab w:val="left" w:pos="1620"/>
        </w:tabs>
        <w:autoSpaceDE w:val="0"/>
        <w:autoSpaceDN w:val="0"/>
        <w:adjustRightInd w:val="0"/>
        <w:snapToGrid w:val="0"/>
        <w:spacing w:line="360" w:lineRule="auto"/>
        <w:rPr>
          <w:rFonts w:ascii="仿宋_GB2312" w:eastAsia="仿宋_GB2312" w:hAnsiTheme="minorEastAsia"/>
          <w:sz w:val="24"/>
          <w:szCs w:val="24"/>
        </w:rPr>
      </w:pPr>
      <w:r w:rsidRPr="00C54FB4">
        <w:rPr>
          <w:rFonts w:ascii="仿宋_GB2312" w:eastAsia="仿宋_GB2312" w:hAnsiTheme="minorEastAsia" w:hint="eastAsia"/>
          <w:sz w:val="24"/>
          <w:szCs w:val="24"/>
        </w:rPr>
        <w:t>权。</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第二章 业务流程及说明</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b/>
          <w:sz w:val="24"/>
          <w:szCs w:val="24"/>
        </w:rPr>
      </w:pPr>
      <w:r w:rsidRPr="00E26AE8">
        <w:rPr>
          <w:rFonts w:ascii="仿宋_GB2312" w:eastAsia="仿宋_GB2312" w:hAnsiTheme="minorEastAsia"/>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36pt;margin-top:90pt;width:351pt;height:78pt;z-index:251661312">
            <v:imagedata r:id="rId7" o:title=""/>
            <w10:wrap type="topAndBottom"/>
          </v:shape>
          <o:OLEObject Type="Embed" ProgID="Edraw.Document" ShapeID="_x0000_s2051" DrawAspect="Content" ObjectID="_1465815718" r:id="rId8"/>
        </w:pict>
      </w:r>
      <w:r w:rsidRPr="00C54FB4">
        <w:rPr>
          <w:rFonts w:ascii="仿宋_GB2312" w:eastAsia="仿宋_GB2312" w:hAnsiTheme="minorEastAsia" w:hint="eastAsia"/>
          <w:sz w:val="24"/>
          <w:szCs w:val="24"/>
        </w:rPr>
        <w:t>单一资金信托业务包括信托立项、监管报备（必要时）、成立期、信托存续期管理、信托项目回款、清算报告和产品清算等阶段。流程图如下：</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第一节  信托立项流程</w:t>
      </w:r>
    </w:p>
    <w:p w:rsidR="00F353E3" w:rsidRPr="00C54FB4" w:rsidRDefault="00F353E3" w:rsidP="00F353E3">
      <w:pPr>
        <w:numPr>
          <w:ilvl w:val="0"/>
          <w:numId w:val="1"/>
        </w:numPr>
        <w:tabs>
          <w:tab w:val="num" w:pos="720"/>
          <w:tab w:val="left" w:pos="1260"/>
          <w:tab w:val="left" w:pos="1620"/>
          <w:tab w:val="left" w:pos="1980"/>
        </w:tabs>
        <w:adjustRightInd w:val="0"/>
        <w:snapToGrid w:val="0"/>
        <w:spacing w:line="360" w:lineRule="auto"/>
        <w:ind w:left="0" w:firstLineChars="192" w:firstLine="461"/>
        <w:rPr>
          <w:rFonts w:ascii="仿宋_GB2312" w:eastAsia="仿宋_GB2312" w:hAnsiTheme="minorEastAsia"/>
          <w:sz w:val="24"/>
          <w:szCs w:val="24"/>
        </w:rPr>
      </w:pPr>
      <w:r w:rsidRPr="00C54FB4">
        <w:rPr>
          <w:rFonts w:ascii="仿宋_GB2312" w:eastAsia="仿宋_GB2312" w:hAnsiTheme="minorEastAsia" w:hint="eastAsia"/>
          <w:sz w:val="24"/>
          <w:szCs w:val="24"/>
        </w:rPr>
        <w:t xml:space="preserve"> 业务经理与委托方谈妥受托人报酬后，按照公司《尽职调查操作指引》要求进行项目尽职调查，在此基础</w:t>
      </w:r>
      <w:r w:rsidRPr="00C54FB4">
        <w:rPr>
          <w:rFonts w:ascii="仿宋_GB2312" w:eastAsia="仿宋_GB2312" w:hAnsiTheme="minorEastAsia" w:cs="宋体" w:hint="eastAsia"/>
          <w:sz w:val="24"/>
          <w:szCs w:val="24"/>
        </w:rPr>
        <w:t>上，</w:t>
      </w:r>
      <w:r w:rsidRPr="00C54FB4">
        <w:rPr>
          <w:rFonts w:ascii="仿宋_GB2312" w:eastAsia="仿宋_GB2312" w:hAnsiTheme="minorEastAsia" w:hint="eastAsia"/>
          <w:sz w:val="24"/>
          <w:szCs w:val="24"/>
        </w:rPr>
        <w:t xml:space="preserve">业务经理根据“信托业务尽职调查报告要素”（见附件）编写《项目尽职调查报告》，填制《立项申请书》，进入信托立项流程： </w:t>
      </w:r>
    </w:p>
    <w:p w:rsidR="00F353E3" w:rsidRPr="00C54FB4" w:rsidRDefault="00F353E3" w:rsidP="00F353E3">
      <w:pPr>
        <w:tabs>
          <w:tab w:val="left" w:pos="1260"/>
          <w:tab w:val="left" w:pos="1620"/>
          <w:tab w:val="left" w:pos="1980"/>
        </w:tabs>
        <w:adjustRightInd w:val="0"/>
        <w:snapToGrid w:val="0"/>
        <w:spacing w:line="360" w:lineRule="auto"/>
        <w:ind w:firstLine="555"/>
        <w:rPr>
          <w:rFonts w:ascii="仿宋_GB2312" w:eastAsia="仿宋_GB2312" w:hAnsiTheme="minorEastAsia"/>
          <w:sz w:val="24"/>
          <w:szCs w:val="24"/>
        </w:rPr>
      </w:pPr>
      <w:r>
        <w:rPr>
          <w:rFonts w:ascii="仿宋_GB2312" w:eastAsia="仿宋_GB2312" w:hAnsiTheme="minorEastAsia"/>
          <w:noProof/>
          <w:sz w:val="24"/>
          <w:szCs w:val="24"/>
        </w:rPr>
        <w:lastRenderedPageBreak/>
        <w:pict>
          <v:shape id="_x0000_s2052" type="#_x0000_t75" style="position:absolute;left:0;text-align:left;margin-left:76.5pt;margin-top:27.45pt;width:297.1pt;height:135.35pt;z-index:251662336">
            <v:imagedata r:id="rId9" o:title=""/>
            <w10:wrap type="topAndBottom"/>
          </v:shape>
          <o:OLEObject Type="Embed" ProgID="Edraw.Document" ShapeID="_x0000_s2052" DrawAspect="Content" ObjectID="_1465815719" r:id="rId10"/>
        </w:pict>
      </w:r>
    </w:p>
    <w:p w:rsidR="00F353E3" w:rsidRPr="00C54FB4" w:rsidRDefault="00F353E3" w:rsidP="00F353E3">
      <w:pPr>
        <w:tabs>
          <w:tab w:val="left" w:pos="1260"/>
          <w:tab w:val="left" w:pos="1620"/>
          <w:tab w:val="left" w:pos="1980"/>
        </w:tabs>
        <w:adjustRightInd w:val="0"/>
        <w:snapToGrid w:val="0"/>
        <w:spacing w:line="360" w:lineRule="auto"/>
        <w:ind w:firstLine="555"/>
        <w:rPr>
          <w:rFonts w:ascii="仿宋_GB2312" w:eastAsia="仿宋_GB2312" w:hAnsiTheme="minorEastAsia"/>
          <w:sz w:val="24"/>
          <w:szCs w:val="24"/>
        </w:rPr>
      </w:pPr>
    </w:p>
    <w:p w:rsidR="00F353E3" w:rsidRPr="00C54FB4" w:rsidRDefault="00F353E3" w:rsidP="00F353E3">
      <w:pPr>
        <w:numPr>
          <w:ilvl w:val="0"/>
          <w:numId w:val="1"/>
        </w:numPr>
        <w:tabs>
          <w:tab w:val="num" w:pos="1260"/>
          <w:tab w:val="left" w:pos="1620"/>
        </w:tabs>
        <w:adjustRightInd w:val="0"/>
        <w:snapToGrid w:val="0"/>
        <w:spacing w:line="360" w:lineRule="auto"/>
        <w:ind w:left="0" w:firstLineChars="192" w:firstLine="461"/>
        <w:rPr>
          <w:rFonts w:ascii="仿宋_GB2312" w:eastAsia="仿宋_GB2312" w:hAnsiTheme="minorEastAsia"/>
          <w:sz w:val="24"/>
          <w:szCs w:val="24"/>
        </w:rPr>
      </w:pPr>
      <w:r w:rsidRPr="00C54FB4">
        <w:rPr>
          <w:rFonts w:ascii="仿宋_GB2312" w:eastAsia="仿宋_GB2312" w:hAnsiTheme="minorEastAsia" w:hint="eastAsia"/>
          <w:sz w:val="24"/>
          <w:szCs w:val="24"/>
        </w:rPr>
        <w:t>业务经理在上传《尽职调查报告》的同时，可将相关合同文本，包括《单一资金信托合同》、《抵押合同》、《质押合同》和《保证合同》等一并上传，经部门经理确认后，提交风险管理部审核。</w:t>
      </w:r>
    </w:p>
    <w:p w:rsidR="00F353E3" w:rsidRPr="00C54FB4" w:rsidRDefault="00F353E3" w:rsidP="00F353E3">
      <w:pPr>
        <w:numPr>
          <w:ilvl w:val="0"/>
          <w:numId w:val="1"/>
        </w:numPr>
        <w:tabs>
          <w:tab w:val="num" w:pos="1260"/>
          <w:tab w:val="left" w:pos="1620"/>
        </w:tabs>
        <w:adjustRightInd w:val="0"/>
        <w:snapToGrid w:val="0"/>
        <w:spacing w:line="360" w:lineRule="auto"/>
        <w:ind w:left="0" w:firstLineChars="192" w:firstLine="461"/>
        <w:rPr>
          <w:rFonts w:ascii="仿宋_GB2312" w:eastAsia="仿宋_GB2312" w:hAnsiTheme="minorEastAsia"/>
          <w:sz w:val="24"/>
          <w:szCs w:val="24"/>
        </w:rPr>
      </w:pPr>
      <w:r w:rsidRPr="00C54FB4">
        <w:rPr>
          <w:rFonts w:ascii="仿宋_GB2312" w:eastAsia="仿宋_GB2312" w:hAnsiTheme="minorEastAsia" w:hint="eastAsia"/>
          <w:sz w:val="24"/>
          <w:szCs w:val="24"/>
        </w:rPr>
        <w:t>风险管理部提交合规意见和风控要点后，报公司信托项目决策委员会审批，最后由业务经理将立项结果告知委托方。</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第二节  监管报备流程</w:t>
      </w:r>
    </w:p>
    <w:p w:rsidR="00F353E3" w:rsidRPr="00C54FB4" w:rsidRDefault="00F353E3" w:rsidP="00F353E3">
      <w:pPr>
        <w:numPr>
          <w:ilvl w:val="0"/>
          <w:numId w:val="1"/>
        </w:numPr>
        <w:tabs>
          <w:tab w:val="num" w:pos="540"/>
          <w:tab w:val="left" w:pos="1620"/>
        </w:tabs>
        <w:adjustRightInd w:val="0"/>
        <w:snapToGrid w:val="0"/>
        <w:spacing w:line="360" w:lineRule="auto"/>
        <w:ind w:left="0" w:firstLine="540"/>
        <w:rPr>
          <w:rFonts w:ascii="仿宋_GB2312" w:eastAsia="仿宋_GB2312" w:hAnsiTheme="minorEastAsia"/>
          <w:b/>
          <w:sz w:val="24"/>
          <w:szCs w:val="24"/>
        </w:rPr>
      </w:pPr>
      <w:r w:rsidRPr="00C54FB4">
        <w:rPr>
          <w:rFonts w:ascii="仿宋_GB2312" w:eastAsia="仿宋_GB2312" w:hAnsiTheme="minorEastAsia" w:hint="eastAsia"/>
          <w:sz w:val="24"/>
          <w:szCs w:val="24"/>
        </w:rPr>
        <w:t>公司开展单一资金信托业务在必要时</w:t>
      </w:r>
      <w:r w:rsidRPr="00C54FB4">
        <w:rPr>
          <w:rFonts w:ascii="仿宋_GB2312" w:eastAsia="仿宋_GB2312" w:hAnsiTheme="minorEastAsia" w:cs="宋体" w:hint="eastAsia"/>
          <w:sz w:val="24"/>
          <w:szCs w:val="24"/>
        </w:rPr>
        <w:t>（</w:t>
      </w:r>
      <w:r w:rsidRPr="00C54FB4">
        <w:rPr>
          <w:rFonts w:ascii="仿宋_GB2312" w:eastAsia="仿宋_GB2312" w:hAnsiTheme="minorEastAsia" w:hint="eastAsia"/>
          <w:sz w:val="24"/>
          <w:szCs w:val="24"/>
        </w:rPr>
        <w:t>即出现监管规定情形时）由风险管理部负责向监管部门事前报告。</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第三节  成立期流程</w:t>
      </w:r>
    </w:p>
    <w:p w:rsidR="00F353E3" w:rsidRPr="00C54FB4" w:rsidRDefault="00F353E3" w:rsidP="00F353E3">
      <w:pPr>
        <w:numPr>
          <w:ilvl w:val="0"/>
          <w:numId w:val="1"/>
        </w:numPr>
        <w:tabs>
          <w:tab w:val="left" w:pos="1260"/>
          <w:tab w:val="left" w:pos="1620"/>
        </w:tabs>
        <w:adjustRightInd w:val="0"/>
        <w:snapToGrid w:val="0"/>
        <w:spacing w:line="360" w:lineRule="auto"/>
        <w:ind w:left="0" w:firstLine="540"/>
        <w:rPr>
          <w:rFonts w:ascii="仿宋_GB2312" w:eastAsia="仿宋_GB2312" w:hAnsiTheme="minorEastAsia"/>
          <w:sz w:val="24"/>
          <w:szCs w:val="24"/>
        </w:rPr>
      </w:pPr>
      <w:r w:rsidRPr="00C54FB4">
        <w:rPr>
          <w:rFonts w:ascii="仿宋_GB2312" w:eastAsia="仿宋_GB2312" w:hAnsiTheme="minorEastAsia" w:hint="eastAsia"/>
          <w:sz w:val="24"/>
          <w:szCs w:val="24"/>
        </w:rPr>
        <w:t>信托立项通过后，办理与委托方和项目方签约、保管行开户、资金划付等事宜，单一资金信托成立。成立期流程如下：</w:t>
      </w:r>
    </w:p>
    <w:p w:rsidR="00F353E3" w:rsidRPr="00C54FB4" w:rsidRDefault="00F353E3" w:rsidP="00F353E3">
      <w:pPr>
        <w:tabs>
          <w:tab w:val="left" w:pos="1260"/>
          <w:tab w:val="left" w:pos="1620"/>
        </w:tabs>
        <w:adjustRightInd w:val="0"/>
        <w:snapToGrid w:val="0"/>
        <w:spacing w:line="360" w:lineRule="auto"/>
        <w:rPr>
          <w:rFonts w:ascii="仿宋_GB2312" w:eastAsia="仿宋_GB2312" w:hAnsiTheme="minorEastAsia"/>
          <w:sz w:val="24"/>
          <w:szCs w:val="24"/>
        </w:rPr>
      </w:pPr>
      <w:r>
        <w:rPr>
          <w:rFonts w:ascii="仿宋_GB2312" w:eastAsia="仿宋_GB2312" w:hAnsiTheme="minorEastAsia"/>
          <w:noProof/>
          <w:sz w:val="24"/>
          <w:szCs w:val="24"/>
        </w:rPr>
        <w:lastRenderedPageBreak/>
        <w:pict>
          <v:shape id="_x0000_s2050" type="#_x0000_t75" style="position:absolute;left:0;text-align:left;margin-left:27pt;margin-top:15.6pt;width:371.25pt;height:308.1pt;z-index:251660288">
            <v:imagedata r:id="rId11" o:title=""/>
            <w10:wrap type="topAndBottom"/>
          </v:shape>
          <o:OLEObject Type="Embed" ProgID="Edraw.Document" ShapeID="_x0000_s2050" DrawAspect="Content" ObjectID="_1465815720" r:id="rId12"/>
        </w:pict>
      </w:r>
    </w:p>
    <w:p w:rsidR="00F353E3" w:rsidRPr="00C54FB4" w:rsidRDefault="00F353E3" w:rsidP="00F353E3">
      <w:pPr>
        <w:tabs>
          <w:tab w:val="left" w:pos="54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cs="Arial" w:hint="eastAsia"/>
          <w:color w:val="000000"/>
          <w:kern w:val="0"/>
          <w:sz w:val="24"/>
          <w:szCs w:val="24"/>
          <w:lang w:val="zh-CN"/>
        </w:rPr>
        <w:t>（一）立项通过，业务经理先后与委托方、项目方分别签约</w:t>
      </w:r>
      <w:r w:rsidRPr="00C54FB4">
        <w:rPr>
          <w:rFonts w:ascii="仿宋_GB2312" w:eastAsia="仿宋_GB2312" w:hAnsiTheme="minorEastAsia" w:cs="宋体" w:hint="eastAsia"/>
          <w:color w:val="000000"/>
          <w:kern w:val="0"/>
          <w:sz w:val="24"/>
          <w:szCs w:val="24"/>
          <w:lang w:val="zh-CN"/>
        </w:rPr>
        <w:t>；</w:t>
      </w:r>
    </w:p>
    <w:p w:rsidR="00F353E3" w:rsidRPr="00C54FB4" w:rsidRDefault="00F353E3" w:rsidP="00F353E3">
      <w:pPr>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rPr>
        <w:t>（二）</w:t>
      </w:r>
      <w:r w:rsidRPr="00C54FB4">
        <w:rPr>
          <w:rFonts w:ascii="仿宋_GB2312" w:eastAsia="仿宋_GB2312" w:hAnsiTheme="minorEastAsia" w:cs="Arial" w:hint="eastAsia"/>
          <w:color w:val="000000"/>
          <w:kern w:val="0"/>
          <w:sz w:val="24"/>
          <w:szCs w:val="24"/>
          <w:lang w:val="zh-CN"/>
        </w:rPr>
        <w:t>启动保管行开户流程，设立信托财产专户,流程如下：</w:t>
      </w:r>
    </w:p>
    <w:p w:rsidR="00F353E3" w:rsidRDefault="00F353E3" w:rsidP="00F353E3">
      <w:pPr>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Pr>
          <w:rFonts w:ascii="仿宋_GB2312" w:eastAsia="仿宋_GB2312" w:hAnsiTheme="minorEastAsia" w:cs="Arial"/>
          <w:noProof/>
          <w:color w:val="000000"/>
          <w:kern w:val="0"/>
          <w:sz w:val="24"/>
          <w:szCs w:val="24"/>
        </w:rPr>
        <w:pict>
          <v:shape id="_x0000_s2057" type="#_x0000_t75" style="position:absolute;left:0;text-align:left;margin-left:108.15pt;margin-top:111.95pt;width:360.1pt;height:39pt;z-index:251668480;mso-position-horizontal-relative:page;mso-position-vertical-relative:page">
            <v:imagedata r:id="rId13" o:title=""/>
            <w10:wrap anchorx="page" anchory="page"/>
          </v:shape>
          <o:OLEObject Type="Embed" ProgID="Edraw.Document" ShapeID="_x0000_s2057" DrawAspect="Content" ObjectID="_1465815721" r:id="rId14"/>
        </w:pict>
      </w:r>
    </w:p>
    <w:p w:rsidR="00F353E3" w:rsidRDefault="00F353E3" w:rsidP="00F353E3">
      <w:pPr>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p>
    <w:p w:rsidR="00F353E3" w:rsidRPr="00C54FB4" w:rsidRDefault="00F353E3" w:rsidP="00F353E3">
      <w:pPr>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p>
    <w:p w:rsidR="00F353E3"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（三）抵质押相关手续由法务合规人员配合业务部门一起办理，业务部门负责完成抵质押入库手续，流程如下：</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E26AE8">
        <w:rPr>
          <w:rFonts w:ascii="仿宋_GB2312" w:eastAsia="仿宋_GB2312" w:hAnsiTheme="minorEastAsia" w:cs="Arial"/>
          <w:noProof/>
          <w:color w:val="000000"/>
          <w:kern w:val="0"/>
          <w:sz w:val="24"/>
          <w:szCs w:val="24"/>
        </w:rPr>
        <w:pict>
          <v:shape id="_x0000_s2059" type="#_x0000_t75" style="position:absolute;left:0;text-align:left;margin-left:108.15pt;margin-top:187.5pt;width:360.2pt;height:31.2pt;z-index:251670528;mso-position-horizontal-relative:page;mso-position-vertical-relative:page">
            <v:imagedata r:id="rId15" o:title=""/>
            <w10:wrap anchorx="page" anchory="page"/>
          </v:shape>
          <o:OLEObject Type="Embed" ProgID="Edraw.Document" ShapeID="_x0000_s2059" DrawAspect="Content" ObjectID="_1465815722" r:id="rId16"/>
        </w:pic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cs="Arial" w:hint="eastAsia"/>
          <w:color w:val="000000"/>
          <w:kern w:val="0"/>
          <w:sz w:val="24"/>
          <w:szCs w:val="24"/>
          <w:lang w:val="zh-CN"/>
        </w:rPr>
        <w:t>（四）业务经理通知委托方划付投（融）资款</w:t>
      </w:r>
      <w:r w:rsidRPr="00C54FB4">
        <w:rPr>
          <w:rFonts w:ascii="仿宋_GB2312" w:eastAsia="仿宋_GB2312" w:hAnsiTheme="minorEastAsia" w:cs="宋体" w:hint="eastAsia"/>
          <w:color w:val="000000"/>
          <w:kern w:val="0"/>
          <w:sz w:val="24"/>
          <w:szCs w:val="24"/>
          <w:lang w:val="zh-CN"/>
        </w:rPr>
        <w:t>；</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cs="Arial" w:hint="eastAsia"/>
          <w:color w:val="000000"/>
          <w:kern w:val="0"/>
          <w:sz w:val="24"/>
          <w:szCs w:val="24"/>
        </w:rPr>
        <w:t>（五）</w:t>
      </w:r>
      <w:r w:rsidRPr="00C54FB4">
        <w:rPr>
          <w:rFonts w:ascii="仿宋_GB2312" w:eastAsia="仿宋_GB2312" w:hAnsiTheme="minorEastAsia" w:cs="Arial" w:hint="eastAsia"/>
          <w:color w:val="000000"/>
          <w:kern w:val="0"/>
          <w:sz w:val="24"/>
          <w:szCs w:val="24"/>
          <w:lang w:val="zh-CN"/>
        </w:rPr>
        <w:t>委托方划款至信托财产专户</w:t>
      </w:r>
      <w:r w:rsidRPr="00C54FB4">
        <w:rPr>
          <w:rFonts w:ascii="仿宋_GB2312" w:eastAsia="仿宋_GB2312" w:hAnsiTheme="minorEastAsia" w:cs="宋体" w:hint="eastAsia"/>
          <w:color w:val="000000"/>
          <w:kern w:val="0"/>
          <w:sz w:val="24"/>
          <w:szCs w:val="24"/>
          <w:lang w:val="zh-CN"/>
        </w:rPr>
        <w:t>；</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cs="Arial" w:hint="eastAsia"/>
          <w:color w:val="000000"/>
          <w:kern w:val="0"/>
          <w:sz w:val="24"/>
          <w:szCs w:val="24"/>
        </w:rPr>
        <w:t>（六）</w:t>
      </w:r>
      <w:r w:rsidRPr="00C54FB4">
        <w:rPr>
          <w:rFonts w:ascii="仿宋_GB2312" w:eastAsia="仿宋_GB2312" w:hAnsiTheme="minorEastAsia" w:cs="Arial" w:hint="eastAsia"/>
          <w:color w:val="000000"/>
          <w:kern w:val="0"/>
          <w:sz w:val="24"/>
          <w:szCs w:val="24"/>
          <w:lang w:val="zh-CN"/>
        </w:rPr>
        <w:t>业务经理确认划款成功后，该信托正式成立并生效</w:t>
      </w:r>
      <w:r w:rsidRPr="00C54FB4">
        <w:rPr>
          <w:rFonts w:ascii="仿宋_GB2312" w:eastAsia="仿宋_GB2312" w:hAnsiTheme="minorEastAsia" w:cs="宋体" w:hint="eastAsia"/>
          <w:color w:val="000000"/>
          <w:kern w:val="0"/>
          <w:sz w:val="24"/>
          <w:szCs w:val="24"/>
          <w:lang w:val="zh-CN"/>
        </w:rPr>
        <w:t>；</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（七）业务经理告知委托方信托成立,并录入合同。</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第四节  项目划款流程</w:t>
      </w:r>
    </w:p>
    <w:p w:rsidR="00F353E3" w:rsidRPr="00C54FB4" w:rsidRDefault="00F353E3" w:rsidP="00F353E3">
      <w:pPr>
        <w:numPr>
          <w:ilvl w:val="0"/>
          <w:numId w:val="1"/>
        </w:numPr>
        <w:tabs>
          <w:tab w:val="num" w:pos="540"/>
          <w:tab w:val="left" w:pos="1620"/>
        </w:tabs>
        <w:adjustRightInd w:val="0"/>
        <w:snapToGrid w:val="0"/>
        <w:spacing w:line="360" w:lineRule="auto"/>
        <w:ind w:left="0" w:firstLine="420"/>
        <w:rPr>
          <w:rFonts w:ascii="仿宋_GB2312" w:eastAsia="仿宋_GB2312" w:hAnsiTheme="minorEastAsia" w:cs="Arial"/>
          <w:color w:val="000000"/>
          <w:kern w:val="0"/>
          <w:sz w:val="24"/>
          <w:szCs w:val="24"/>
          <w:lang w:val="zh-CN"/>
        </w:rPr>
      </w:pPr>
      <w:r w:rsidRPr="00C54FB4">
        <w:rPr>
          <w:rFonts w:ascii="仿宋_GB2312" w:eastAsia="仿宋_GB2312" w:hAnsiTheme="minorEastAsia" w:hint="eastAsia"/>
          <w:sz w:val="24"/>
          <w:szCs w:val="24"/>
        </w:rPr>
        <w:t>信托成立后，办理项目划款相关事宜，流程图如下：</w:t>
      </w:r>
    </w:p>
    <w:p w:rsidR="00F353E3" w:rsidRPr="00C54FB4" w:rsidRDefault="00F353E3" w:rsidP="00F353E3">
      <w:pPr>
        <w:tabs>
          <w:tab w:val="left" w:pos="1620"/>
        </w:tabs>
        <w:adjustRightInd w:val="0"/>
        <w:snapToGrid w:val="0"/>
        <w:spacing w:line="360" w:lineRule="auto"/>
        <w:ind w:firstLine="560"/>
        <w:rPr>
          <w:rFonts w:ascii="仿宋_GB2312" w:eastAsia="仿宋_GB2312" w:hAnsiTheme="minorEastAsia" w:cs="Arial"/>
          <w:color w:val="000000"/>
          <w:kern w:val="0"/>
          <w:sz w:val="24"/>
          <w:szCs w:val="24"/>
          <w:lang w:val="zh-CN"/>
        </w:rPr>
      </w:pPr>
      <w:r w:rsidRPr="00E26AE8">
        <w:rPr>
          <w:rFonts w:ascii="仿宋_GB2312" w:eastAsia="仿宋_GB2312" w:hAnsiTheme="minorEastAsia"/>
          <w:noProof/>
          <w:sz w:val="24"/>
          <w:szCs w:val="24"/>
        </w:rPr>
        <w:lastRenderedPageBreak/>
        <w:pict>
          <v:shape id="_x0000_s2056" type="#_x0000_t75" style="position:absolute;left:0;text-align:left;margin-left:31.6pt;margin-top:3.7pt;width:363.75pt;height:80.1pt;z-index:251666432">
            <v:imagedata r:id="rId17" o:title=""/>
            <w10:wrap type="topAndBottom"/>
          </v:shape>
          <o:OLEObject Type="Embed" ProgID="Edraw.Document" ShapeID="_x0000_s2056" DrawAspect="Content" ObjectID="_1465815723" r:id="rId18"/>
        </w:pic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（一）信托成立后，业务经理录入各种项目要素，发起划款申请；</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（二）业务部负责人对业务经理的申请进行复核；</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（三）资产管理部复核；</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（四）业务分管领导进行划款审批；</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（五）分管领导审批通过后，业务经理开具划款通知单交财务部，由财务部通知保管行划款；</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（六）保管行划款至项目方账户（业务经理跟进）；</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（七）业务经理录入台账。</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第五节  信托存续期管理流程</w:t>
      </w:r>
    </w:p>
    <w:p w:rsidR="00F353E3" w:rsidRPr="00C54FB4" w:rsidRDefault="00F353E3" w:rsidP="00F353E3">
      <w:pPr>
        <w:numPr>
          <w:ilvl w:val="0"/>
          <w:numId w:val="1"/>
        </w:numPr>
        <w:tabs>
          <w:tab w:val="num" w:pos="0"/>
          <w:tab w:val="left" w:pos="1260"/>
          <w:tab w:val="left" w:pos="1620"/>
        </w:tabs>
        <w:adjustRightInd w:val="0"/>
        <w:snapToGrid w:val="0"/>
        <w:spacing w:line="360" w:lineRule="auto"/>
        <w:ind w:left="0" w:firstLine="540"/>
        <w:rPr>
          <w:rFonts w:ascii="仿宋_GB2312" w:eastAsia="仿宋_GB2312" w:hAnsiTheme="minorEastAsia"/>
          <w:sz w:val="24"/>
          <w:szCs w:val="24"/>
        </w:rPr>
      </w:pPr>
      <w:r w:rsidRPr="00C54FB4">
        <w:rPr>
          <w:rFonts w:ascii="仿宋_GB2312" w:eastAsia="仿宋_GB2312" w:hAnsiTheme="minorEastAsia" w:hint="eastAsia"/>
          <w:sz w:val="24"/>
          <w:szCs w:val="24"/>
        </w:rPr>
        <w:t xml:space="preserve"> 单一资金信托成立后，进入信托存续期管理阶段。业务经理应对项目进行实地检查，检查次数可根据项目的风险状况适当减少或增加,但至少每半年检查一次。发现有风险事项产生或有可能产生风险事项的，应及时向公司及委托方报告。</w:t>
      </w:r>
    </w:p>
    <w:p w:rsidR="00F353E3" w:rsidRPr="00C54FB4" w:rsidRDefault="00F353E3" w:rsidP="00F353E3">
      <w:pPr>
        <w:numPr>
          <w:ilvl w:val="0"/>
          <w:numId w:val="1"/>
        </w:numPr>
        <w:tabs>
          <w:tab w:val="num" w:pos="540"/>
          <w:tab w:val="left" w:pos="1620"/>
        </w:tabs>
        <w:adjustRightInd w:val="0"/>
        <w:snapToGrid w:val="0"/>
        <w:spacing w:line="360" w:lineRule="auto"/>
        <w:ind w:left="0" w:firstLine="540"/>
        <w:rPr>
          <w:rFonts w:ascii="仿宋_GB2312" w:eastAsia="仿宋_GB2312" w:hAnsiTheme="minorEastAsia"/>
          <w:sz w:val="24"/>
          <w:szCs w:val="24"/>
        </w:rPr>
      </w:pPr>
      <w:r w:rsidRPr="00C54FB4">
        <w:rPr>
          <w:rFonts w:ascii="仿宋_GB2312" w:eastAsia="仿宋_GB2312" w:hAnsiTheme="minorEastAsia" w:hint="eastAsia"/>
          <w:sz w:val="24"/>
          <w:szCs w:val="24"/>
        </w:rPr>
        <w:t xml:space="preserve"> 资产管理部作为业务中台部门，主要职责是在项目运行期间，根据部门工作职责，做好项目期间管理的具体工作：</w:t>
      </w:r>
    </w:p>
    <w:p w:rsidR="00F353E3" w:rsidRPr="00C54FB4" w:rsidRDefault="00F353E3" w:rsidP="00F353E3">
      <w:pPr>
        <w:tabs>
          <w:tab w:val="left" w:pos="108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（一）信托存续期间，资产管理部应按信托文件约定按时起草信息披露报告，并按相应流程进行审批及披露报告的报送、寄送工作；</w:t>
      </w:r>
    </w:p>
    <w:p w:rsidR="00F353E3" w:rsidRPr="00C54FB4" w:rsidRDefault="00F353E3" w:rsidP="00F353E3">
      <w:pPr>
        <w:tabs>
          <w:tab w:val="left" w:pos="108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 xml:space="preserve">（二）信托存续期间，资产管理部应按信托文件约定进行信托财产的期间分配，并进行信息披露； </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（三）信托项目涉及股权投资的，项目清算分配后，资产管理部须协助提供相关资料，法务合规人员协助业务部门完成相关的股权变更登记工作，业务人员将工商变更登记资料交由资产管理部归入业务档案存档；</w:t>
      </w:r>
    </w:p>
    <w:p w:rsidR="00F353E3" w:rsidRPr="00C54FB4" w:rsidRDefault="00F353E3" w:rsidP="00F353E3">
      <w:pPr>
        <w:tabs>
          <w:tab w:val="left" w:pos="1080"/>
        </w:tabs>
        <w:adjustRightInd w:val="0"/>
        <w:snapToGrid w:val="0"/>
        <w:spacing w:line="360" w:lineRule="auto"/>
        <w:ind w:firstLineChars="200" w:firstLine="480"/>
        <w:rPr>
          <w:rFonts w:ascii="仿宋_GB2312" w:eastAsia="仿宋_GB2312" w:hAnsiTheme="minorEastAsia"/>
          <w:sz w:val="24"/>
          <w:szCs w:val="24"/>
        </w:rPr>
      </w:pPr>
      <w:r w:rsidRPr="00C54FB4">
        <w:rPr>
          <w:rFonts w:ascii="仿宋_GB2312" w:eastAsia="仿宋_GB2312" w:hAnsiTheme="minorEastAsia" w:hint="eastAsia"/>
          <w:sz w:val="24"/>
          <w:szCs w:val="24"/>
        </w:rPr>
        <w:t>（四）信托项目分配日到期前20日，将还款通知发送业务经理；</w:t>
      </w:r>
    </w:p>
    <w:p w:rsidR="00F353E3" w:rsidRPr="00C54FB4" w:rsidRDefault="00F353E3" w:rsidP="00F353E3">
      <w:pPr>
        <w:tabs>
          <w:tab w:val="left" w:pos="1080"/>
        </w:tabs>
        <w:adjustRightInd w:val="0"/>
        <w:snapToGrid w:val="0"/>
        <w:spacing w:line="360" w:lineRule="auto"/>
        <w:ind w:firstLineChars="200" w:firstLine="480"/>
        <w:rPr>
          <w:rFonts w:ascii="仿宋_GB2312" w:eastAsia="仿宋_GB2312" w:hAnsiTheme="minorEastAsia"/>
          <w:b/>
          <w:sz w:val="24"/>
          <w:szCs w:val="24"/>
        </w:rPr>
      </w:pPr>
      <w:r w:rsidRPr="00C54FB4">
        <w:rPr>
          <w:rFonts w:ascii="仿宋_GB2312" w:eastAsia="仿宋_GB2312" w:hAnsiTheme="minorEastAsia" w:hint="eastAsia"/>
          <w:sz w:val="24"/>
          <w:szCs w:val="24"/>
        </w:rPr>
        <w:t>（五）其他事项。</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第六节 信托项目回款流程</w:t>
      </w:r>
    </w:p>
    <w:p w:rsidR="00F353E3" w:rsidRPr="00C54FB4" w:rsidRDefault="00F353E3" w:rsidP="00F353E3">
      <w:pPr>
        <w:numPr>
          <w:ilvl w:val="0"/>
          <w:numId w:val="1"/>
        </w:numPr>
        <w:tabs>
          <w:tab w:val="num" w:pos="900"/>
          <w:tab w:val="left" w:pos="1440"/>
        </w:tabs>
        <w:adjustRightInd w:val="0"/>
        <w:snapToGrid w:val="0"/>
        <w:spacing w:line="360" w:lineRule="auto"/>
        <w:ind w:left="720" w:hanging="180"/>
        <w:rPr>
          <w:rFonts w:ascii="仿宋_GB2312" w:eastAsia="仿宋_GB2312" w:hAnsiTheme="minorEastAsia"/>
          <w:sz w:val="24"/>
          <w:szCs w:val="24"/>
        </w:rPr>
      </w:pPr>
      <w:r>
        <w:rPr>
          <w:rFonts w:ascii="仿宋_GB2312" w:eastAsia="仿宋_GB2312" w:hAnsiTheme="minorEastAsia"/>
          <w:noProof/>
          <w:sz w:val="24"/>
          <w:szCs w:val="24"/>
        </w:rPr>
        <w:lastRenderedPageBreak/>
        <w:pict>
          <v:shape id="_x0000_s2053" type="#_x0000_t75" style="position:absolute;left:0;text-align:left;margin-left:27pt;margin-top:48.6pt;width:395.8pt;height:35.25pt;z-index:251663360">
            <v:imagedata r:id="rId19" o:title=""/>
            <w10:wrap type="topAndBottom"/>
          </v:shape>
          <o:OLEObject Type="Embed" ProgID="Edraw.Document" ShapeID="_x0000_s2053" DrawAspect="Content" ObjectID="_1465815724" r:id="rId20"/>
        </w:pict>
      </w:r>
      <w:r w:rsidRPr="00C54FB4">
        <w:rPr>
          <w:rFonts w:ascii="仿宋_GB2312" w:eastAsia="仿宋_GB2312" w:hAnsiTheme="minorEastAsia" w:hint="eastAsia"/>
          <w:sz w:val="24"/>
          <w:szCs w:val="24"/>
        </w:rPr>
        <w:t xml:space="preserve"> 业务经理负责项目回款的具体工作。回款流程如下：</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第七节  抵（质）押物解押流程</w:t>
      </w:r>
    </w:p>
    <w:p w:rsidR="00F353E3" w:rsidRPr="00C54FB4" w:rsidRDefault="00F353E3" w:rsidP="00F353E3">
      <w:pPr>
        <w:numPr>
          <w:ilvl w:val="0"/>
          <w:numId w:val="1"/>
        </w:numPr>
        <w:tabs>
          <w:tab w:val="left" w:pos="1620"/>
          <w:tab w:val="left" w:pos="1800"/>
        </w:tabs>
        <w:adjustRightInd w:val="0"/>
        <w:snapToGrid w:val="0"/>
        <w:spacing w:line="360" w:lineRule="auto"/>
        <w:ind w:hanging="780"/>
        <w:rPr>
          <w:rFonts w:ascii="仿宋_GB2312" w:eastAsia="仿宋_GB2312" w:hAnsiTheme="minorEastAsia"/>
          <w:sz w:val="24"/>
          <w:szCs w:val="24"/>
        </w:rPr>
      </w:pPr>
      <w:r>
        <w:rPr>
          <w:rFonts w:ascii="仿宋_GB2312" w:eastAsia="仿宋_GB2312" w:hAnsiTheme="minorEastAsia"/>
          <w:noProof/>
          <w:sz w:val="24"/>
          <w:szCs w:val="24"/>
        </w:rPr>
        <w:pict>
          <v:shape id="_x0000_s2055" type="#_x0000_t75" style="position:absolute;left:0;text-align:left;margin-left:36pt;margin-top:78pt;width:381.2pt;height:31.2pt;z-index:251665408">
            <v:imagedata r:id="rId21" o:title=""/>
            <w10:wrap type="topAndBottom"/>
          </v:shape>
          <o:OLEObject Type="Embed" ProgID="Edraw.Document" ShapeID="_x0000_s2055" DrawAspect="Content" ObjectID="_1465815725" r:id="rId22"/>
        </w:pict>
      </w:r>
      <w:r w:rsidRPr="00C54FB4">
        <w:rPr>
          <w:rFonts w:ascii="仿宋_GB2312" w:eastAsia="仿宋_GB2312" w:hAnsiTheme="minorEastAsia" w:hint="eastAsia"/>
          <w:sz w:val="24"/>
          <w:szCs w:val="24"/>
        </w:rPr>
        <w:t xml:space="preserve"> 回款完成后，业务经理办理抵质押物的解押手续</w:t>
      </w:r>
      <w:r w:rsidRPr="00C54FB4">
        <w:rPr>
          <w:rFonts w:ascii="仿宋_GB2312" w:eastAsia="仿宋_GB2312" w:hAnsiTheme="minorEastAsia" w:cs="宋体" w:hint="eastAsia"/>
          <w:sz w:val="24"/>
          <w:szCs w:val="24"/>
        </w:rPr>
        <w:t>，流</w:t>
      </w:r>
    </w:p>
    <w:p w:rsidR="00F353E3" w:rsidRPr="00C54FB4" w:rsidRDefault="00F353E3" w:rsidP="00F353E3">
      <w:pPr>
        <w:tabs>
          <w:tab w:val="left" w:pos="1620"/>
          <w:tab w:val="left" w:pos="1800"/>
        </w:tabs>
        <w:adjustRightInd w:val="0"/>
        <w:snapToGrid w:val="0"/>
        <w:spacing w:line="360" w:lineRule="auto"/>
        <w:rPr>
          <w:rFonts w:ascii="仿宋_GB2312" w:eastAsia="仿宋_GB2312" w:hAnsiTheme="minorEastAsia"/>
          <w:b/>
          <w:sz w:val="24"/>
          <w:szCs w:val="24"/>
        </w:rPr>
      </w:pPr>
      <w:r w:rsidRPr="00C54FB4">
        <w:rPr>
          <w:rFonts w:ascii="仿宋_GB2312" w:eastAsia="仿宋_GB2312" w:hAnsiTheme="minorEastAsia" w:cs="宋体" w:hint="eastAsia"/>
          <w:sz w:val="24"/>
          <w:szCs w:val="24"/>
        </w:rPr>
        <w:t>程如下：</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第八节  清算报告流程</w:t>
      </w:r>
    </w:p>
    <w:p w:rsidR="00F353E3" w:rsidRPr="00C54FB4" w:rsidRDefault="00F353E3" w:rsidP="00F353E3">
      <w:pPr>
        <w:numPr>
          <w:ilvl w:val="0"/>
          <w:numId w:val="1"/>
        </w:numPr>
        <w:tabs>
          <w:tab w:val="left" w:pos="1620"/>
          <w:tab w:val="left" w:pos="1800"/>
          <w:tab w:val="left" w:pos="2160"/>
        </w:tabs>
        <w:adjustRightInd w:val="0"/>
        <w:snapToGrid w:val="0"/>
        <w:spacing w:line="360" w:lineRule="auto"/>
        <w:ind w:left="0" w:firstLine="540"/>
        <w:rPr>
          <w:rFonts w:ascii="仿宋_GB2312" w:eastAsia="仿宋_GB2312" w:hAnsiTheme="minorEastAsia"/>
          <w:sz w:val="24"/>
          <w:szCs w:val="24"/>
        </w:rPr>
      </w:pPr>
      <w:r w:rsidRPr="00C54FB4">
        <w:rPr>
          <w:rFonts w:ascii="仿宋_GB2312" w:eastAsia="仿宋_GB2312" w:hAnsiTheme="minorEastAsia" w:hint="eastAsia"/>
          <w:sz w:val="24"/>
          <w:szCs w:val="24"/>
        </w:rPr>
        <w:t xml:space="preserve"> 项目结束后,资产管理部制作清算报告并发起审批。 清算报告流程如下：</w:t>
      </w:r>
    </w:p>
    <w:p w:rsidR="00F353E3" w:rsidRPr="00C54FB4" w:rsidRDefault="00F353E3" w:rsidP="00F353E3">
      <w:pPr>
        <w:tabs>
          <w:tab w:val="left" w:pos="1620"/>
        </w:tabs>
        <w:adjustRightInd w:val="0"/>
        <w:snapToGrid w:val="0"/>
        <w:spacing w:line="360" w:lineRule="auto"/>
        <w:ind w:firstLineChars="200" w:firstLine="482"/>
        <w:jc w:val="center"/>
        <w:rPr>
          <w:rFonts w:ascii="仿宋_GB2312" w:eastAsia="仿宋_GB2312" w:hAnsiTheme="minorEastAsia"/>
          <w:b/>
          <w:sz w:val="24"/>
          <w:szCs w:val="24"/>
        </w:rPr>
      </w:pPr>
    </w:p>
    <w:p w:rsidR="00F353E3" w:rsidRPr="00C54FB4" w:rsidRDefault="00F353E3" w:rsidP="00F353E3">
      <w:pPr>
        <w:tabs>
          <w:tab w:val="left" w:pos="1620"/>
        </w:tabs>
        <w:adjustRightInd w:val="0"/>
        <w:snapToGrid w:val="0"/>
        <w:spacing w:line="360" w:lineRule="auto"/>
        <w:ind w:firstLineChars="200" w:firstLine="480"/>
        <w:jc w:val="center"/>
        <w:rPr>
          <w:rFonts w:ascii="仿宋_GB2312" w:eastAsia="仿宋_GB2312" w:hAnsiTheme="minorEastAsia"/>
          <w:b/>
          <w:sz w:val="24"/>
          <w:szCs w:val="24"/>
        </w:rPr>
      </w:pPr>
      <w:r w:rsidRPr="00E26AE8">
        <w:rPr>
          <w:rFonts w:ascii="仿宋_GB2312" w:eastAsia="仿宋_GB2312" w:hAnsiTheme="minorEastAsia"/>
          <w:noProof/>
          <w:sz w:val="24"/>
          <w:szCs w:val="24"/>
        </w:rPr>
        <w:pict>
          <v:shape id="_x0000_s2058" type="#_x0000_t75" style="position:absolute;left:0;text-align:left;margin-left:63pt;margin-top:12.6pt;width:312pt;height:91.2pt;z-index:251669504">
            <v:imagedata r:id="rId23" o:title=""/>
            <w10:wrap type="topAndBottom"/>
          </v:shape>
          <o:OLEObject Type="Embed" ProgID="Edraw.Document" ShapeID="_x0000_s2058" DrawAspect="Content" ObjectID="_1465815726" r:id="rId24"/>
        </w:pic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第九节 产品清算流程</w:t>
      </w:r>
    </w:p>
    <w:p w:rsidR="00F353E3" w:rsidRPr="00C54FB4" w:rsidRDefault="00F353E3" w:rsidP="00F353E3">
      <w:pPr>
        <w:numPr>
          <w:ilvl w:val="0"/>
          <w:numId w:val="1"/>
        </w:numPr>
        <w:tabs>
          <w:tab w:val="num" w:pos="720"/>
          <w:tab w:val="left" w:pos="1620"/>
          <w:tab w:val="left" w:pos="1800"/>
          <w:tab w:val="left" w:pos="2340"/>
        </w:tabs>
        <w:adjustRightInd w:val="0"/>
        <w:snapToGrid w:val="0"/>
        <w:spacing w:line="360" w:lineRule="auto"/>
        <w:ind w:left="1620" w:hanging="1080"/>
        <w:rPr>
          <w:rFonts w:ascii="仿宋_GB2312" w:eastAsia="仿宋_GB2312" w:hAnsiTheme="minorEastAsia"/>
          <w:sz w:val="24"/>
          <w:szCs w:val="24"/>
        </w:rPr>
      </w:pPr>
      <w:r w:rsidRPr="00C54FB4">
        <w:rPr>
          <w:rFonts w:ascii="仿宋_GB2312" w:eastAsia="仿宋_GB2312" w:hAnsiTheme="minorEastAsia" w:hint="eastAsia"/>
          <w:sz w:val="24"/>
          <w:szCs w:val="24"/>
        </w:rPr>
        <w:t>清算报告审批通过后，进入产品清算阶段。产品清算</w:t>
      </w:r>
    </w:p>
    <w:p w:rsidR="00F353E3" w:rsidRPr="00C54FB4" w:rsidRDefault="00F353E3" w:rsidP="00F353E3">
      <w:pPr>
        <w:tabs>
          <w:tab w:val="left" w:pos="1620"/>
          <w:tab w:val="left" w:pos="2160"/>
          <w:tab w:val="left" w:pos="2340"/>
        </w:tabs>
        <w:adjustRightInd w:val="0"/>
        <w:snapToGrid w:val="0"/>
        <w:spacing w:line="360" w:lineRule="auto"/>
        <w:rPr>
          <w:rFonts w:ascii="仿宋_GB2312" w:eastAsia="仿宋_GB2312" w:hAnsiTheme="minorEastAsia"/>
          <w:sz w:val="24"/>
          <w:szCs w:val="24"/>
        </w:rPr>
      </w:pPr>
      <w:r>
        <w:rPr>
          <w:rFonts w:ascii="仿宋_GB2312" w:eastAsia="仿宋_GB2312" w:hAnsiTheme="minorEastAsia"/>
          <w:noProof/>
          <w:sz w:val="24"/>
          <w:szCs w:val="24"/>
        </w:rPr>
        <w:pict>
          <v:shape id="_x0000_s2054" type="#_x0000_t75" style="position:absolute;left:0;text-align:left;margin-left:27pt;margin-top:36.75pt;width:395.8pt;height:33pt;z-index:251664384">
            <v:imagedata r:id="rId25" o:title=""/>
            <w10:wrap type="topAndBottom"/>
          </v:shape>
          <o:OLEObject Type="Embed" ProgID="Edraw.Document" ShapeID="_x0000_s2054" DrawAspect="Content" ObjectID="_1465815727" r:id="rId26"/>
        </w:pict>
      </w:r>
      <w:r w:rsidRPr="00C54FB4">
        <w:rPr>
          <w:rFonts w:ascii="仿宋_GB2312" w:eastAsia="仿宋_GB2312" w:hAnsiTheme="minorEastAsia" w:hint="eastAsia"/>
          <w:sz w:val="24"/>
          <w:szCs w:val="24"/>
        </w:rPr>
        <w:t>流程如下：</w:t>
      </w:r>
    </w:p>
    <w:p w:rsidR="00F353E3" w:rsidRPr="00C54FB4" w:rsidRDefault="00F353E3" w:rsidP="00F353E3">
      <w:pPr>
        <w:tabs>
          <w:tab w:val="left" w:pos="1620"/>
          <w:tab w:val="left" w:pos="2160"/>
          <w:tab w:val="left" w:pos="2340"/>
        </w:tabs>
        <w:adjustRightInd w:val="0"/>
        <w:snapToGrid w:val="0"/>
        <w:spacing w:line="360" w:lineRule="auto"/>
        <w:rPr>
          <w:rFonts w:ascii="仿宋_GB2312" w:eastAsia="仿宋_GB2312" w:hAnsiTheme="minorEastAsia"/>
          <w:sz w:val="24"/>
          <w:szCs w:val="24"/>
        </w:rPr>
      </w:pPr>
    </w:p>
    <w:p w:rsidR="00F353E3" w:rsidRPr="00C54FB4" w:rsidRDefault="00F353E3" w:rsidP="00F353E3">
      <w:pPr>
        <w:tabs>
          <w:tab w:val="left" w:pos="1260"/>
        </w:tabs>
        <w:adjustRightInd w:val="0"/>
        <w:snapToGrid w:val="0"/>
        <w:spacing w:line="360" w:lineRule="auto"/>
        <w:ind w:firstLineChars="200" w:firstLine="480"/>
        <w:rPr>
          <w:rFonts w:ascii="仿宋_GB2312" w:eastAsia="仿宋_GB2312" w:hAnsiTheme="minorEastAsia" w:cs="宋体"/>
          <w:sz w:val="24"/>
          <w:szCs w:val="24"/>
        </w:rPr>
      </w:pPr>
      <w:r w:rsidRPr="00C54FB4">
        <w:rPr>
          <w:rFonts w:ascii="仿宋_GB2312" w:eastAsia="仿宋_GB2312" w:hAnsiTheme="minorEastAsia" w:cs="Arial" w:hint="eastAsia"/>
          <w:color w:val="000000"/>
          <w:kern w:val="0"/>
          <w:sz w:val="24"/>
          <w:szCs w:val="24"/>
        </w:rPr>
        <w:t>（一）</w:t>
      </w:r>
      <w:r w:rsidRPr="00C54FB4">
        <w:rPr>
          <w:rFonts w:ascii="仿宋_GB2312" w:eastAsia="仿宋_GB2312" w:hAnsiTheme="minorEastAsia" w:cs="Arial" w:hint="eastAsia"/>
          <w:color w:val="000000"/>
          <w:kern w:val="0"/>
          <w:sz w:val="24"/>
          <w:szCs w:val="24"/>
          <w:lang w:val="zh-CN"/>
        </w:rPr>
        <w:t>资产管理部出具信托利益分配清单</w:t>
      </w:r>
      <w:r w:rsidRPr="00C54FB4">
        <w:rPr>
          <w:rFonts w:ascii="仿宋_GB2312" w:eastAsia="仿宋_GB2312" w:hAnsiTheme="minorEastAsia" w:cs="宋体" w:hint="eastAsia"/>
          <w:color w:val="000000"/>
          <w:kern w:val="0"/>
          <w:sz w:val="24"/>
          <w:szCs w:val="24"/>
          <w:lang w:val="zh-CN"/>
        </w:rPr>
        <w:t>，交财务部复核后，由财务部</w:t>
      </w:r>
      <w:r w:rsidRPr="00C54FB4">
        <w:rPr>
          <w:rFonts w:ascii="仿宋_GB2312" w:eastAsia="仿宋_GB2312" w:hAnsiTheme="minorEastAsia" w:cs="Arial" w:hint="eastAsia"/>
          <w:color w:val="000000"/>
          <w:kern w:val="0"/>
          <w:sz w:val="24"/>
          <w:szCs w:val="24"/>
          <w:lang w:val="zh-CN"/>
        </w:rPr>
        <w:t>通知保管行划付相应的信托利益、保管费和信托报酬</w:t>
      </w:r>
      <w:r w:rsidRPr="00C54FB4">
        <w:rPr>
          <w:rFonts w:ascii="仿宋_GB2312" w:eastAsia="仿宋_GB2312" w:hAnsiTheme="minorEastAsia" w:cs="宋体" w:hint="eastAsia"/>
          <w:color w:val="000000"/>
          <w:kern w:val="0"/>
          <w:sz w:val="24"/>
          <w:szCs w:val="24"/>
          <w:lang w:val="zh-CN"/>
        </w:rPr>
        <w:t>（</w:t>
      </w:r>
      <w:r w:rsidRPr="00C54FB4">
        <w:rPr>
          <w:rFonts w:ascii="仿宋_GB2312" w:eastAsia="仿宋_GB2312" w:hAnsiTheme="minorEastAsia" w:hint="eastAsia"/>
          <w:sz w:val="24"/>
          <w:szCs w:val="24"/>
        </w:rPr>
        <w:t>各项费用支付</w:t>
      </w:r>
      <w:r w:rsidRPr="00C54FB4">
        <w:rPr>
          <w:rFonts w:ascii="仿宋_GB2312" w:eastAsia="仿宋_GB2312" w:hAnsiTheme="minorEastAsia" w:cs="宋体" w:hint="eastAsia"/>
          <w:sz w:val="24"/>
          <w:szCs w:val="24"/>
        </w:rPr>
        <w:t>如信托合同另有约定</w:t>
      </w:r>
      <w:r w:rsidRPr="00C54FB4">
        <w:rPr>
          <w:rFonts w:ascii="仿宋_GB2312" w:eastAsia="仿宋_GB2312" w:hAnsiTheme="minorEastAsia" w:hint="eastAsia"/>
          <w:sz w:val="24"/>
          <w:szCs w:val="24"/>
        </w:rPr>
        <w:t>的</w:t>
      </w:r>
      <w:r w:rsidRPr="00C54FB4">
        <w:rPr>
          <w:rFonts w:ascii="仿宋_GB2312" w:eastAsia="仿宋_GB2312" w:hAnsiTheme="minorEastAsia" w:cs="宋体" w:hint="eastAsia"/>
          <w:sz w:val="24"/>
          <w:szCs w:val="24"/>
        </w:rPr>
        <w:t>，</w:t>
      </w:r>
      <w:r w:rsidRPr="00C54FB4">
        <w:rPr>
          <w:rFonts w:ascii="仿宋_GB2312" w:eastAsia="仿宋_GB2312" w:hAnsiTheme="minorEastAsia" w:hint="eastAsia"/>
          <w:sz w:val="24"/>
          <w:szCs w:val="24"/>
        </w:rPr>
        <w:t>按合同约定执行</w:t>
      </w:r>
      <w:r w:rsidRPr="00C54FB4">
        <w:rPr>
          <w:rFonts w:ascii="仿宋_GB2312" w:eastAsia="仿宋_GB2312" w:hAnsiTheme="minorEastAsia" w:cs="宋体" w:hint="eastAsia"/>
          <w:sz w:val="24"/>
          <w:szCs w:val="24"/>
        </w:rPr>
        <w:t>）；</w:t>
      </w:r>
    </w:p>
    <w:p w:rsidR="00F353E3" w:rsidRPr="00C54FB4" w:rsidRDefault="00F353E3" w:rsidP="00F353E3">
      <w:pPr>
        <w:tabs>
          <w:tab w:val="left" w:pos="1260"/>
        </w:tabs>
        <w:adjustRightInd w:val="0"/>
        <w:snapToGrid w:val="0"/>
        <w:spacing w:line="360" w:lineRule="auto"/>
        <w:ind w:firstLineChars="192" w:firstLine="461"/>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（二）资产管理部将信托利益分配清单交业务经理备案；</w:t>
      </w:r>
    </w:p>
    <w:p w:rsidR="00F353E3" w:rsidRPr="00C54FB4" w:rsidRDefault="00F353E3" w:rsidP="00F353E3">
      <w:pPr>
        <w:adjustRightInd w:val="0"/>
        <w:snapToGrid w:val="0"/>
        <w:spacing w:line="360" w:lineRule="auto"/>
        <w:ind w:firstLineChars="257" w:firstLine="617"/>
        <w:rPr>
          <w:rFonts w:ascii="仿宋_GB2312" w:eastAsia="仿宋_GB2312" w:hAnsiTheme="minorEastAsia" w:cs="宋体"/>
          <w:color w:val="000000"/>
          <w:kern w:val="0"/>
          <w:sz w:val="24"/>
          <w:szCs w:val="24"/>
          <w:lang w:val="zh-CN"/>
        </w:rPr>
      </w:pPr>
      <w:r w:rsidRPr="00C54FB4">
        <w:rPr>
          <w:rFonts w:ascii="仿宋_GB2312" w:eastAsia="仿宋_GB2312" w:hAnsiTheme="minorEastAsia" w:hint="eastAsia"/>
          <w:noProof/>
          <w:sz w:val="24"/>
          <w:szCs w:val="24"/>
        </w:rPr>
        <w:drawing>
          <wp:anchor distT="0" distB="0" distL="114300" distR="114300" simplePos="0" relativeHeight="251667456" behindDoc="0" locked="0" layoutInCell="1" allowOverlap="1">
            <wp:simplePos x="0" y="0"/>
            <wp:positionH relativeFrom="column">
              <wp:posOffset>457200</wp:posOffset>
            </wp:positionH>
            <wp:positionV relativeFrom="paragraph">
              <wp:posOffset>838200</wp:posOffset>
            </wp:positionV>
            <wp:extent cx="4800600" cy="396240"/>
            <wp:effectExtent l="0" t="0" r="0" b="0"/>
            <wp:wrapTopAndBottom/>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396240"/>
                    </a:xfrm>
                    <a:prstGeom prst="rect">
                      <a:avLst/>
                    </a:prstGeom>
                    <a:noFill/>
                    <a:ln>
                      <a:noFill/>
                    </a:ln>
                  </pic:spPr>
                </pic:pic>
              </a:graphicData>
            </a:graphic>
          </wp:anchor>
        </w:drawing>
      </w:r>
      <w:r w:rsidRPr="00C54FB4">
        <w:rPr>
          <w:rFonts w:ascii="仿宋_GB2312" w:eastAsia="仿宋_GB2312" w:hAnsiTheme="minorEastAsia" w:cs="Arial" w:hint="eastAsia"/>
          <w:color w:val="000000"/>
          <w:kern w:val="0"/>
          <w:sz w:val="24"/>
          <w:szCs w:val="24"/>
        </w:rPr>
        <w:t>（三）</w:t>
      </w:r>
      <w:r w:rsidRPr="00C54FB4">
        <w:rPr>
          <w:rFonts w:ascii="仿宋_GB2312" w:eastAsia="仿宋_GB2312" w:hAnsiTheme="minorEastAsia" w:cs="Arial" w:hint="eastAsia"/>
          <w:color w:val="000000"/>
          <w:kern w:val="0"/>
          <w:sz w:val="24"/>
          <w:szCs w:val="24"/>
          <w:lang w:val="zh-CN"/>
        </w:rPr>
        <w:t>保管行划付相应的信托利益、保管费和信托报酬</w:t>
      </w:r>
      <w:r w:rsidRPr="00C54FB4">
        <w:rPr>
          <w:rFonts w:ascii="仿宋_GB2312" w:eastAsia="仿宋_GB2312" w:hAnsiTheme="minorEastAsia" w:cs="宋体" w:hint="eastAsia"/>
          <w:color w:val="000000"/>
          <w:kern w:val="0"/>
          <w:sz w:val="24"/>
          <w:szCs w:val="24"/>
          <w:lang w:val="zh-CN"/>
        </w:rPr>
        <w:t>，业务经理跟进，确认分配完成后，由资产管理部通知财务部销户，流程如下：</w:t>
      </w:r>
    </w:p>
    <w:p w:rsidR="00F353E3" w:rsidRPr="00C54FB4" w:rsidRDefault="00F353E3" w:rsidP="00F353E3">
      <w:pPr>
        <w:tabs>
          <w:tab w:val="left" w:pos="1620"/>
        </w:tabs>
        <w:adjustRightInd w:val="0"/>
        <w:snapToGrid w:val="0"/>
        <w:spacing w:line="360" w:lineRule="auto"/>
        <w:ind w:firstLineChars="200" w:firstLine="48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rPr>
        <w:t>（四）</w:t>
      </w:r>
      <w:r w:rsidRPr="00C54FB4">
        <w:rPr>
          <w:rFonts w:ascii="仿宋_GB2312" w:eastAsia="仿宋_GB2312" w:hAnsiTheme="minorEastAsia" w:cs="Arial" w:hint="eastAsia"/>
          <w:color w:val="000000"/>
          <w:kern w:val="0"/>
          <w:sz w:val="24"/>
          <w:szCs w:val="24"/>
          <w:lang w:val="zh-CN"/>
        </w:rPr>
        <w:t>业务经理录入台账。</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第三章  信托项目的审计</w:t>
      </w:r>
    </w:p>
    <w:p w:rsidR="00F353E3" w:rsidRPr="00C54FB4" w:rsidRDefault="00F353E3" w:rsidP="00F353E3">
      <w:pPr>
        <w:numPr>
          <w:ilvl w:val="0"/>
          <w:numId w:val="1"/>
        </w:numPr>
        <w:tabs>
          <w:tab w:val="left" w:pos="720"/>
          <w:tab w:val="left" w:pos="1620"/>
          <w:tab w:val="left" w:pos="1800"/>
          <w:tab w:val="left" w:pos="1980"/>
        </w:tabs>
        <w:adjustRightInd w:val="0"/>
        <w:snapToGrid w:val="0"/>
        <w:spacing w:line="360" w:lineRule="auto"/>
        <w:ind w:left="1620" w:hanging="900"/>
        <w:rPr>
          <w:rFonts w:ascii="仿宋_GB2312" w:eastAsia="仿宋_GB2312" w:hAnsiTheme="minorEastAsia"/>
          <w:color w:val="000000"/>
          <w:kern w:val="0"/>
          <w:sz w:val="24"/>
          <w:szCs w:val="24"/>
        </w:rPr>
      </w:pPr>
      <w:r w:rsidRPr="00C54FB4">
        <w:rPr>
          <w:rFonts w:ascii="仿宋_GB2312" w:eastAsia="仿宋_GB2312" w:hAnsiTheme="minorEastAsia" w:hint="eastAsia"/>
          <w:sz w:val="24"/>
          <w:szCs w:val="24"/>
        </w:rPr>
        <w:t>信托项目清算分配后5个工作日内，内审稽核部向信托</w:t>
      </w:r>
    </w:p>
    <w:p w:rsidR="00F353E3" w:rsidRPr="00C54FB4" w:rsidRDefault="00F353E3" w:rsidP="00F353E3">
      <w:pPr>
        <w:tabs>
          <w:tab w:val="left" w:pos="720"/>
          <w:tab w:val="left" w:pos="1620"/>
          <w:tab w:val="left" w:pos="1800"/>
        </w:tabs>
        <w:adjustRightInd w:val="0"/>
        <w:snapToGrid w:val="0"/>
        <w:spacing w:line="360" w:lineRule="auto"/>
        <w:rPr>
          <w:rFonts w:ascii="仿宋_GB2312" w:eastAsia="仿宋_GB2312" w:hAnsiTheme="minorEastAsia"/>
          <w:sz w:val="24"/>
          <w:szCs w:val="24"/>
        </w:rPr>
      </w:pPr>
      <w:r w:rsidRPr="00C54FB4">
        <w:rPr>
          <w:rFonts w:ascii="仿宋_GB2312" w:eastAsia="仿宋_GB2312" w:hAnsiTheme="minorEastAsia" w:hint="eastAsia"/>
          <w:sz w:val="24"/>
          <w:szCs w:val="24"/>
        </w:rPr>
        <w:t>业务部、资产管理部、信托财务组发出《信托项目审计通知书》。信托业务部、资产管理部、信托财务组根据审计通知准备相应的材料，并在通知限定的时间内送交内审稽核部。</w:t>
      </w:r>
    </w:p>
    <w:p w:rsidR="00F353E3" w:rsidRPr="00C54FB4" w:rsidRDefault="00F353E3" w:rsidP="00F353E3">
      <w:pPr>
        <w:numPr>
          <w:ilvl w:val="0"/>
          <w:numId w:val="1"/>
        </w:numPr>
        <w:tabs>
          <w:tab w:val="left" w:pos="720"/>
          <w:tab w:val="left" w:pos="1620"/>
          <w:tab w:val="left" w:pos="1800"/>
        </w:tabs>
        <w:adjustRightInd w:val="0"/>
        <w:snapToGrid w:val="0"/>
        <w:spacing w:line="360" w:lineRule="auto"/>
        <w:ind w:left="1620" w:hanging="1080"/>
        <w:rPr>
          <w:rFonts w:ascii="仿宋_GB2312" w:eastAsia="仿宋_GB2312" w:hAnsiTheme="minorEastAsia"/>
          <w:sz w:val="24"/>
          <w:szCs w:val="24"/>
        </w:rPr>
      </w:pPr>
      <w:r w:rsidRPr="00C54FB4">
        <w:rPr>
          <w:rFonts w:ascii="仿宋_GB2312" w:eastAsia="仿宋_GB2312" w:hAnsiTheme="minorEastAsia" w:hint="eastAsia"/>
          <w:sz w:val="24"/>
          <w:szCs w:val="24"/>
        </w:rPr>
        <w:t>内审稽核部根据信托法规、监管机构的要求、公司业务管</w:t>
      </w:r>
    </w:p>
    <w:p w:rsidR="00F353E3" w:rsidRPr="00C54FB4" w:rsidRDefault="00F353E3" w:rsidP="00F353E3">
      <w:pPr>
        <w:tabs>
          <w:tab w:val="left" w:pos="720"/>
          <w:tab w:val="left" w:pos="1620"/>
          <w:tab w:val="left" w:pos="1800"/>
        </w:tabs>
        <w:adjustRightInd w:val="0"/>
        <w:snapToGrid w:val="0"/>
        <w:spacing w:line="360" w:lineRule="auto"/>
        <w:rPr>
          <w:rFonts w:ascii="仿宋_GB2312" w:eastAsia="仿宋_GB2312" w:hAnsiTheme="minorEastAsia"/>
          <w:sz w:val="24"/>
          <w:szCs w:val="24"/>
        </w:rPr>
      </w:pPr>
      <w:r w:rsidRPr="00C54FB4">
        <w:rPr>
          <w:rFonts w:ascii="仿宋_GB2312" w:eastAsia="仿宋_GB2312" w:hAnsiTheme="minorEastAsia" w:hint="eastAsia"/>
          <w:sz w:val="24"/>
          <w:szCs w:val="24"/>
        </w:rPr>
        <w:t>理制度及信托文件的规定对信托项目自立项开始，尽职调查情况、信托资金的运用情况、受托人职责的履行情况、信托财产的清算分配、信托费用的开支，信托佣金的提取及信息披露进行全面稽核。</w:t>
      </w:r>
    </w:p>
    <w:p w:rsidR="00F353E3" w:rsidRPr="00C54FB4" w:rsidRDefault="00F353E3" w:rsidP="00F353E3">
      <w:pPr>
        <w:numPr>
          <w:ilvl w:val="0"/>
          <w:numId w:val="1"/>
        </w:numPr>
        <w:tabs>
          <w:tab w:val="left" w:pos="720"/>
          <w:tab w:val="left" w:pos="1620"/>
          <w:tab w:val="left" w:pos="1800"/>
          <w:tab w:val="left" w:pos="1980"/>
        </w:tabs>
        <w:adjustRightInd w:val="0"/>
        <w:snapToGrid w:val="0"/>
        <w:spacing w:line="360" w:lineRule="auto"/>
        <w:ind w:left="1620" w:hanging="900"/>
        <w:rPr>
          <w:rFonts w:ascii="仿宋_GB2312" w:eastAsia="仿宋_GB2312" w:hAnsiTheme="minorEastAsia"/>
          <w:sz w:val="24"/>
          <w:szCs w:val="24"/>
        </w:rPr>
      </w:pPr>
      <w:r w:rsidRPr="00C54FB4">
        <w:rPr>
          <w:rFonts w:ascii="仿宋_GB2312" w:eastAsia="仿宋_GB2312" w:hAnsiTheme="minorEastAsia" w:hint="eastAsia"/>
          <w:sz w:val="24"/>
          <w:szCs w:val="24"/>
        </w:rPr>
        <w:t>稽核完成后，内审稽核部出具《信托项目稽核报告》</w:t>
      </w:r>
    </w:p>
    <w:p w:rsidR="00F353E3" w:rsidRPr="00C54FB4" w:rsidRDefault="00F353E3" w:rsidP="00F353E3">
      <w:pPr>
        <w:tabs>
          <w:tab w:val="left" w:pos="720"/>
          <w:tab w:val="left" w:pos="1620"/>
          <w:tab w:val="left" w:pos="1800"/>
          <w:tab w:val="left" w:pos="1980"/>
        </w:tabs>
        <w:adjustRightInd w:val="0"/>
        <w:snapToGrid w:val="0"/>
        <w:spacing w:line="360" w:lineRule="auto"/>
        <w:rPr>
          <w:rFonts w:ascii="仿宋_GB2312" w:eastAsia="仿宋_GB2312" w:hAnsiTheme="minorEastAsia"/>
          <w:sz w:val="24"/>
          <w:szCs w:val="24"/>
        </w:rPr>
      </w:pPr>
      <w:r w:rsidRPr="00C54FB4">
        <w:rPr>
          <w:rFonts w:ascii="仿宋_GB2312" w:eastAsia="仿宋_GB2312" w:hAnsiTheme="minorEastAsia" w:hint="eastAsia"/>
          <w:sz w:val="24"/>
          <w:szCs w:val="24"/>
        </w:rPr>
        <w:t>交被审部门确认后，报公司经营管理层。</w:t>
      </w:r>
    </w:p>
    <w:p w:rsidR="00F353E3" w:rsidRPr="00C54FB4" w:rsidRDefault="00F353E3" w:rsidP="00F353E3">
      <w:pPr>
        <w:tabs>
          <w:tab w:val="left" w:pos="1620"/>
        </w:tabs>
        <w:adjustRightInd w:val="0"/>
        <w:snapToGrid w:val="0"/>
        <w:spacing w:line="360" w:lineRule="auto"/>
        <w:ind w:firstLineChars="200" w:firstLine="482"/>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第四章 银信理财合作业务监管要求</w:t>
      </w:r>
    </w:p>
    <w:p w:rsidR="00F353E3" w:rsidRPr="00C54FB4" w:rsidRDefault="00F353E3" w:rsidP="00F353E3">
      <w:pPr>
        <w:tabs>
          <w:tab w:val="left" w:pos="1620"/>
        </w:tabs>
        <w:autoSpaceDE w:val="0"/>
        <w:autoSpaceDN w:val="0"/>
        <w:adjustRightInd w:val="0"/>
        <w:snapToGrid w:val="0"/>
        <w:spacing w:line="360" w:lineRule="auto"/>
        <w:ind w:firstLineChars="196" w:firstLine="470"/>
        <w:rPr>
          <w:rFonts w:ascii="仿宋_GB2312" w:eastAsia="仿宋_GB2312" w:hAnsiTheme="minorEastAsia" w:cs="Arial"/>
          <w:color w:val="000000"/>
          <w:kern w:val="0"/>
          <w:sz w:val="24"/>
          <w:szCs w:val="24"/>
          <w:lang w:val="zh-CN"/>
        </w:rPr>
      </w:pPr>
      <w:r w:rsidRPr="00C54FB4">
        <w:rPr>
          <w:rFonts w:ascii="仿宋_GB2312" w:eastAsia="仿宋_GB2312" w:hAnsiTheme="minorEastAsia" w:cs="Arial" w:hint="eastAsia"/>
          <w:color w:val="000000"/>
          <w:kern w:val="0"/>
          <w:sz w:val="24"/>
          <w:szCs w:val="24"/>
          <w:lang w:val="zh-CN"/>
        </w:rPr>
        <w:t>如单一资金信托业务涉及银信理财合作，必须严格遵照监管规定执行。本章整理汇总了历年来银监会对银信合作业务的监管要求，如有遗漏、变更或补充，以银监会发文为准。</w:t>
      </w:r>
    </w:p>
    <w:p w:rsidR="00F353E3" w:rsidRPr="00C54FB4" w:rsidRDefault="00F353E3" w:rsidP="00F353E3">
      <w:pPr>
        <w:numPr>
          <w:ilvl w:val="0"/>
          <w:numId w:val="1"/>
        </w:numPr>
        <w:tabs>
          <w:tab w:val="num" w:pos="180"/>
          <w:tab w:val="left" w:pos="1260"/>
          <w:tab w:val="left" w:pos="1620"/>
        </w:tabs>
        <w:autoSpaceDE w:val="0"/>
        <w:autoSpaceDN w:val="0"/>
        <w:adjustRightInd w:val="0"/>
        <w:snapToGrid w:val="0"/>
        <w:spacing w:line="360" w:lineRule="auto"/>
        <w:ind w:left="0" w:rightChars="50" w:right="105" w:firstLine="54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 xml:space="preserve"> 信托公司在银信合作中应坚持自主管理原则，提高核心资产管理能力，打造专属产品品牌。自主管理是指信托公司作为受托人，在信托资产管理中拥有主导地位，承担产品设计、项目筛选、投资决策及实施等实质管理和决策职责，不得开展通道类业务。</w:t>
      </w:r>
    </w:p>
    <w:p w:rsidR="00F353E3" w:rsidRPr="00C54FB4" w:rsidRDefault="00F353E3" w:rsidP="00F353E3">
      <w:pPr>
        <w:numPr>
          <w:ilvl w:val="0"/>
          <w:numId w:val="1"/>
        </w:numPr>
        <w:tabs>
          <w:tab w:val="num" w:pos="540"/>
          <w:tab w:val="left" w:pos="1620"/>
        </w:tabs>
        <w:autoSpaceDE w:val="0"/>
        <w:autoSpaceDN w:val="0"/>
        <w:adjustRightInd w:val="0"/>
        <w:snapToGrid w:val="0"/>
        <w:spacing w:line="360" w:lineRule="auto"/>
        <w:ind w:rightChars="50" w:right="105" w:hanging="60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银信理财合作应当符合以下要求：</w:t>
      </w:r>
    </w:p>
    <w:p w:rsidR="00F353E3" w:rsidRPr="00C54FB4" w:rsidRDefault="00F353E3" w:rsidP="00F353E3">
      <w:pPr>
        <w:tabs>
          <w:tab w:val="left" w:pos="162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（一）坚持审慎原则，遵守相关法律法规和监管规定；</w:t>
      </w:r>
    </w:p>
    <w:p w:rsidR="00F353E3" w:rsidRPr="00C54FB4" w:rsidRDefault="00F353E3" w:rsidP="00F353E3">
      <w:pPr>
        <w:tabs>
          <w:tab w:val="left" w:pos="1620"/>
        </w:tabs>
        <w:autoSpaceDE w:val="0"/>
        <w:autoSpaceDN w:val="0"/>
        <w:adjustRightInd w:val="0"/>
        <w:snapToGrid w:val="0"/>
        <w:spacing w:line="360" w:lineRule="auto"/>
        <w:ind w:leftChars="200" w:left="420" w:rightChars="50" w:right="105" w:firstLineChars="50" w:firstLine="12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（二）银行、信托公司应各自独立核算，并建立有效的风险隔</w:t>
      </w:r>
    </w:p>
    <w:p w:rsidR="00F353E3" w:rsidRPr="00C54FB4" w:rsidRDefault="00F353E3" w:rsidP="00F353E3">
      <w:pPr>
        <w:tabs>
          <w:tab w:val="left" w:pos="1620"/>
        </w:tabs>
        <w:autoSpaceDE w:val="0"/>
        <w:autoSpaceDN w:val="0"/>
        <w:adjustRightInd w:val="0"/>
        <w:snapToGrid w:val="0"/>
        <w:spacing w:line="360" w:lineRule="auto"/>
        <w:ind w:rightChars="50" w:right="105"/>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离机制；</w:t>
      </w:r>
    </w:p>
    <w:p w:rsidR="00F353E3" w:rsidRPr="00C54FB4" w:rsidRDefault="00F353E3" w:rsidP="00F353E3">
      <w:pPr>
        <w:tabs>
          <w:tab w:val="left" w:pos="162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（三）信托公司应当勤勉尽责独立处理信托事务，银行不得干预信托公司的管理行为；</w:t>
      </w:r>
    </w:p>
    <w:p w:rsidR="00F353E3" w:rsidRPr="00C54FB4" w:rsidRDefault="00F353E3" w:rsidP="00F353E3">
      <w:pPr>
        <w:tabs>
          <w:tab w:val="left" w:pos="162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（四）依法、及时、充分披露银信理财的相关信息；</w:t>
      </w:r>
    </w:p>
    <w:p w:rsidR="00F353E3" w:rsidRPr="00C54FB4" w:rsidRDefault="00F353E3" w:rsidP="00F353E3">
      <w:pPr>
        <w:tabs>
          <w:tab w:val="left" w:pos="1080"/>
        </w:tabs>
        <w:autoSpaceDE w:val="0"/>
        <w:autoSpaceDN w:val="0"/>
        <w:adjustRightInd w:val="0"/>
        <w:snapToGrid w:val="0"/>
        <w:spacing w:line="360" w:lineRule="auto"/>
        <w:ind w:left="539" w:rightChars="50" w:right="105"/>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（五）中国银监会规定的其他要求。</w:t>
      </w:r>
    </w:p>
    <w:p w:rsidR="00F353E3" w:rsidRPr="00C54FB4" w:rsidRDefault="00F353E3" w:rsidP="00F353E3">
      <w:pPr>
        <w:numPr>
          <w:ilvl w:val="0"/>
          <w:numId w:val="1"/>
        </w:numPr>
        <w:tabs>
          <w:tab w:val="left" w:pos="162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信托公司开展银信理财合作，应当和银行订立信托文件，并遵守以下规定：</w:t>
      </w:r>
    </w:p>
    <w:p w:rsidR="00F353E3" w:rsidRPr="00C54FB4" w:rsidRDefault="00F353E3" w:rsidP="00F353E3">
      <w:pPr>
        <w:tabs>
          <w:tab w:val="left" w:pos="162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lastRenderedPageBreak/>
        <w:t>（一）严格遵守《信托公司管理办法》、《信托公司集合资金信托计划管理办法》等监管规定；</w:t>
      </w:r>
    </w:p>
    <w:p w:rsidR="00F353E3" w:rsidRPr="00C54FB4" w:rsidRDefault="00F353E3" w:rsidP="00F353E3">
      <w:pPr>
        <w:tabs>
          <w:tab w:val="left" w:pos="162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（二）认真履行受托职责，严格管理信托财产；</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（三）为信托财产开立信托财产专户，并将信托财产与固有财产分别管理、分别记账；</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（四）每一只银信理财合作产品至少配备一名信托经理；</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（五）按照信托文件约定向银行披露信托事务处理情况。</w:t>
      </w:r>
    </w:p>
    <w:p w:rsidR="00F353E3" w:rsidRPr="00C54FB4" w:rsidRDefault="00F353E3" w:rsidP="00F353E3">
      <w:pPr>
        <w:numPr>
          <w:ilvl w:val="0"/>
          <w:numId w:val="1"/>
        </w:numPr>
        <w:tabs>
          <w:tab w:val="num" w:pos="720"/>
          <w:tab w:val="left" w:pos="162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信托公司开展银信理财合作业务，信托产品期限均不得低于一年。</w:t>
      </w:r>
    </w:p>
    <w:p w:rsidR="00F353E3" w:rsidRPr="00C54FB4" w:rsidRDefault="00F353E3" w:rsidP="00F353E3">
      <w:pPr>
        <w:numPr>
          <w:ilvl w:val="0"/>
          <w:numId w:val="1"/>
        </w:numPr>
        <w:tabs>
          <w:tab w:val="num" w:pos="720"/>
          <w:tab w:val="left" w:pos="162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信托公司开展融资类银信理财合作业务，应遵循以下原则：</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（一）实行余额比例管理，即融资类业务余额占银信理财合作业务余额的比例不得高于30%。信托资金同时用于融资类和投资类业务的，该信托业务总额应纳入此项规定的考核比例范围；</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（二）银行未转入表内的银信合作信托贷款，各信托公司应当按照10．5％的比例计提风险资本；</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（三）信托公司信托赔偿准备金低于银信合作不良信托贷款余额150％或低于银信合作信托贷款余额2．5％的，信托公司不得分红。</w:t>
      </w:r>
    </w:p>
    <w:p w:rsidR="00F353E3" w:rsidRPr="00C54FB4" w:rsidRDefault="00F353E3" w:rsidP="00F353E3">
      <w:pPr>
        <w:tabs>
          <w:tab w:val="left" w:pos="1080"/>
        </w:tabs>
        <w:autoSpaceDE w:val="0"/>
        <w:autoSpaceDN w:val="0"/>
        <w:adjustRightInd w:val="0"/>
        <w:snapToGrid w:val="0"/>
        <w:spacing w:line="360" w:lineRule="auto"/>
        <w:ind w:rightChars="50" w:right="105"/>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信托公司信托产品均不得设计为开放式；</w:t>
      </w:r>
    </w:p>
    <w:p w:rsidR="00F353E3" w:rsidRPr="00C54FB4" w:rsidRDefault="00F353E3" w:rsidP="00F353E3">
      <w:pPr>
        <w:tabs>
          <w:tab w:val="left" w:pos="1620"/>
        </w:tabs>
        <w:autoSpaceDE w:val="0"/>
        <w:autoSpaceDN w:val="0"/>
        <w:adjustRightInd w:val="0"/>
        <w:snapToGrid w:val="0"/>
        <w:spacing w:line="360" w:lineRule="auto"/>
        <w:ind w:rightChars="50" w:right="105"/>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 xml:space="preserve">    （四）上述融资类银信理财合作业务包括但不限于信托贷款、受让信贷或票据资产、附加回购或回购选择权的投资、股票质押融资等类资产证券化业务。</w:t>
      </w:r>
    </w:p>
    <w:p w:rsidR="00F353E3" w:rsidRPr="00C54FB4" w:rsidRDefault="00F353E3" w:rsidP="00F353E3">
      <w:pPr>
        <w:numPr>
          <w:ilvl w:val="0"/>
          <w:numId w:val="1"/>
        </w:numPr>
        <w:tabs>
          <w:tab w:val="num" w:pos="540"/>
          <w:tab w:val="left" w:pos="162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商业银行和信托公司开展投资类银信理财合作业务，应遵循以下原则：</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（一）信托资金原则上不得投资于非上市公司股权；</w:t>
      </w:r>
    </w:p>
    <w:p w:rsidR="00F353E3" w:rsidRPr="00C54FB4" w:rsidRDefault="00F353E3" w:rsidP="00F353E3">
      <w:pPr>
        <w:tabs>
          <w:tab w:val="num"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二）银信合作产品投资于政府项目的，信托公司应全面了解地方财政收支状况、对外负债及或有负债情况，建立并完善地方财力评估、授信制度，科学评判地方财政综合还款能力；禁止向出资不实、无实际经营业务和存在不良记录的公司开展投融资业务。</w:t>
      </w:r>
    </w:p>
    <w:p w:rsidR="00F353E3" w:rsidRPr="00C54FB4" w:rsidRDefault="00F353E3" w:rsidP="00F353E3">
      <w:pPr>
        <w:numPr>
          <w:ilvl w:val="0"/>
          <w:numId w:val="1"/>
        </w:numPr>
        <w:tabs>
          <w:tab w:val="num" w:pos="1260"/>
          <w:tab w:val="left" w:pos="162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b/>
          <w:kern w:val="0"/>
          <w:sz w:val="24"/>
          <w:szCs w:val="24"/>
        </w:rPr>
      </w:pPr>
      <w:r w:rsidRPr="00C54FB4">
        <w:rPr>
          <w:rFonts w:ascii="仿宋_GB2312" w:eastAsia="仿宋_GB2312" w:hAnsiTheme="minorEastAsia" w:cs="宋体" w:hint="eastAsia"/>
          <w:kern w:val="0"/>
          <w:sz w:val="24"/>
          <w:szCs w:val="24"/>
        </w:rPr>
        <w:t>信托公司开展银信合作业务，应遵循事前报告制度：</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（一）银信合作业务中，信托公司作为受托人，不得将尽职调查职责委托给其他机构。在银信合作受让银行信贷资产、票据资产以及发放信托贷款等融</w:t>
      </w:r>
      <w:r w:rsidRPr="00C54FB4">
        <w:rPr>
          <w:rFonts w:ascii="仿宋_GB2312" w:eastAsia="仿宋_GB2312" w:hAnsiTheme="minorEastAsia" w:cs="宋体" w:hint="eastAsia"/>
          <w:kern w:val="0"/>
          <w:sz w:val="24"/>
          <w:szCs w:val="24"/>
        </w:rPr>
        <w:lastRenderedPageBreak/>
        <w:t>资类业务中，信托公司不得将资产管理职能委托给资产出让方或理财产品发行银行。信托公司将资产管理职责委托给其他第三方机构的，应提前十个工作日向监管部门事前报告；</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（二）银信合作产品投资于权益类金融产品或具备权益类特征的金融产品，且聘请第三方投资顾问的，应提前十个工作日向监管部门事前报告；</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kern w:val="0"/>
          <w:sz w:val="24"/>
          <w:szCs w:val="24"/>
        </w:rPr>
      </w:pPr>
      <w:r w:rsidRPr="00C54FB4">
        <w:rPr>
          <w:rFonts w:ascii="仿宋_GB2312" w:eastAsia="仿宋_GB2312" w:hAnsiTheme="minorEastAsia" w:cs="宋体" w:hint="eastAsia"/>
          <w:kern w:val="0"/>
          <w:sz w:val="24"/>
          <w:szCs w:val="24"/>
        </w:rPr>
        <w:t>（三）对于银信合作业务中存在两个（含）以上信托产品间发生交易的复杂结构产品，信托公司应按照《信托公司管理办法》有关规定向监管部门事前报告。</w:t>
      </w:r>
    </w:p>
    <w:p w:rsidR="00F353E3" w:rsidRPr="00C54FB4" w:rsidRDefault="00F353E3" w:rsidP="00F353E3">
      <w:pPr>
        <w:numPr>
          <w:ilvl w:val="0"/>
          <w:numId w:val="1"/>
        </w:numPr>
        <w:tabs>
          <w:tab w:val="left" w:pos="1620"/>
          <w:tab w:val="left" w:pos="1800"/>
          <w:tab w:val="left" w:pos="198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 xml:space="preserve"> 信托公司除收取信托文件约定的信托报酬外，不得从信托财产中谋取任何利益。信托终止后，信托公司应当将信托财产及其收益全部转移给银行。</w:t>
      </w:r>
    </w:p>
    <w:p w:rsidR="00F353E3" w:rsidRPr="00C54FB4" w:rsidRDefault="00F353E3" w:rsidP="00F353E3">
      <w:pPr>
        <w:numPr>
          <w:ilvl w:val="0"/>
          <w:numId w:val="1"/>
        </w:numPr>
        <w:tabs>
          <w:tab w:val="num" w:pos="720"/>
          <w:tab w:val="left" w:pos="1260"/>
          <w:tab w:val="left" w:pos="1620"/>
          <w:tab w:val="left" w:pos="1980"/>
        </w:tabs>
        <w:autoSpaceDE w:val="0"/>
        <w:autoSpaceDN w:val="0"/>
        <w:adjustRightInd w:val="0"/>
        <w:snapToGrid w:val="0"/>
        <w:spacing w:line="360" w:lineRule="auto"/>
        <w:ind w:left="0" w:rightChars="50" w:right="105" w:firstLineChars="192" w:firstLine="461"/>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银行和信托公司开展信贷资产证券化合作业务，应当遵守以下规定：</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（一）符合《信贷资产证券化试点管理办法》、《金融机构信贷资产证券化试点监督管理办法》等规定；</w:t>
      </w:r>
    </w:p>
    <w:p w:rsidR="00F353E3" w:rsidRPr="00C54FB4" w:rsidRDefault="00F353E3" w:rsidP="00F353E3">
      <w:pPr>
        <w:tabs>
          <w:tab w:val="num"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（二）拟证券化信贷资产的范围、种类、标准和状况等事项要明确，且与实际披露的资产信息相一致。信托公司可以聘请中介机构对该信贷资产进行审计；</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（三）信托公司应当自主选择贷款服务机构、资金保管机构、证券登记托管机构，以及律师事务所、会计师事务所、评级机构等其他为证券化交易提供服务的机构，银行不得代为指定；</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（四）信贷资产实施证券化后，信托公司应当随时了解信贷资产的管理情况，并按规定向资产支持证券持有人披露。贷款服务机构应按照约定及时向信托公司报告信贷资产的管理情况，并接受信托公司核查。</w:t>
      </w:r>
    </w:p>
    <w:p w:rsidR="00F353E3" w:rsidRPr="00C54FB4" w:rsidRDefault="00F353E3" w:rsidP="00F353E3">
      <w:pPr>
        <w:numPr>
          <w:ilvl w:val="0"/>
          <w:numId w:val="1"/>
        </w:numPr>
        <w:tabs>
          <w:tab w:val="num" w:pos="720"/>
          <w:tab w:val="left" w:pos="1980"/>
        </w:tabs>
        <w:autoSpaceDE w:val="0"/>
        <w:autoSpaceDN w:val="0"/>
        <w:adjustRightInd w:val="0"/>
        <w:snapToGrid w:val="0"/>
        <w:spacing w:line="360" w:lineRule="auto"/>
        <w:ind w:left="1260" w:rightChars="50" w:right="105" w:hanging="72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 xml:space="preserve"> 业务指引：</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MingLiU_HKSCS"/>
          <w:color w:val="333333"/>
          <w:kern w:val="0"/>
          <w:sz w:val="24"/>
          <w:szCs w:val="24"/>
        </w:rPr>
      </w:pPr>
      <w:r w:rsidRPr="00C54FB4">
        <w:rPr>
          <w:rFonts w:ascii="仿宋_GB2312" w:eastAsia="仿宋_GB2312" w:hAnsiTheme="minorEastAsia" w:cs="宋体" w:hint="eastAsia"/>
          <w:color w:val="333333"/>
          <w:kern w:val="0"/>
          <w:sz w:val="24"/>
          <w:szCs w:val="24"/>
        </w:rPr>
        <w:t>（一）信托公司发现信托投资风险与理财协议约定的风险水平不适应时，应当向银行提出相关建议；</w:t>
      </w:r>
    </w:p>
    <w:p w:rsidR="00F353E3" w:rsidRPr="00C54FB4" w:rsidRDefault="00F353E3" w:rsidP="00F353E3">
      <w:pPr>
        <w:tabs>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（二）信托公司投资于银行所持的信贷资产、票据资产等资产的，应当采取买断方式，且银行不得以任何形式回购；</w:t>
      </w:r>
    </w:p>
    <w:p w:rsidR="00F353E3" w:rsidRPr="00C54FB4" w:rsidRDefault="00F353E3" w:rsidP="00F353E3">
      <w:pPr>
        <w:tabs>
          <w:tab w:val="left" w:pos="1080"/>
          <w:tab w:val="num" w:pos="180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（三）在信托文件有效期内，信托公司发现作为信托财产的信贷资产、票</w:t>
      </w:r>
      <w:r w:rsidRPr="00C54FB4">
        <w:rPr>
          <w:rFonts w:ascii="仿宋_GB2312" w:eastAsia="仿宋_GB2312" w:hAnsiTheme="minorEastAsia" w:cs="宋体" w:hint="eastAsia"/>
          <w:color w:val="333333"/>
          <w:kern w:val="0"/>
          <w:sz w:val="24"/>
          <w:szCs w:val="24"/>
        </w:rPr>
        <w:lastRenderedPageBreak/>
        <w:t>据资产等资产在入库起算日不符合信托文件约定的范围、种类、标准和状况，可以要求银行予以置换；</w:t>
      </w:r>
    </w:p>
    <w:p w:rsidR="00F353E3" w:rsidRPr="00C54FB4" w:rsidRDefault="00F353E3" w:rsidP="00F353E3">
      <w:pPr>
        <w:tabs>
          <w:tab w:val="left" w:pos="1080"/>
          <w:tab w:val="left" w:pos="1620"/>
          <w:tab w:val="num" w:pos="198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四）信托公司买断银行所持的信贷资产、票据资产等资产的，应当为该资产建立相应的档案，制订完整的资产清收和管理制度，并依据有关规定进行资产风险分类。信托公司可以委托银行代为管理买断的信贷、票据资产等资产；</w:t>
      </w:r>
    </w:p>
    <w:p w:rsidR="00F353E3" w:rsidRPr="00C54FB4" w:rsidRDefault="00F353E3" w:rsidP="00F353E3">
      <w:pPr>
        <w:tabs>
          <w:tab w:val="left" w:pos="1080"/>
          <w:tab w:val="left" w:pos="1260"/>
        </w:tabs>
        <w:autoSpaceDE w:val="0"/>
        <w:autoSpaceDN w:val="0"/>
        <w:adjustRightInd w:val="0"/>
        <w:snapToGrid w:val="0"/>
        <w:spacing w:line="360" w:lineRule="auto"/>
        <w:ind w:rightChars="50" w:right="105"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（五）信托公司开展银信理财合作，可以将理财资金进行组合运用，组合运用应事先明确运用范围和投资策略；</w:t>
      </w:r>
    </w:p>
    <w:p w:rsidR="00F353E3" w:rsidRPr="00C54FB4" w:rsidRDefault="00F353E3" w:rsidP="00F353E3">
      <w:pPr>
        <w:tabs>
          <w:tab w:val="left" w:pos="900"/>
          <w:tab w:val="left" w:pos="1080"/>
        </w:tabs>
        <w:autoSpaceDE w:val="0"/>
        <w:autoSpaceDN w:val="0"/>
        <w:adjustRightInd w:val="0"/>
        <w:snapToGrid w:val="0"/>
        <w:spacing w:line="360" w:lineRule="auto"/>
        <w:ind w:rightChars="50" w:right="105" w:firstLineChars="200" w:firstLine="480"/>
        <w:jc w:val="left"/>
        <w:rPr>
          <w:rFonts w:ascii="仿宋_GB2312" w:eastAsia="仿宋_GB2312" w:hAnsiTheme="minorEastAsia"/>
          <w:b/>
          <w:sz w:val="24"/>
          <w:szCs w:val="24"/>
        </w:rPr>
      </w:pPr>
      <w:r w:rsidRPr="00C54FB4">
        <w:rPr>
          <w:rFonts w:ascii="仿宋_GB2312" w:eastAsia="仿宋_GB2312" w:hAnsiTheme="minorEastAsia" w:cs="宋体" w:hint="eastAsia"/>
          <w:color w:val="333333"/>
          <w:kern w:val="0"/>
          <w:sz w:val="24"/>
          <w:szCs w:val="24"/>
        </w:rPr>
        <w:t>（六）信托公司开展银信理财合作，应当按照现有法律法规的规定和信托文件约定，及时、准确、充分、完整地向银行披露信息，揭示风险。</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Cs/>
          <w:spacing w:val="-7"/>
          <w:sz w:val="24"/>
          <w:szCs w:val="24"/>
        </w:rPr>
      </w:pPr>
      <w:r w:rsidRPr="00C54FB4">
        <w:rPr>
          <w:rFonts w:ascii="仿宋_GB2312" w:eastAsia="仿宋_GB2312" w:hAnsiTheme="minorEastAsia" w:hint="eastAsia"/>
          <w:b/>
          <w:sz w:val="24"/>
          <w:szCs w:val="24"/>
        </w:rPr>
        <w:t>第五章  档案管理</w:t>
      </w:r>
    </w:p>
    <w:p w:rsidR="00F353E3" w:rsidRPr="00C54FB4" w:rsidRDefault="00F353E3" w:rsidP="00F353E3">
      <w:pPr>
        <w:numPr>
          <w:ilvl w:val="0"/>
          <w:numId w:val="1"/>
        </w:numPr>
        <w:tabs>
          <w:tab w:val="num" w:pos="720"/>
          <w:tab w:val="left" w:pos="1980"/>
        </w:tabs>
        <w:autoSpaceDE w:val="0"/>
        <w:autoSpaceDN w:val="0"/>
        <w:adjustRightInd w:val="0"/>
        <w:snapToGrid w:val="0"/>
        <w:spacing w:line="360" w:lineRule="auto"/>
        <w:ind w:left="1260" w:rightChars="50" w:right="105" w:hanging="54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 xml:space="preserve"> 业务承办部门对其承办的单一类信托业务项目分别建</w:t>
      </w:r>
    </w:p>
    <w:p w:rsidR="00F353E3" w:rsidRPr="00C54FB4" w:rsidRDefault="00F353E3" w:rsidP="00F353E3">
      <w:pPr>
        <w:tabs>
          <w:tab w:val="left" w:pos="1980"/>
        </w:tabs>
        <w:autoSpaceDE w:val="0"/>
        <w:autoSpaceDN w:val="0"/>
        <w:adjustRightInd w:val="0"/>
        <w:snapToGrid w:val="0"/>
        <w:spacing w:line="360" w:lineRule="auto"/>
        <w:ind w:rightChars="50" w:right="105"/>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立档案，内容包括但不限于以下材料：</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（一）交易双方提交资料：</w:t>
      </w:r>
    </w:p>
    <w:p w:rsidR="00F353E3" w:rsidRPr="00C54FB4" w:rsidRDefault="00F353E3" w:rsidP="00F353E3">
      <w:pPr>
        <w:autoSpaceDE w:val="0"/>
        <w:autoSpaceDN w:val="0"/>
        <w:adjustRightInd w:val="0"/>
        <w:snapToGrid w:val="0"/>
        <w:spacing w:line="360" w:lineRule="auto"/>
        <w:ind w:firstLineChars="257" w:firstLine="617"/>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1.项目方提交的资料</w:t>
      </w:r>
    </w:p>
    <w:p w:rsidR="00F353E3" w:rsidRPr="00C54FB4" w:rsidRDefault="00F353E3" w:rsidP="00F353E3">
      <w:pPr>
        <w:autoSpaceDE w:val="0"/>
        <w:autoSpaceDN w:val="0"/>
        <w:adjustRightInd w:val="0"/>
        <w:snapToGrid w:val="0"/>
        <w:spacing w:line="360" w:lineRule="auto"/>
        <w:ind w:firstLineChars="257" w:firstLine="617"/>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营业执照；组织机构代码证；业务申请；董事会（股东会）决议；章程、合同或协议；贷款卡复印件；经审计的近三年财务报表及按月（或季）收集的财务报表；委托方需要的其他资料；</w:t>
      </w:r>
    </w:p>
    <w:p w:rsidR="00F353E3" w:rsidRPr="00C54FB4" w:rsidRDefault="00F353E3" w:rsidP="00F353E3">
      <w:pPr>
        <w:autoSpaceDE w:val="0"/>
        <w:autoSpaceDN w:val="0"/>
        <w:adjustRightInd w:val="0"/>
        <w:snapToGrid w:val="0"/>
        <w:spacing w:line="360" w:lineRule="auto"/>
        <w:ind w:firstLineChars="257" w:firstLine="617"/>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2.委托方提交的资料</w:t>
      </w:r>
    </w:p>
    <w:p w:rsidR="00F353E3" w:rsidRPr="00C54FB4" w:rsidRDefault="00F353E3" w:rsidP="00F353E3">
      <w:pPr>
        <w:autoSpaceDE w:val="0"/>
        <w:autoSpaceDN w:val="0"/>
        <w:adjustRightInd w:val="0"/>
        <w:snapToGrid w:val="0"/>
        <w:spacing w:line="360" w:lineRule="auto"/>
        <w:ind w:firstLineChars="257" w:firstLine="617"/>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合格投资者所需的资料；公司需要的其他资料；</w:t>
      </w:r>
    </w:p>
    <w:p w:rsidR="00F353E3" w:rsidRPr="00C54FB4" w:rsidRDefault="00F353E3" w:rsidP="00F353E3">
      <w:pPr>
        <w:autoSpaceDE w:val="0"/>
        <w:autoSpaceDN w:val="0"/>
        <w:adjustRightInd w:val="0"/>
        <w:snapToGrid w:val="0"/>
        <w:spacing w:line="360" w:lineRule="auto"/>
        <w:ind w:firstLineChars="150" w:firstLine="36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（二）公司内部形成的资料：</w:t>
      </w:r>
    </w:p>
    <w:p w:rsidR="00F353E3" w:rsidRPr="00C54FB4" w:rsidRDefault="00F353E3" w:rsidP="00F353E3">
      <w:pPr>
        <w:autoSpaceDE w:val="0"/>
        <w:autoSpaceDN w:val="0"/>
        <w:adjustRightInd w:val="0"/>
        <w:snapToGrid w:val="0"/>
        <w:spacing w:line="360" w:lineRule="auto"/>
        <w:ind w:firstLineChars="192" w:firstLine="461"/>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业务尽职调查报告；公司内部业务审批资料；监管机关报备批复（必要时）；资金划转凭证（或借据）；保证（抵押）合同；法律性文本审查意见书；日常管理台账及跟踪检查报告；</w:t>
      </w:r>
    </w:p>
    <w:p w:rsidR="00F353E3" w:rsidRPr="00C54FB4" w:rsidRDefault="00F353E3" w:rsidP="00F353E3">
      <w:pPr>
        <w:numPr>
          <w:ilvl w:val="0"/>
          <w:numId w:val="1"/>
        </w:numPr>
        <w:tabs>
          <w:tab w:val="clear" w:pos="1320"/>
          <w:tab w:val="num" w:pos="180"/>
          <w:tab w:val="num" w:pos="540"/>
          <w:tab w:val="left" w:pos="900"/>
        </w:tabs>
        <w:autoSpaceDE w:val="0"/>
        <w:autoSpaceDN w:val="0"/>
        <w:adjustRightInd w:val="0"/>
        <w:snapToGrid w:val="0"/>
        <w:spacing w:line="360" w:lineRule="auto"/>
        <w:ind w:left="0" w:rightChars="50" w:right="105" w:firstLine="54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业务档案必须根据公司《档案管理办法》进行管理。项目完成后，业务承办部门整理汇总项目资料，原件移交资产管理部，业务部门留存复印件。</w:t>
      </w:r>
    </w:p>
    <w:p w:rsidR="00F353E3" w:rsidRPr="00C54FB4" w:rsidRDefault="00F353E3" w:rsidP="00F353E3">
      <w:pPr>
        <w:tabs>
          <w:tab w:val="left" w:pos="1620"/>
        </w:tabs>
        <w:adjustRightInd w:val="0"/>
        <w:snapToGrid w:val="0"/>
        <w:spacing w:line="360" w:lineRule="auto"/>
        <w:jc w:val="center"/>
        <w:rPr>
          <w:rFonts w:ascii="仿宋_GB2312" w:eastAsia="仿宋_GB2312" w:hAnsiTheme="minorEastAsia"/>
          <w:b/>
          <w:sz w:val="24"/>
          <w:szCs w:val="24"/>
        </w:rPr>
      </w:pPr>
      <w:r w:rsidRPr="00C54FB4">
        <w:rPr>
          <w:rFonts w:ascii="仿宋_GB2312" w:eastAsia="仿宋_GB2312" w:hAnsiTheme="minorEastAsia" w:hint="eastAsia"/>
          <w:b/>
          <w:sz w:val="24"/>
          <w:szCs w:val="24"/>
        </w:rPr>
        <w:t>第六章  附  则</w:t>
      </w:r>
    </w:p>
    <w:p w:rsidR="00F353E3" w:rsidRPr="00C54FB4" w:rsidRDefault="00F353E3" w:rsidP="00F353E3">
      <w:pPr>
        <w:numPr>
          <w:ilvl w:val="0"/>
          <w:numId w:val="1"/>
        </w:numPr>
        <w:tabs>
          <w:tab w:val="num" w:pos="720"/>
          <w:tab w:val="left" w:pos="1260"/>
        </w:tabs>
        <w:autoSpaceDE w:val="0"/>
        <w:autoSpaceDN w:val="0"/>
        <w:adjustRightInd w:val="0"/>
        <w:snapToGrid w:val="0"/>
        <w:spacing w:line="360" w:lineRule="auto"/>
        <w:ind w:left="1260" w:rightChars="50" w:right="105" w:hanging="720"/>
        <w:jc w:val="left"/>
        <w:rPr>
          <w:rFonts w:ascii="仿宋_GB2312" w:eastAsia="仿宋_GB2312" w:hAnsiTheme="minorEastAsia" w:cs="宋体"/>
          <w:color w:val="333333"/>
          <w:kern w:val="0"/>
          <w:sz w:val="24"/>
          <w:szCs w:val="24"/>
        </w:rPr>
      </w:pPr>
      <w:r w:rsidRPr="00C54FB4">
        <w:rPr>
          <w:rFonts w:ascii="仿宋_GB2312" w:eastAsia="仿宋_GB2312" w:hAnsiTheme="minorEastAsia" w:cs="宋体" w:hint="eastAsia"/>
          <w:color w:val="333333"/>
          <w:kern w:val="0"/>
          <w:sz w:val="24"/>
          <w:szCs w:val="24"/>
        </w:rPr>
        <w:t xml:space="preserve"> 本操作指引由公司负责解释与修订。</w:t>
      </w:r>
    </w:p>
    <w:p w:rsidR="00F353E3" w:rsidRPr="00C54FB4" w:rsidRDefault="00F353E3" w:rsidP="00F353E3">
      <w:pPr>
        <w:numPr>
          <w:ilvl w:val="0"/>
          <w:numId w:val="1"/>
        </w:numPr>
        <w:tabs>
          <w:tab w:val="num" w:pos="720"/>
          <w:tab w:val="left" w:pos="1260"/>
        </w:tabs>
        <w:autoSpaceDE w:val="0"/>
        <w:autoSpaceDN w:val="0"/>
        <w:adjustRightInd w:val="0"/>
        <w:snapToGrid w:val="0"/>
        <w:spacing w:line="360" w:lineRule="auto"/>
        <w:ind w:left="1260" w:rightChars="50" w:right="105" w:hanging="720"/>
        <w:jc w:val="left"/>
        <w:rPr>
          <w:rFonts w:ascii="仿宋_GB2312" w:eastAsia="仿宋_GB2312" w:hAnsiTheme="minorEastAsia" w:cs="宋体"/>
          <w:sz w:val="24"/>
          <w:szCs w:val="24"/>
        </w:rPr>
      </w:pPr>
      <w:r w:rsidRPr="00C54FB4">
        <w:rPr>
          <w:rFonts w:ascii="仿宋_GB2312" w:eastAsia="仿宋_GB2312" w:hAnsiTheme="minorEastAsia" w:cs="宋体" w:hint="eastAsia"/>
          <w:color w:val="333333"/>
          <w:kern w:val="0"/>
          <w:sz w:val="24"/>
          <w:szCs w:val="24"/>
        </w:rPr>
        <w:t xml:space="preserve"> 本操作指引自公司下发之日起施行</w:t>
      </w:r>
      <w:r w:rsidRPr="00C54FB4">
        <w:rPr>
          <w:rFonts w:ascii="仿宋_GB2312" w:eastAsia="仿宋_GB2312" w:hAnsiTheme="minorEastAsia" w:cs="宋体" w:hint="eastAsia"/>
          <w:sz w:val="24"/>
          <w:szCs w:val="24"/>
        </w:rPr>
        <w:t>。</w:t>
      </w:r>
    </w:p>
    <w:p w:rsidR="00F353E3" w:rsidRPr="00C54FB4" w:rsidRDefault="00F353E3" w:rsidP="00F353E3">
      <w:pPr>
        <w:autoSpaceDE w:val="0"/>
        <w:autoSpaceDN w:val="0"/>
        <w:adjustRightInd w:val="0"/>
        <w:snapToGrid w:val="0"/>
        <w:spacing w:line="360" w:lineRule="auto"/>
        <w:ind w:firstLineChars="200" w:firstLine="482"/>
        <w:jc w:val="left"/>
        <w:rPr>
          <w:rFonts w:ascii="仿宋_GB2312" w:eastAsia="仿宋_GB2312" w:hAnsiTheme="minorEastAsia" w:cs="宋体"/>
          <w:b/>
          <w:sz w:val="24"/>
          <w:szCs w:val="24"/>
        </w:rPr>
      </w:pPr>
      <w:r w:rsidRPr="00C54FB4">
        <w:rPr>
          <w:rFonts w:ascii="仿宋_GB2312" w:eastAsia="仿宋_GB2312" w:hAnsiTheme="minorEastAsia" w:cs="宋体" w:hint="eastAsia"/>
          <w:b/>
          <w:sz w:val="24"/>
          <w:szCs w:val="24"/>
        </w:rPr>
        <w:t>附件：项目尽职调查报告要素</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lastRenderedPageBreak/>
        <w:t>1、项目概要或方案简介</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①信托产品的规模、期限；</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②信托资金的运用方式、期限、用途，保证措施等；</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③信托项下的收益情况、费用安排及分配方案等。</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2、融资方、担保方基本情况</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①公司简介，包括公司历史沿革、组织结构、证照描述（法人营业执照、组织机构代码证、税务登记证、开户许可证、法定代表人身份证明书）、股东构成及持股比例、管理层及团队建设情况等；</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②经营情况，包括企业生产运营模式、主要产品的介绍、信托期间发展状况的预测；</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③财务状况，包括前三年和最近一期的财务报表分析，在列示资产负债表、利润表、现金流量表的具体数据时，至少应列示金额占比较大的科目并对其进行分析说明，必要时要列示科目明细；</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④资信调查，通过贷款卡查询人民银行信贷登记咨询系统，列表逐笔说明其负债情况和对外担保情况，包括贷款人、借款金额、借款类型、借款起止日期、保证措施等。</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3、项目基本情况</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①项目立项、审批情况</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②项目建设进度安排及目前进展情况</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③项目投资预算及资金来源落实情况</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④项目经济效益分析</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4、信托方案说明</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①信托规模、期限</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②信托财产的管理、运用和处分（包括信托资金用途）</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③信托费用及税费</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④信托利益的计算和分配</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⑤信托成立、变更和终止</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⑥信息披露</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5、还款来源及保证措施</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①还款来源分析</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lastRenderedPageBreak/>
        <w:t>②保证措施</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6、风险提示与控制</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①主要风险</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②风险防范与控制</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7、项目合规性分析</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对照现有法律法规以及公司相关业务指引的具体要求，分析并说明项目方案设计的合规性。</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8、结论</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9、附件：尽职调查报告资料清单，列示尽职调查过程中搜集到的有关资料，包括但不限于：</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①交易对手基础资料；</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②财务报表及交易对手经营情况的资料</w:t>
      </w:r>
    </w:p>
    <w:p w:rsidR="00F353E3" w:rsidRPr="00C54FB4"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③项目立项、审批、预算、效益分析等资料</w:t>
      </w:r>
    </w:p>
    <w:p w:rsidR="00F353E3" w:rsidRDefault="00F353E3" w:rsidP="00F353E3">
      <w:pPr>
        <w:autoSpaceDE w:val="0"/>
        <w:autoSpaceDN w:val="0"/>
        <w:adjustRightInd w:val="0"/>
        <w:snapToGrid w:val="0"/>
        <w:spacing w:line="360" w:lineRule="auto"/>
        <w:ind w:firstLineChars="200" w:firstLine="480"/>
        <w:jc w:val="left"/>
        <w:rPr>
          <w:rFonts w:ascii="仿宋_GB2312" w:eastAsia="仿宋_GB2312" w:hAnsiTheme="minorEastAsia" w:cs="宋体"/>
          <w:sz w:val="24"/>
          <w:szCs w:val="24"/>
        </w:rPr>
      </w:pPr>
      <w:r w:rsidRPr="00C54FB4">
        <w:rPr>
          <w:rFonts w:ascii="仿宋_GB2312" w:eastAsia="仿宋_GB2312" w:hAnsiTheme="minorEastAsia" w:cs="宋体" w:hint="eastAsia"/>
          <w:sz w:val="24"/>
          <w:szCs w:val="24"/>
        </w:rPr>
        <w:t>④银行授信报告</w:t>
      </w:r>
    </w:p>
    <w:p w:rsidR="005D779E" w:rsidRDefault="005D779E"/>
    <w:sectPr w:rsidR="005D779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779E" w:rsidRDefault="005D779E" w:rsidP="00F353E3">
      <w:r>
        <w:separator/>
      </w:r>
    </w:p>
  </w:endnote>
  <w:endnote w:type="continuationSeparator" w:id="1">
    <w:p w:rsidR="005D779E" w:rsidRDefault="005D779E" w:rsidP="00F353E3">
      <w:r>
        <w:continuationSeparator/>
      </w:r>
    </w:p>
  </w:endnote>
</w:endnotes>
</file>

<file path=word/fontTable.xml><?xml version="1.0" encoding="utf-8"?>
<w:fonts xmlns:r="http://schemas.openxmlformats.org/officeDocument/2006/relationships" xmlns:w="http://schemas.openxmlformats.org/wordprocessingml/2006/main">
  <w:font w:name="仿宋_GB2312">
    <w:altName w:val="仿宋"/>
    <w:panose1 w:val="02010609030101010101"/>
    <w:charset w:val="86"/>
    <w:family w:val="modern"/>
    <w:pitch w:val="fixed"/>
    <w:sig w:usb0="00000001" w:usb1="080E0000" w:usb2="00000010" w:usb3="00000000" w:csb0="00040000" w:csb1="00000000"/>
  </w:font>
  <w:font w:name="仿宋">
    <w:altName w:val="Arial Unicode MS"/>
    <w:charset w:val="86"/>
    <w:family w:val="modern"/>
    <w:pitch w:val="fixed"/>
    <w:sig w:usb0="800002BF" w:usb1="38CF7CFA"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MingLiU_HKSCS">
    <w:charset w:val="88"/>
    <w:family w:val="roman"/>
    <w:pitch w:val="variable"/>
    <w:sig w:usb0="A00002FF" w:usb1="38CFFCFA" w:usb2="00000016" w:usb3="00000000" w:csb0="001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779E" w:rsidRDefault="005D779E" w:rsidP="00F353E3">
      <w:r>
        <w:separator/>
      </w:r>
    </w:p>
  </w:footnote>
  <w:footnote w:type="continuationSeparator" w:id="1">
    <w:p w:rsidR="005D779E" w:rsidRDefault="005D779E" w:rsidP="00F353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882516"/>
    <w:multiLevelType w:val="hybridMultilevel"/>
    <w:tmpl w:val="D4D4629C"/>
    <w:lvl w:ilvl="0" w:tplc="966EA51A">
      <w:start w:val="1"/>
      <w:numFmt w:val="japaneseCounting"/>
      <w:lvlText w:val="第%1条"/>
      <w:lvlJc w:val="left"/>
      <w:pPr>
        <w:tabs>
          <w:tab w:val="num" w:pos="1320"/>
        </w:tabs>
        <w:ind w:left="1320" w:hanging="420"/>
      </w:pPr>
      <w:rPr>
        <w:rFonts w:ascii="仿宋_GB2312" w:eastAsia="仿宋_GB2312" w:hAnsi="仿宋" w:cs="Times New Roman"/>
        <w:b/>
      </w:rPr>
    </w:lvl>
    <w:lvl w:ilvl="1" w:tplc="6694B430">
      <w:start w:val="1"/>
      <w:numFmt w:val="japaneseCounting"/>
      <w:lvlText w:val="（%2）"/>
      <w:lvlJc w:val="left"/>
      <w:pPr>
        <w:tabs>
          <w:tab w:val="num" w:pos="825"/>
        </w:tabs>
        <w:ind w:left="825" w:hanging="1125"/>
      </w:pPr>
      <w:rPr>
        <w:rFonts w:hint="default"/>
        <w:b w:val="0"/>
      </w:rPr>
    </w:lvl>
    <w:lvl w:ilvl="2" w:tplc="979EF466">
      <w:start w:val="1"/>
      <w:numFmt w:val="japaneseCounting"/>
      <w:lvlText w:val="第%3条"/>
      <w:lvlJc w:val="left"/>
      <w:pPr>
        <w:tabs>
          <w:tab w:val="num" w:pos="540"/>
        </w:tabs>
        <w:ind w:left="540" w:hanging="420"/>
      </w:pPr>
      <w:rPr>
        <w:rFonts w:ascii="仿宋" w:eastAsia="仿宋" w:hAnsi="仿宋" w:cs="Times New Roman"/>
        <w:b w:val="0"/>
      </w:rPr>
    </w:lvl>
    <w:lvl w:ilvl="3" w:tplc="D15A13F2">
      <w:start w:val="4"/>
      <w:numFmt w:val="japaneseCounting"/>
      <w:lvlText w:val="第%4章"/>
      <w:lvlJc w:val="left"/>
      <w:pPr>
        <w:tabs>
          <w:tab w:val="num" w:pos="1890"/>
        </w:tabs>
        <w:ind w:left="1890" w:hanging="1350"/>
      </w:pPr>
      <w:rPr>
        <w:rFonts w:hint="default"/>
      </w:rPr>
    </w:lvl>
    <w:lvl w:ilvl="4" w:tplc="04090019" w:tentative="1">
      <w:start w:val="1"/>
      <w:numFmt w:val="lowerLetter"/>
      <w:lvlText w:val="%5)"/>
      <w:lvlJc w:val="left"/>
      <w:pPr>
        <w:tabs>
          <w:tab w:val="num" w:pos="1380"/>
        </w:tabs>
        <w:ind w:left="1380" w:hanging="420"/>
      </w:pPr>
    </w:lvl>
    <w:lvl w:ilvl="5" w:tplc="0409001B" w:tentative="1">
      <w:start w:val="1"/>
      <w:numFmt w:val="lowerRoman"/>
      <w:lvlText w:val="%6."/>
      <w:lvlJc w:val="right"/>
      <w:pPr>
        <w:tabs>
          <w:tab w:val="num" w:pos="1800"/>
        </w:tabs>
        <w:ind w:left="1800" w:hanging="420"/>
      </w:pPr>
    </w:lvl>
    <w:lvl w:ilvl="6" w:tplc="0409000F" w:tentative="1">
      <w:start w:val="1"/>
      <w:numFmt w:val="decimal"/>
      <w:lvlText w:val="%7."/>
      <w:lvlJc w:val="left"/>
      <w:pPr>
        <w:tabs>
          <w:tab w:val="num" w:pos="2220"/>
        </w:tabs>
        <w:ind w:left="2220" w:hanging="420"/>
      </w:pPr>
    </w:lvl>
    <w:lvl w:ilvl="7" w:tplc="04090019" w:tentative="1">
      <w:start w:val="1"/>
      <w:numFmt w:val="lowerLetter"/>
      <w:lvlText w:val="%8)"/>
      <w:lvlJc w:val="left"/>
      <w:pPr>
        <w:tabs>
          <w:tab w:val="num" w:pos="2640"/>
        </w:tabs>
        <w:ind w:left="2640" w:hanging="420"/>
      </w:pPr>
    </w:lvl>
    <w:lvl w:ilvl="8" w:tplc="0409001B" w:tentative="1">
      <w:start w:val="1"/>
      <w:numFmt w:val="lowerRoman"/>
      <w:lvlText w:val="%9."/>
      <w:lvlJc w:val="right"/>
      <w:pPr>
        <w:tabs>
          <w:tab w:val="num" w:pos="3060"/>
        </w:tabs>
        <w:ind w:left="3060" w:hanging="420"/>
      </w:pPr>
    </w:lvl>
  </w:abstractNum>
  <w:abstractNum w:abstractNumId="1">
    <w:nsid w:val="71605205"/>
    <w:multiLevelType w:val="hybridMultilevel"/>
    <w:tmpl w:val="9416B568"/>
    <w:lvl w:ilvl="0" w:tplc="322881B8">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353E3"/>
    <w:rsid w:val="005D779E"/>
    <w:rsid w:val="00F353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53E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353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353E3"/>
    <w:rPr>
      <w:sz w:val="18"/>
      <w:szCs w:val="18"/>
    </w:rPr>
  </w:style>
  <w:style w:type="paragraph" w:styleId="a4">
    <w:name w:val="footer"/>
    <w:basedOn w:val="a"/>
    <w:link w:val="Char0"/>
    <w:uiPriority w:val="99"/>
    <w:semiHidden/>
    <w:unhideWhenUsed/>
    <w:rsid w:val="00F353E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353E3"/>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wm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826</Words>
  <Characters>4712</Characters>
  <Application>Microsoft Office Word</Application>
  <DocSecurity>0</DocSecurity>
  <Lines>39</Lines>
  <Paragraphs>11</Paragraphs>
  <ScaleCrop>false</ScaleCrop>
  <Company>wxtrust</Company>
  <LinksUpToDate>false</LinksUpToDate>
  <CharactersWithSpaces>5527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dczheng</dc:creator>
  <cp:keywords/>
  <dc:description/>
  <cp:lastModifiedBy>dczheng</cp:lastModifiedBy>
  <cp:revision>2</cp:revision>
  <dcterms:created xsi:type="dcterms:W3CDTF">2014-07-02T06:09:00Z</dcterms:created>
  <dcterms:modified xsi:type="dcterms:W3CDTF">2014-07-02T06:09:00Z</dcterms:modified>
</cp:coreProperties>
</file>