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D21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Style w:val="6"/>
          <w:rFonts w:hint="eastAsia" w:ascii="宋体" w:hAnsi="宋体" w:eastAsia="宋体" w:cs="宋体"/>
          <w:b/>
          <w:spacing w:val="10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pacing w:val="10"/>
          <w:sz w:val="24"/>
          <w:szCs w:val="24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spacing w:val="5"/>
          <w:sz w:val="24"/>
          <w:szCs w:val="24"/>
          <w:bdr w:val="none" w:color="auto" w:sz="0" w:space="0"/>
          <w:shd w:val="clear" w:fill="FFFFFF"/>
        </w:rPr>
        <w:t>分类施策多举联动 治出一方和谐稳定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spacing w:val="5"/>
          <w:sz w:val="24"/>
          <w:szCs w:val="24"/>
          <w:bdr w:val="none" w:color="auto" w:sz="0" w:space="0"/>
          <w:shd w:val="clear" w:fill="FFFFFF"/>
        </w:rPr>
        <w:t>河北省邯郸市复兴区创新乡村治理新模式</w:t>
      </w:r>
    </w:p>
    <w:bookmarkEnd w:id="0"/>
    <w:p w14:paraId="5DE6DE78">
      <w:pPr>
        <w:pStyle w:val="3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编者按：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河北省邯郸市复兴区因地制宜践行新时代“枫桥经验”，完善矛盾纠纷源头预防、排查预警、多元化解机制，以“分类+清单”“常态+动态”“联动+实效”为着力点，构建“3类问题联解、6项举措联用、5大保障联抓”的“365”乡村治理模式，形成“源头预防、依法治理、减少矛盾、促进和谐”的新格局，创新了乡村治理的新模式。</w:t>
      </w:r>
    </w:p>
    <w:p w14:paraId="0B5F896F">
      <w:pPr>
        <w:pStyle w:val="3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　　复兴区位于河北省南部，邯郸市区西部，总面积137平方公里，人口30.1万，辖1个镇、2个乡、8个街道办事处，共71个社区、41个行政村。十届区委换届以来，复兴区实施基层党建高质量发展三年行动计划，开展“红动·复兴”全域党建品牌创建工作，围绕“六大工程”实行“三步走”战略，村级党组织以党员带动退役军人、村民代表、妇联等，凝聚各方社会力量，探索了“365”乡村治理新模式，所有行政村全部建成省级和美乡村，率先实现省级和美乡村全域覆盖。</w:t>
      </w:r>
    </w:p>
    <w:p w14:paraId="567B2DA8">
      <w:pPr>
        <w:pStyle w:val="3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　　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一、3类问题联解：“分类+清单”精准施策，提升治理效能</w:t>
      </w:r>
    </w:p>
    <w:p w14:paraId="557BC6CD">
      <w:pPr>
        <w:pStyle w:val="3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　　围绕“优化资源配置、提高治理效率”的目标，采用“分类+清单”工作思路将乡村治理问题分为“未病”“小病”“大病”三类，通过建立类别清单进行精准施策。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一是“防未病”，形成“未病”类别清单。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把乡村中潜在的、尚未显现或尚未发展成明显问题的因素和情况定义为“未病”。把未病分为政策误解类、不良风气类、潜在矛盾类、设施隐患类等类别。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二是“疗小病”，形成“小病”类别清单。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将乡村中已经出现的、影响范围相对较小、性质较为轻微的问题定义为“小病”。把“小病”分为争吵纠纷类、轻微违规类、设施故障类、政策抵触类等类别。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三是“治大病”，形成“大病”类别清单。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把对乡村和谐稳定和发展造成重大影响的严重问题定义为“大病”。把“大病”分为群体冲突类、严重污染类、违法犯罪类、重大灾害类。</w:t>
      </w:r>
    </w:p>
    <w:p w14:paraId="47D40F20">
      <w:pPr>
        <w:pStyle w:val="3"/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二、6项举措联用：“常态+动态”协同发力，优化治理载体</w:t>
      </w:r>
    </w:p>
    <w:p w14:paraId="564F5A18">
      <w:pPr>
        <w:pStyle w:val="3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　　通过建立“常态+动态”机制实现六项举措协同发力，以“常态”确保日常工作的稳定性和连续性，以“动态”灵活应对各种突发情况和变化趋势，保证了治理体系在不断变化的环境中依然能够高效运转。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一是乡风文明树新风。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选好乡风文明带头人，每年开展“十星文明户”“五好家庭”“善行公德榜”“好公婆”“好媳妇”“好儿女”等评比活动，实现评选活动常态化，评选标准动态化。截至2024年7月底，共评选“十星文明户”920户，“五好家庭”660户，“好公婆”30人，“好媳妇”40人，“好儿女”30人，使乡风文明建设深入民心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二是村规民约立规范。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严格规范村规民约制定或修订程序，组建由村“两委”干部、党员、村民代表组成的民意征集小组，广泛征求群众意见，将意见分类提交讨论，实现村规民约执行常态化，修订动态化。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三是“1号主题党日”提质量。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村级党组织每月1号雷打不动开展主题党日活动，按照“4+X”模式，常态化完成4个规定动作，动态化调整自选动作，实现了“固定日期、保质保量、实际运用”的目标，提升组织生活质量。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四是六张清单明权责。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通过建立责任、小微权力、正面、负面、服务、监督六张清单，明确职责、任务、要求，严格落实责任，切实将村级事务落实清单化、运行规范化，及时根据工作实际调整清单内容，实现清单制度常态化，清单内容动态化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五是“四议两公开”强民主。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开展对村级重要决策、重大事务、重点工作和重点工程建设资金等村级重大事务由党支部会议提议、“两委”会议商议、党员大会审议、村民代表会议或村民会议决议后，将决议结果公告，办理结果公示，并邀请村民对公示情况进行评价，实现活动常态化开展，评价动态化实施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六是法律援助化纠纷。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通过政府购买服务的方式，统一为全区每个行政村配备一名专业法律顾问，采用常态化坐班与动态化预约到村的形式，提供法律咨询、普法宣传、人民调解和法律援助等服务，维护群众的合法权益，化解纠纷矛盾，有效缓解民事纠纷调解压力。　</w:t>
      </w:r>
    </w:p>
    <w:p w14:paraId="0724E401">
      <w:pPr>
        <w:pStyle w:val="3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　　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三、5大保障联抓：“联动+实效”强化支撑，夯实治理成效</w:t>
      </w:r>
    </w:p>
    <w:p w14:paraId="6F85FCD5">
      <w:pPr>
        <w:pStyle w:val="3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　　通过“联动+实效”强化支撑，有效解决了基层治理中的诸多挑战，确保了各项举措落地生根。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一是建立信息收集反馈机制，实现呼应联动。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通过“线上+线下”模式同步收集信息，设立“你点我帮，一呼百应”大数据平台，线上征集民意，了解群众急难愁盼，倾听群众声音。线下设立村民意见箱，组织网格员、志愿者等定期走访，收集村民意见和建议，及时发现问题。将收集到的问题进行分层分类，及时纳入各级书记解难题工作范畴，回应群众关切，解决群众难题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二是构建“前后”工作体系，实现学评联动。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学习交流走在前，不定时外出学习参观，学后谈感想、列计划、快行动；“两委”班子后评估，通过对农村“两委”班子成员在换届阶段、初任阶段和届期跟踪其工作情况、村级党组织建设、村集体经济发展等方面进行综合考察和评估，进而评估村级党政班子的表现和贡献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三是搭建矛盾化解机制，实现三调联动。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本着“群众无小事”的原则，搭建人民调解、行政调解、司法调解的“三调联动”矛盾纠纷化解机制，今年以来全区共化解矛盾纠纷270余件，实现了提高效率、降低成本、解决纠纷、促进和谐的目标。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四是推动“村务警务一体化”，实现村警联动。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复兴区下发指导文件，各乡镇街道出具任命文件，选派41名党员民辅警兼任全区行政村党支部副书记，通过参与基层党组织日常会议、事务，深入了解社区全年和当前的重点工作内容，发挥公安职能作用进行支持配合，使乡村治理变“单打独斗”为党组织引领下的“协同共治”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五是落实各级书记解难题，实现上下联动。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搭建“区委-乡镇党委/街道党工委-村支部-网格党小组”四级联动体系，推进“功能型+服务型”基层党组织建设，采用下级吹哨上级报到的形式，让组织触角、服务触手延伸覆盖到最小单元。</w:t>
      </w:r>
    </w:p>
    <w:p w14:paraId="786B2DEF">
      <w:pPr>
        <w:pStyle w:val="3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　　“365”乡村治理体系的搭建取得了显著成效。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一方面乡村治理成效凸显。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形成了“源头预防、依法治理、减少矛盾、促进和谐”的新格局，齐村等多个村连续6年实现零上访、零案件、零事故。</w:t>
      </w:r>
      <w:r>
        <w:rPr>
          <w:rStyle w:val="6"/>
          <w:rFonts w:hint="eastAsia" w:ascii="宋体" w:hAnsi="宋体" w:eastAsia="宋体" w:cs="宋体"/>
          <w:spacing w:val="10"/>
          <w:sz w:val="24"/>
          <w:szCs w:val="24"/>
        </w:rPr>
        <w:t>另一方面产业振兴成果斐然。</w:t>
      </w:r>
      <w:r>
        <w:rPr>
          <w:rFonts w:hint="eastAsia" w:ascii="宋体" w:hAnsi="宋体" w:eastAsia="宋体" w:cs="宋体"/>
          <w:spacing w:val="10"/>
          <w:sz w:val="24"/>
          <w:szCs w:val="24"/>
        </w:rPr>
        <w:t>以乡村治理夯实产业振兴发展基础，推动了三产融合，实现了从单一产业向全链条、多功能、新业态的动能转换，打造了“党组织+合作社+公司+农户”的产业发展模式，对乡村的各种资源进行了有效整合和利用，通过延长产业链条，增加了产业收入，使村集体年平均增收10万元。</w:t>
      </w:r>
    </w:p>
    <w:p w14:paraId="53C6D90C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772C9"/>
    <w:rsid w:val="7AB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2025-07-20T03:29:00Z</dcterms:created>
  <dc:creator>£</dc:creator>
  <cp:lastModifiedBy>£</cp:lastModifiedBy>
  <dcterms:modified xsi:type="dcterms:W3CDTF">2025-07-20T03:31:08Z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D66F300A0BA448CC9CA1FBA9D6933B79_11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