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C2C8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0" w:right="80" w:firstLine="0"/>
        <w:jc w:val="center"/>
        <w:rPr>
          <w:sz w:val="18"/>
          <w:szCs w:val="18"/>
        </w:rPr>
      </w:pPr>
      <w:r>
        <w:rPr>
          <w:rStyle w:val="5"/>
          <w:color w:val="000000"/>
          <w:spacing w:val="0"/>
          <w:sz w:val="18"/>
          <w:szCs w:val="18"/>
          <w:bdr w:val="none" w:color="auto" w:sz="0" w:space="0"/>
        </w:rPr>
        <w:t>构建“党建+特派员+居民共治”治理体系</w:t>
      </w:r>
    </w:p>
    <w:p w14:paraId="0C4F83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0" w:right="80" w:firstLine="0"/>
        <w:jc w:val="center"/>
        <w:rPr>
          <w:sz w:val="24"/>
          <w:szCs w:val="24"/>
        </w:rPr>
      </w:pPr>
      <w:r>
        <w:rPr>
          <w:rStyle w:val="5"/>
          <w:color w:val="007AAA"/>
          <w:spacing w:val="0"/>
          <w:sz w:val="24"/>
          <w:szCs w:val="24"/>
          <w:bdr w:val="none" w:color="auto" w:sz="0" w:space="0"/>
        </w:rPr>
        <w:t>“小区特派员”刷新居民满意度</w:t>
      </w:r>
    </w:p>
    <w:p w14:paraId="4C77E9F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0" w:right="80" w:firstLine="0"/>
        <w:jc w:val="center"/>
      </w:pPr>
      <w:r>
        <w:rPr>
          <w:rStyle w:val="5"/>
          <w:b w:val="0"/>
          <w:bCs w:val="0"/>
          <w:color w:val="000000"/>
          <w:spacing w:val="0"/>
          <w:bdr w:val="none" w:color="auto" w:sz="0" w:space="0"/>
        </w:rPr>
        <w:t>福建南平延平区委组织部</w:t>
      </w:r>
    </w:p>
    <w:p w14:paraId="694C80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0"/>
        <w:jc w:val="center"/>
      </w:pPr>
      <w:r>
        <w:rPr>
          <w:rStyle w:val="5"/>
          <w:b w:val="0"/>
          <w:bCs w:val="0"/>
          <w:color w:val="000000"/>
          <w:spacing w:val="0"/>
          <w:bdr w:val="none" w:color="auto" w:sz="0" w:space="0"/>
        </w:rPr>
        <w:t>延平区委全面深化改革委员会办公室</w:t>
      </w:r>
    </w:p>
    <w:p w14:paraId="47455C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160" w:right="160" w:firstLine="420"/>
      </w:pPr>
      <w:r>
        <w:rPr>
          <w:rStyle w:val="5"/>
          <w:color w:val="7F7F7F"/>
          <w:spacing w:val="0"/>
          <w:bdr w:val="none" w:color="auto" w:sz="0" w:space="0"/>
        </w:rPr>
        <w:t> </w:t>
      </w:r>
      <w:bookmarkStart w:id="0" w:name="_GoBack"/>
      <w:r>
        <w:rPr>
          <w:rStyle w:val="5"/>
          <w:color w:val="7F7F7F"/>
          <w:spacing w:val="0"/>
          <w:bdr w:val="none" w:color="auto" w:sz="0" w:space="0"/>
        </w:rPr>
        <w:t>福建南平延平区</w:t>
      </w:r>
      <w:bookmarkEnd w:id="0"/>
      <w:r>
        <w:rPr>
          <w:rStyle w:val="5"/>
          <w:color w:val="7F7F7F"/>
          <w:spacing w:val="0"/>
          <w:bdr w:val="none" w:color="auto" w:sz="0" w:space="0"/>
        </w:rPr>
        <w:t>作为全国科技特派员制度发源地，紧扣“近邻党建”理念，将服务乡村振兴的成熟经验移植至城市治理领域，首创“小区特派员”制度，破解老旧小区改造后的“治理真空”难题。</w:t>
      </w:r>
    </w:p>
    <w:p w14:paraId="4C7B767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160" w:right="160" w:firstLine="420"/>
      </w:pPr>
      <w:r>
        <w:rPr>
          <w:rStyle w:val="5"/>
          <w:color w:val="7F7F7F"/>
          <w:spacing w:val="0"/>
          <w:bdr w:val="none" w:color="auto" w:sz="0" w:space="0"/>
        </w:rPr>
        <w:t>针对“改后谁来管、如何管长效”这一核心命题，延平区通过“体制内挖潜+社会化整合”，构建“党建+特派员+居民共治”治理体系。</w:t>
      </w:r>
    </w:p>
    <w:p w14:paraId="4AD55E5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4455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160" w:right="160" w:firstLine="420"/>
      </w:pPr>
    </w:p>
    <w:p w14:paraId="65AB9E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0"/>
        <w:jc w:val="center"/>
      </w:pPr>
      <w:r>
        <w:rPr>
          <w:rStyle w:val="5"/>
          <w:color w:val="000000"/>
          <w:spacing w:val="0"/>
          <w:sz w:val="19"/>
          <w:szCs w:val="19"/>
          <w:bdr w:val="none" w:color="auto" w:sz="0" w:space="0"/>
        </w:rPr>
        <w:t>全面选派，搭建人才“跨界”延伸阵地</w:t>
      </w:r>
    </w:p>
    <w:p w14:paraId="0A3D8C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社会引“智”。</w:t>
      </w:r>
      <w:r>
        <w:rPr>
          <w:color w:val="000000"/>
          <w:spacing w:val="0"/>
          <w:bdr w:val="none" w:color="auto" w:sz="0" w:space="0"/>
        </w:rPr>
        <w:t>从高校、企业、律师事务所、规划设计院等引进28名具有城市治理、社区管理经验的专业人才，实施“技术特派”攻坚，共同策划实施一批有影响、可操作的治理服务共建项目。同时，发挥特派员自身资源优势，引入社会资本参与小区基础设施建设。</w:t>
      </w:r>
    </w:p>
    <w:p w14:paraId="24C5A4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基层遴选。</w:t>
      </w:r>
      <w:r>
        <w:rPr>
          <w:color w:val="000000"/>
          <w:spacing w:val="0"/>
          <w:bdr w:val="none" w:color="auto" w:sz="0" w:space="0"/>
        </w:rPr>
        <w:t>从社区工作者、网格员、退休干部中选拔出责任心强、群众基础好、熟悉社区情况的42名“老社区”作为小区特派员，发挥“人熟、地熟”的优势，打造高效运转的小区管理模式。</w:t>
      </w:r>
    </w:p>
    <w:p w14:paraId="44462F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机关选派。</w:t>
      </w:r>
      <w:r>
        <w:rPr>
          <w:color w:val="000000"/>
          <w:spacing w:val="0"/>
          <w:bdr w:val="none" w:color="auto" w:sz="0" w:space="0"/>
        </w:rPr>
        <w:t>深化“机关联社区”工作机制，按照“就近、就需”原则，选派56名机关党员干部“下沉认领”治理项目，有效整合机关资源，确保政策红利惠及居民。例如，区住建局选派的特派员带队进驻电梯加装矛盾突出的小区，在6个月内推动13部电梯落地，化解了审批流程、资金分摊等技术难题。</w:t>
      </w:r>
    </w:p>
    <w:p w14:paraId="459C49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0" w:right="80" w:firstLine="0"/>
      </w:pPr>
      <w:r>
        <w:rPr>
          <w:color w:val="000000"/>
          <w:spacing w:val="0"/>
          <w:bdr w:val="none" w:color="auto" w:sz="0" w:space="0"/>
          <w:vertAlign w:val="baseline"/>
        </w:rPr>
        <w:drawing>
          <wp:inline distT="0" distB="0" distL="114300" distR="114300">
            <wp:extent cx="5266690" cy="3950335"/>
            <wp:effectExtent l="0" t="0" r="3810" b="1206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0D81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  <w:rPr>
          <w:sz w:val="16"/>
          <w:szCs w:val="16"/>
        </w:rPr>
      </w:pPr>
      <w:r>
        <w:rPr>
          <w:color w:val="7F7F7F"/>
          <w:spacing w:val="0"/>
          <w:sz w:val="16"/>
          <w:szCs w:val="16"/>
          <w:bdr w:val="none" w:color="auto" w:sz="0" w:space="0"/>
        </w:rPr>
        <w:t>小区特派员开展“法治宣传进社区”主题宣讲活动。</w:t>
      </w:r>
    </w:p>
    <w:p w14:paraId="3301C71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0"/>
        <w:jc w:val="center"/>
      </w:pPr>
      <w:r>
        <w:rPr>
          <w:rStyle w:val="5"/>
          <w:color w:val="000000"/>
          <w:spacing w:val="0"/>
          <w:sz w:val="19"/>
          <w:szCs w:val="19"/>
          <w:bdr w:val="none" w:color="auto" w:sz="0" w:space="0"/>
        </w:rPr>
        <w:t>全程服务，写好改造“后方”管理文章</w:t>
      </w:r>
    </w:p>
    <w:p w14:paraId="785744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b/>
          <w:bCs/>
          <w:color w:val="000000"/>
          <w:spacing w:val="0"/>
          <w:bdr w:val="none" w:color="auto" w:sz="0" w:space="0"/>
        </w:rPr>
        <w:t>建立“立体培训”机制。</w:t>
      </w:r>
      <w:r>
        <w:rPr>
          <w:color w:val="000000"/>
          <w:spacing w:val="0"/>
          <w:bdr w:val="none" w:color="auto" w:sz="0" w:space="0"/>
        </w:rPr>
        <w:t>探索“基础治理课+专业模块课”培训体系，设置社区治理、物业管理、矛盾调解等基础课程，实行岗前培训“双导师制”，由社区书记和行业专家联合开展基层治理实务教学，累计培训2800人次。建立分层分类培训机制，机关干部重点培训群众工作方法和政策法规，提升组织协调能力；基层人员侧重数字化工具应用和社区治理实务，提升实战能力；领域专家深化专业技术培训，确保能够解决复杂问题，实现“专才”向“通才”升级。</w:t>
      </w:r>
    </w:p>
    <w:p w14:paraId="1C6BDF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建立“按需配单”机制。</w:t>
      </w:r>
      <w:r>
        <w:rPr>
          <w:color w:val="000000"/>
          <w:spacing w:val="0"/>
          <w:bdr w:val="none" w:color="auto" w:sz="0" w:space="0"/>
        </w:rPr>
        <w:t>搭建“延城通”智慧平台，实现“群众点单—社区派单—特派接单”闭环，将任务分为“设施维修”“矛盾调解”“便民服务”等6大类20小类。社区根据特派员技能标签（如“水电维修”“法律咨询”）、地理位置、任务负载量匹配最优接单人。同时实行“抢单+积分激励”模式，特派员接单积分可兑换实物奖励，通过量化激励提升共治意识。</w:t>
      </w:r>
    </w:p>
    <w:p w14:paraId="35C15F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建立“质量反馈”机制。</w:t>
      </w:r>
      <w:r>
        <w:rPr>
          <w:color w:val="000000"/>
          <w:spacing w:val="0"/>
          <w:bdr w:val="none" w:color="auto" w:sz="0" w:space="0"/>
        </w:rPr>
        <w:t>首创“五星考评”体系，设置服务态度、时效等10项评价指标。建立满意度与干部晋升、专家续聘挂钩机制，推动服务质量持续优化。制度实施以来，群众满意度保持在96%以上。</w:t>
      </w:r>
    </w:p>
    <w:p w14:paraId="0F1C4DD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0"/>
        <w:jc w:val="center"/>
      </w:pPr>
      <w:r>
        <w:rPr>
          <w:rStyle w:val="5"/>
          <w:color w:val="000000"/>
          <w:spacing w:val="0"/>
          <w:sz w:val="19"/>
          <w:szCs w:val="19"/>
          <w:bdr w:val="none" w:color="auto" w:sz="0" w:space="0"/>
        </w:rPr>
        <w:t>全域推进，构建“集成”治理体系</w:t>
      </w:r>
    </w:p>
    <w:p w14:paraId="7D2F63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服务专业化。</w:t>
      </w:r>
      <w:r>
        <w:rPr>
          <w:color w:val="000000"/>
          <w:spacing w:val="0"/>
          <w:bdr w:val="none" w:color="auto" w:sz="0" w:space="0"/>
        </w:rPr>
        <w:t>组建“专家+通才”复合团队，建立“技术指导—矛盾调解—自治培育”全链条。针对电梯维保等12类高频问题，实施“一小区一策”精准治理。</w:t>
      </w:r>
    </w:p>
    <w:p w14:paraId="78CEAF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手段智慧化。</w:t>
      </w:r>
      <w:r>
        <w:rPr>
          <w:color w:val="000000"/>
          <w:spacing w:val="0"/>
          <w:bdr w:val="none" w:color="auto" w:sz="0" w:space="0"/>
        </w:rPr>
        <w:t>搭建“智慧社区”管理平台，构建“全域服务资源图谱”，动态显示法律咨询、水电维修等提供服务的特派员位置及服务能力，突发情况下一键调度最近资源。同时，建立“数据研判—智能派单—协同处置”闭环流程，针对高频诉求，指导特派员组团开展专项治理，实现服务资源“一网调度”。</w:t>
      </w:r>
    </w:p>
    <w:p w14:paraId="75D741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参与常态化。</w:t>
      </w:r>
      <w:r>
        <w:rPr>
          <w:color w:val="000000"/>
          <w:spacing w:val="0"/>
          <w:bdr w:val="none" w:color="auto" w:sz="0" w:space="0"/>
        </w:rPr>
        <w:t>创新“特派员+”协同机制，联动法律顾问等12类专业力量。创建“吃茶话事”协商平台，举办71场议事会推动47项民生工程落地。培育“银龄志愿队”“微更新工作室”等23个社区自治队伍，形成“区委引导—特派员支撑—居民自治”治理共同体。</w:t>
      </w:r>
    </w:p>
    <w:p w14:paraId="4C78E38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制度推行以来，</w:t>
      </w:r>
      <w:r>
        <w:rPr>
          <w:color w:val="000000"/>
          <w:spacing w:val="0"/>
          <w:bdr w:val="none" w:color="auto" w:sz="0" w:space="0"/>
        </w:rPr>
        <w:t>小区特派员累计协调解决了设施管护、物业纠纷等问题650余件，推动成立了32个业主委员会，引入专业物业，覆盖率提升至78%。改造后小区投诉量同比下降62%，居民满意度达到96%。</w:t>
      </w:r>
    </w:p>
    <w:p w14:paraId="3166E6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0"/>
      </w:pPr>
      <w:r>
        <w:rPr>
          <w:rStyle w:val="5"/>
          <w:color w:val="A98761"/>
          <w:spacing w:val="0"/>
          <w:sz w:val="20"/>
          <w:szCs w:val="20"/>
          <w:u w:val="single"/>
          <w:bdr w:val="none" w:color="auto" w:sz="0" w:space="0"/>
        </w:rPr>
        <w:t>启 示</w:t>
      </w:r>
    </w:p>
    <w:p w14:paraId="4496C9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160" w:right="160" w:firstLine="420"/>
      </w:pPr>
      <w:r>
        <w:rPr>
          <w:b/>
          <w:bCs/>
          <w:color w:val="000000"/>
          <w:spacing w:val="0"/>
          <w:bdr w:val="none" w:color="auto" w:sz="0" w:space="0"/>
        </w:rPr>
        <w:t>近邻聚力，激活制度跨界生命力。</w:t>
      </w:r>
      <w:r>
        <w:rPr>
          <w:b w:val="0"/>
          <w:bCs w:val="0"/>
          <w:color w:val="000000"/>
          <w:spacing w:val="0"/>
          <w:bdr w:val="none" w:color="auto" w:sz="0" w:space="0"/>
        </w:rPr>
        <w:t>以党建统筹资源整合，将科技特派员“人才下沉、精准服务、资源整合”机制升级为城市治理版，实现治理重心从“硬件改造”向“服务升级”转型。累计选派126名特派员进驻56个改造后小区，服务覆盖率达100%，治理响应效率提升40%。</w:t>
      </w:r>
    </w:p>
    <w:p w14:paraId="78F64F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160" w:right="160" w:firstLine="420"/>
      </w:pPr>
      <w:r>
        <w:rPr>
          <w:b/>
          <w:bCs/>
          <w:color w:val="000000"/>
          <w:spacing w:val="0"/>
          <w:bdr w:val="none" w:color="auto" w:sz="0" w:space="0"/>
        </w:rPr>
        <w:t>精准适配，激活成本优化生产力。</w:t>
      </w:r>
      <w:r>
        <w:rPr>
          <w:b w:val="0"/>
          <w:bCs w:val="0"/>
          <w:color w:val="000000"/>
          <w:spacing w:val="0"/>
          <w:bdr w:val="none" w:color="auto" w:sz="0" w:space="0"/>
        </w:rPr>
        <w:t>构建“技术赋能+多元共治”双轮驱动模式，破解老旧小区“三缺困境”（缺专业管理、缺服务资源、缺自治能力）。建立专家资源跨域共享机制，解决电梯维护等技术难题132项，单个问题解决成本降低65%。</w:t>
      </w:r>
    </w:p>
    <w:p w14:paraId="21E9F92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160" w:right="160" w:firstLine="420"/>
      </w:pPr>
      <w:r>
        <w:rPr>
          <w:b/>
          <w:bCs/>
          <w:color w:val="000000"/>
          <w:spacing w:val="0"/>
          <w:bdr w:val="none" w:color="auto" w:sz="0" w:space="0"/>
        </w:rPr>
        <w:t>生态构建，激活内生路径原动力。</w:t>
      </w:r>
      <w:r>
        <w:rPr>
          <w:b w:val="0"/>
          <w:bCs w:val="0"/>
          <w:color w:val="000000"/>
          <w:spacing w:val="0"/>
          <w:bdr w:val="none" w:color="auto" w:sz="0" w:space="0"/>
        </w:rPr>
        <w:t>以技术赋能降低自治门槛、以议事协商凝聚共同体意识，破解“干部干、群众看”困局，形成“公务员传政策、本土骨干聚民心、技术专家破难题”的共生治理生态。56名干部在基层治理一线得到锻炼，通过实际行动“为车减负”和“为马赋能”，既解决了社区力量不足的问题，又培养了干部。</w:t>
      </w:r>
    </w:p>
    <w:p w14:paraId="48AD8BE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00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2025-07-21T15:53:11Z</dcterms:created>
  <dc:creator>administered</dc:creator>
  <cp:lastModifiedBy>张馨月</cp:lastModifiedBy>
  <dcterms:modified xsi:type="dcterms:W3CDTF">2025-07-21T15:53:54Z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eyJoZGlkIjoiYjU2NDYwMjA3YjVmMzk5NDk4ZDY4YWI1YWNlOGVjMDYiLCJ1c2VySWQiOiIxMjI2MzAxODA4In0=</vt:lpwstr>
  </property>
  <property fmtid="{D5CDD505-2E9C-101B-9397-08002B2CF9AE}" pid="4" name="ICV">
    <vt:lpwstr>92BEAB91C4F348E78A5C46056C48ED6B_12</vt:lpwstr>
  </property>
</Properties>
</file>