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458" w:rsidRPr="007A6458" w:rsidRDefault="007A6458" w:rsidP="007A6458">
      <w:pPr>
        <w:widowControl/>
        <w:jc w:val="center"/>
        <w:outlineLvl w:val="0"/>
        <w:rPr>
          <w:rFonts w:ascii="宋体" w:eastAsia="宋体" w:hAnsi="宋体" w:cs="宋体"/>
          <w:color w:val="BD1A2D"/>
          <w:kern w:val="36"/>
          <w:sz w:val="42"/>
          <w:szCs w:val="42"/>
        </w:rPr>
      </w:pPr>
      <w:r w:rsidRPr="007A6458">
        <w:rPr>
          <w:rFonts w:ascii="宋体" w:eastAsia="宋体" w:hAnsi="宋体" w:cs="宋体"/>
          <w:color w:val="BD1A2D"/>
          <w:kern w:val="36"/>
          <w:sz w:val="42"/>
          <w:szCs w:val="42"/>
        </w:rPr>
        <w:t>北京朝阳敢闯敢干聚力奋进 推动高质量发展再上新台阶</w:t>
      </w:r>
    </w:p>
    <w:p w:rsidR="007A6458" w:rsidRPr="007A6458" w:rsidRDefault="007A6458" w:rsidP="007A6458">
      <w:pPr>
        <w:widowControl/>
        <w:spacing w:before="300" w:line="210" w:lineRule="atLeast"/>
        <w:jc w:val="center"/>
        <w:outlineLvl w:val="1"/>
        <w:rPr>
          <w:rFonts w:ascii="宋体" w:eastAsia="宋体" w:hAnsi="宋体" w:cs="宋体"/>
          <w:color w:val="404040"/>
          <w:kern w:val="0"/>
          <w:szCs w:val="21"/>
        </w:rPr>
      </w:pPr>
      <w:r w:rsidRPr="007A6458">
        <w:rPr>
          <w:rFonts w:ascii="宋体" w:eastAsia="宋体" w:hAnsi="宋体" w:cs="宋体"/>
          <w:color w:val="999999"/>
          <w:kern w:val="0"/>
          <w:szCs w:val="21"/>
        </w:rPr>
        <w:t>分享：</w:t>
      </w:r>
    </w:p>
    <w:p w:rsidR="007A6458" w:rsidRPr="007A6458" w:rsidRDefault="007A6458" w:rsidP="007A6458">
      <w:pPr>
        <w:widowControl/>
        <w:spacing w:line="210" w:lineRule="atLeast"/>
        <w:jc w:val="center"/>
        <w:outlineLvl w:val="1"/>
        <w:rPr>
          <w:rFonts w:ascii="宋体" w:eastAsia="宋体" w:hAnsi="宋体" w:cs="宋体"/>
          <w:color w:val="999999"/>
          <w:kern w:val="0"/>
          <w:szCs w:val="21"/>
        </w:rPr>
      </w:pPr>
      <w:r w:rsidRPr="007A6458">
        <w:rPr>
          <w:rFonts w:ascii="宋体" w:eastAsia="宋体" w:hAnsi="宋体" w:cs="宋体"/>
          <w:color w:val="999999"/>
          <w:kern w:val="0"/>
          <w:szCs w:val="21"/>
        </w:rPr>
        <w:t>日期：2024-03-13 11:22 来源：朝阳报 </w:t>
      </w:r>
      <w:hyperlink r:id="rId4" w:history="1">
        <w:r w:rsidRPr="007A6458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打印页面</w:t>
        </w:r>
      </w:hyperlink>
      <w:r w:rsidRPr="007A6458">
        <w:rPr>
          <w:rFonts w:ascii="宋体" w:eastAsia="宋体" w:hAnsi="宋体" w:cs="宋体"/>
          <w:color w:val="999999"/>
          <w:kern w:val="0"/>
          <w:szCs w:val="21"/>
        </w:rPr>
        <w:t> </w:t>
      </w:r>
      <w:hyperlink r:id="rId5" w:history="1">
        <w:r w:rsidRPr="007A6458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关闭页面</w:t>
        </w:r>
      </w:hyperlink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人民城市人民建，人民城市为人民。朝阳区作为北京市中心城区，正着力打造宜居、宜业、宜商、宜学、宜游的“五宜”新朝阳，奋力推进中国式现代化的朝阳实践，持续增强人民群众的获得感。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</w:pPr>
      <w:r w:rsidRPr="007A6458"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  <w:t>向“新”之</w:t>
      </w:r>
      <w:proofErr w:type="gramStart"/>
      <w:r w:rsidRPr="007A6458"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  <w:t>城推动</w:t>
      </w:r>
      <w:proofErr w:type="gramEnd"/>
      <w:r w:rsidRPr="007A6458"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  <w:t>发展新质生产力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高起点发展新质生产力，科技创新是基石。朝阳区坚持“商务+科技”双轮驱动，以科技创新引领现代化产业体系建设，2023年以来，科技重点行业对经济高质量发展的支撑作用显著增强。信息服务业、科技服务业、工业三行业增加值合计占全区地区生产总值的比重为24.5%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数字经济细分产业品牌特色更加凸显。推动“3+X”产业集群生态建设，落成北京市首个中关村互联网3.0产业园，网易(北京)数字产业中心、京港互联网3.0产业中心及一批公共技术平台落地；北京市数字人基地正式投用，全市217家以数字人为主要业务的企业中，朝阳区有58家，占比达26.7%，互联网3.0产业领跑全市。加强数字医疗、数据要素等产业发展规划设计，启动数据要素生态合作伙伴计划，开展数据资产入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表训练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营。多方协同的创新生态建设持续完善。建设北工大“山河湾谷”创新区先导区，落地全国首个国际科技组织总部集聚区，成立北京工业软件产业创新中心。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高水平开放是朝阳区生机勃勃、创新出彩的“活力密码”。作为北京市首批服务业扩大开放综合试点示范区之一，朝阳“两区”项目累计入库2291个，落地项目1341个，跨国公司地区总部达155家，连续5次在北京市营商环境评价中排名第一。2024年1月，《朝阳区深化国家服务业扩大开放综合示范区建设工作方案》发布，将推动朝阳区打造更高水平开放新高地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2024年，朝阳区将全力推动科技重点行业提质增效，全面推动国际科技创新中心建设，夯实数字经济核心区建设基础。围绕“3+X”产业方向，加快构建具有国际竞争力的产业集群，出台数据要素、人工智能、数字医疗专项行动计划和支持政策，实施“数据要素×”行动，推进大模型行业应用，建设一批特色园区。在朝阳区北部区域打造科技创新发展带，为朝阳科技创新先行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先试搭平台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、落场景，加快建设高质量的智慧城市。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</w:pPr>
      <w:r w:rsidRPr="007A6458"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  <w:t>时尚之城持续激发消费潜能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作为北京国际消费中心城市建设主承载区，朝阳区集聚了全市近50%的咖啡馆和30%的茶馆，拥有25家五星级酒店、16个高品质商圈和多个特色商业综合体，累计引进各类品牌首店、创新概念店、旗舰店2012家。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2023年，朝阳区坚持“五个聚焦、一个提升”的工作思路，聚焦重点领域、重点项目、重点区域、重点时段和重点人群，提升消费环境，构建起以CBD、三里屯等地标性商圈为节点，以道路、街巷、河流、轨道交通为连接纽带的商业网络。全力构建“一纵一横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一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核”消费空间布局，12个重点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商圈提质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升级，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三里屯商圈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成为全国示范智慧商圈，THEBOX朝外|年轻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力中心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成为新地标，“新工体”打通体育场馆、城市公园及商业空间。加快建设“地铁14号</w:t>
      </w: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线商业带”，促进地铁和沿线商业资源链接互动，持续开展亮马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河国际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风情水岸建设工作，重点打造CBD千亿规模国际级商圈，辐射带动朝阳区中部区域商业整体提级。加快打造消费名片，建设“美食之城”“茶香之城”“咖啡之城”“时尚之城”。实施夜间亮化工程，推进“不夜之城”建设，举办首届北京朝阳国际灯光节，组织区内重点商场开展百余场“光影+”消费活动，重点商圈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客流量较日常客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流量上涨31%，销售额近21亿元。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作为北京热门打卡地，夜游亮马河成为众多市民和游客夜间游玩的新选择。“靓”起来的亮马河点亮了沿岸多个商圈的夜经济，聚焦休闲娱乐、购物消费、美食餐饮，朝阳区围绕亮马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河大力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发展“首店、首牌、首秀、首发”经济，打造沉浸式、体验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式文旅消费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场景，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推动商圈结构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和品牌类型优化升级，吸引了大量消费者，成为北京东部一条重要的商业带。2023北京朝阳国际灯光节期间，亮马河畔的蓝色港湾餐饮销售额较2019年增长80%。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2023年，朝阳区社会消费品零售总额同比增长5.5%，规模和增量贡献率均居全市首位。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今年，朝阳区将全力推进“CBD×三里屯国际消费体验区”建设；统筹推进THE BOX B、景祥街二期商业提升等项目高质量完工；加强商旅文体等消费业态融合，持续拉动水岸经济、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首店经济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、夜间经济增长，计划于2024年10月举办第二届北京朝阳国际灯光节，期间将推出“光影+巴士”特色线路，展现“五宜”新朝阳的文化底蕴和现代风貌。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</w:pPr>
      <w:bookmarkStart w:id="0" w:name="_GoBack"/>
      <w:r w:rsidRPr="007A6458">
        <w:rPr>
          <w:rFonts w:ascii="微软雅黑" w:eastAsia="微软雅黑" w:hAnsi="微软雅黑" w:cs="宋体" w:hint="eastAsia"/>
          <w:b/>
          <w:color w:val="404040"/>
          <w:kern w:val="0"/>
          <w:sz w:val="28"/>
          <w:szCs w:val="24"/>
        </w:rPr>
        <w:t>美丽之城不断增进民生福祉</w:t>
      </w:r>
    </w:p>
    <w:bookmarkEnd w:id="0"/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在朝阳，开门见绿，移步换景，小行见园，市民身边的美景持续更新。2023年，朝阳区成功创建生态文明建设示范区；共完成造林绿化栽植面积约3079亩，全区绿化覆盖率达48.08%，拥有近1800种生物物种；新增25处无界公园，开放公园总数达68处，成为北京市无界公园建设先行示范区。2024年，朝阳区将加速推进花园城市示范区建设，在9个示范公园打造“一园一花一品”特色风貌，让花木与城市景观、公园景观互相映衬。继续打造“一路一叶一花”特色风貌，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再彩化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15条道路，让市民可以在路上赏花、观景。举办贯穿全年的首届朝阳花园节，让市民的获得感更强。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一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条条城市绿道如同丝线，将公园、水系、社区、商圈等串联起来，提升城市活力。2023年，朝阳绿道(二期)工程(望京环至朝阳站段)25.5公里全线贯通，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绿隔地区公园环绿道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(朝阳段一期)项目启动建设，串联朝阳东部5个乡</w:t>
      </w:r>
      <w:proofErr w:type="gramStart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7个绿隔公园</w:t>
      </w:r>
      <w:proofErr w:type="gramEnd"/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。全区绿道总规划415公里，建成后将实现“一条绿道观朝阳”。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居住在朝阳区的市民群众，在享受到优美环境的同时，也能感受到便利的生活服务。目前，“一刻钟社区服务圈”覆盖朝阳区全部249个社区，医疗联合体实现全覆盖，41家社区卫生服务中心开设儿童医疗服务。朝阳区已建成21个教育集团，在其东部和南部区域，布局北京中学东坝北校区等一批优质教育资源，落地北京市首个科学高中——北京科学高中，促进教育普惠均衡，建设宜学朝阳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71家博物馆、44家特色城市书屋、80多家时尚书店、102个文创园区，特色文化空间在朝阳遍地开花。北京奥运功能区、三里屯时尚街区，近百个特色文化艺术园区使朝阳现代都市文化氛围浓厚。</w:t>
      </w:r>
    </w:p>
    <w:p w:rsidR="007A6458" w:rsidRPr="007A6458" w:rsidRDefault="007A6458" w:rsidP="007A6458">
      <w:pPr>
        <w:widowControl/>
        <w:shd w:val="clear" w:color="auto" w:fill="FFFFFF"/>
        <w:spacing w:before="225" w:after="225" w:line="480" w:lineRule="atLeast"/>
        <w:ind w:firstLine="48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A645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2024年，朝阳区将继续以敢闯敢干的态度聚力奋进，打造“五宜”新朝阳，推动中国式现代化的朝阳实践打开新天地、开创新局面。</w:t>
      </w:r>
    </w:p>
    <w:p w:rsidR="006B23AE" w:rsidRPr="007A6458" w:rsidRDefault="006B23AE"/>
    <w:sectPr w:rsidR="006B23AE" w:rsidRPr="007A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8"/>
    <w:rsid w:val="006B23AE"/>
    <w:rsid w:val="007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14943-E271-4E0E-9450-814C097D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64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64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4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645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A645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6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window.close()" TargetMode="External"/><Relationship Id="rId4" Type="http://schemas.openxmlformats.org/officeDocument/2006/relationships/hyperlink" Target="javascript:window.print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2025-07-15T02:14:00Z</dcterms:created>
  <dcterms:modified xsi:type="dcterms:W3CDTF">2025-07-15T02:15:00Z</dcterms:modified>
</cp:coreProperties>
</file>