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6FDF" w:rsidRPr="00096FDF" w:rsidRDefault="00096FDF" w:rsidP="00096FDF">
      <w:pPr>
        <w:widowControl/>
        <w:spacing w:line="780" w:lineRule="atLeast"/>
        <w:jc w:val="center"/>
        <w:outlineLvl w:val="1"/>
        <w:rPr>
          <w:rFonts w:ascii="Microsoft Yahei" w:eastAsia="宋体" w:hAnsi="Microsoft Yahei" w:cs="宋体"/>
          <w:b/>
          <w:bCs/>
          <w:color w:val="000000"/>
          <w:kern w:val="0"/>
          <w:sz w:val="41"/>
          <w:szCs w:val="41"/>
        </w:rPr>
      </w:pPr>
      <w:r w:rsidRPr="00096FDF">
        <w:rPr>
          <w:rFonts w:ascii="Microsoft Yahei" w:eastAsia="宋体" w:hAnsi="Microsoft Yahei" w:cs="宋体"/>
          <w:b/>
          <w:bCs/>
          <w:color w:val="000000"/>
          <w:kern w:val="0"/>
          <w:sz w:val="41"/>
          <w:szCs w:val="41"/>
        </w:rPr>
        <w:t>做好</w:t>
      </w:r>
      <w:r w:rsidRPr="00096FDF">
        <w:rPr>
          <w:rFonts w:ascii="Microsoft Yahei" w:eastAsia="宋体" w:hAnsi="Microsoft Yahei" w:cs="宋体"/>
          <w:b/>
          <w:bCs/>
          <w:color w:val="000000"/>
          <w:kern w:val="0"/>
          <w:sz w:val="41"/>
          <w:szCs w:val="41"/>
        </w:rPr>
        <w:t>“</w:t>
      </w:r>
      <w:r w:rsidRPr="00096FDF">
        <w:rPr>
          <w:rFonts w:ascii="Microsoft Yahei" w:eastAsia="宋体" w:hAnsi="Microsoft Yahei" w:cs="宋体"/>
          <w:b/>
          <w:bCs/>
          <w:color w:val="000000"/>
          <w:kern w:val="0"/>
          <w:sz w:val="41"/>
          <w:szCs w:val="41"/>
        </w:rPr>
        <w:t>绿水</w:t>
      </w:r>
      <w:r w:rsidRPr="00096FDF">
        <w:rPr>
          <w:rFonts w:ascii="Microsoft Yahei" w:eastAsia="宋体" w:hAnsi="Microsoft Yahei" w:cs="宋体"/>
          <w:b/>
          <w:bCs/>
          <w:color w:val="000000"/>
          <w:kern w:val="0"/>
          <w:sz w:val="41"/>
          <w:szCs w:val="41"/>
        </w:rPr>
        <w:t>”</w:t>
      </w:r>
      <w:r w:rsidRPr="00096FDF">
        <w:rPr>
          <w:rFonts w:ascii="Microsoft Yahei" w:eastAsia="宋体" w:hAnsi="Microsoft Yahei" w:cs="宋体"/>
          <w:b/>
          <w:bCs/>
          <w:color w:val="000000"/>
          <w:kern w:val="0"/>
          <w:sz w:val="41"/>
          <w:szCs w:val="41"/>
        </w:rPr>
        <w:t>文章</w:t>
      </w:r>
      <w:r w:rsidRPr="00096FDF">
        <w:rPr>
          <w:rFonts w:ascii="Microsoft Yahei" w:eastAsia="宋体" w:hAnsi="Microsoft Yahei" w:cs="宋体"/>
          <w:b/>
          <w:bCs/>
          <w:color w:val="000000"/>
          <w:kern w:val="0"/>
          <w:sz w:val="41"/>
          <w:szCs w:val="41"/>
        </w:rPr>
        <w:t xml:space="preserve"> </w:t>
      </w:r>
      <w:r w:rsidRPr="00096FDF">
        <w:rPr>
          <w:rFonts w:ascii="Microsoft Yahei" w:eastAsia="宋体" w:hAnsi="Microsoft Yahei" w:cs="宋体"/>
          <w:b/>
          <w:bCs/>
          <w:color w:val="000000"/>
          <w:kern w:val="0"/>
          <w:sz w:val="41"/>
          <w:szCs w:val="41"/>
        </w:rPr>
        <w:t>绘就乡村振兴新画卷</w:t>
      </w:r>
      <w:r w:rsidRPr="00096FDF">
        <w:rPr>
          <w:rFonts w:ascii="Microsoft Yahei" w:eastAsia="宋体" w:hAnsi="Microsoft Yahei" w:cs="宋体"/>
          <w:b/>
          <w:bCs/>
          <w:color w:val="000000"/>
          <w:kern w:val="0"/>
          <w:sz w:val="41"/>
          <w:szCs w:val="41"/>
        </w:rPr>
        <w:br/>
        <w:t>——</w:t>
      </w:r>
      <w:bookmarkStart w:id="0" w:name="_GoBack"/>
      <w:r w:rsidRPr="00096FDF">
        <w:rPr>
          <w:rFonts w:ascii="Microsoft Yahei" w:eastAsia="宋体" w:hAnsi="Microsoft Yahei" w:cs="宋体"/>
          <w:b/>
          <w:bCs/>
          <w:color w:val="000000"/>
          <w:kern w:val="0"/>
          <w:sz w:val="41"/>
          <w:szCs w:val="41"/>
        </w:rPr>
        <w:t>成都市新都区水梨村以水促</w:t>
      </w:r>
      <w:proofErr w:type="gramStart"/>
      <w:r w:rsidRPr="00096FDF">
        <w:rPr>
          <w:rFonts w:ascii="Microsoft Yahei" w:eastAsia="宋体" w:hAnsi="Microsoft Yahei" w:cs="宋体"/>
          <w:b/>
          <w:bCs/>
          <w:color w:val="000000"/>
          <w:kern w:val="0"/>
          <w:sz w:val="41"/>
          <w:szCs w:val="41"/>
        </w:rPr>
        <w:t>新实现</w:t>
      </w:r>
      <w:proofErr w:type="gramEnd"/>
      <w:r w:rsidRPr="00096FDF">
        <w:rPr>
          <w:rFonts w:ascii="Microsoft Yahei" w:eastAsia="宋体" w:hAnsi="Microsoft Yahei" w:cs="宋体"/>
          <w:b/>
          <w:bCs/>
          <w:color w:val="000000"/>
          <w:kern w:val="0"/>
          <w:sz w:val="41"/>
          <w:szCs w:val="41"/>
        </w:rPr>
        <w:t>生态价值转化的实践和探索</w:t>
      </w:r>
      <w:bookmarkEnd w:id="0"/>
    </w:p>
    <w:p w:rsidR="00096FDF" w:rsidRPr="00096FDF" w:rsidRDefault="00096FDF" w:rsidP="00096FDF">
      <w:pPr>
        <w:widowControl/>
        <w:numPr>
          <w:ilvl w:val="0"/>
          <w:numId w:val="1"/>
        </w:numPr>
        <w:shd w:val="clear" w:color="auto" w:fill="FFFFFF"/>
        <w:spacing w:line="525" w:lineRule="atLeast"/>
        <w:ind w:left="75" w:right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096FDF">
        <w:rPr>
          <w:rFonts w:ascii="Microsoft Yahei" w:eastAsia="宋体" w:hAnsi="Microsoft Yahei" w:cs="宋体"/>
          <w:color w:val="000000"/>
          <w:kern w:val="0"/>
          <w:szCs w:val="21"/>
        </w:rPr>
        <w:t>2025</w:t>
      </w:r>
      <w:r w:rsidRPr="00096FDF">
        <w:rPr>
          <w:rFonts w:ascii="Microsoft Yahei" w:eastAsia="宋体" w:hAnsi="Microsoft Yahei" w:cs="宋体"/>
          <w:color w:val="000000"/>
          <w:kern w:val="0"/>
          <w:szCs w:val="21"/>
        </w:rPr>
        <w:t>年</w:t>
      </w:r>
      <w:r w:rsidRPr="00096FDF">
        <w:rPr>
          <w:rFonts w:ascii="Microsoft Yahei" w:eastAsia="宋体" w:hAnsi="Microsoft Yahei" w:cs="宋体"/>
          <w:color w:val="000000"/>
          <w:kern w:val="0"/>
          <w:szCs w:val="21"/>
        </w:rPr>
        <w:t>01</w:t>
      </w:r>
      <w:r w:rsidRPr="00096FDF">
        <w:rPr>
          <w:rFonts w:ascii="Microsoft Yahei" w:eastAsia="宋体" w:hAnsi="Microsoft Yahei" w:cs="宋体"/>
          <w:color w:val="000000"/>
          <w:kern w:val="0"/>
          <w:szCs w:val="21"/>
        </w:rPr>
        <w:t>月</w:t>
      </w:r>
      <w:r w:rsidRPr="00096FDF">
        <w:rPr>
          <w:rFonts w:ascii="Microsoft Yahei" w:eastAsia="宋体" w:hAnsi="Microsoft Yahei" w:cs="宋体"/>
          <w:color w:val="000000"/>
          <w:kern w:val="0"/>
          <w:szCs w:val="21"/>
        </w:rPr>
        <w:t>17</w:t>
      </w:r>
      <w:r w:rsidRPr="00096FDF">
        <w:rPr>
          <w:rFonts w:ascii="Microsoft Yahei" w:eastAsia="宋体" w:hAnsi="Microsoft Yahei" w:cs="宋体"/>
          <w:color w:val="000000"/>
          <w:kern w:val="0"/>
          <w:szCs w:val="21"/>
        </w:rPr>
        <w:t>日</w:t>
      </w:r>
      <w:r w:rsidRPr="00096FDF">
        <w:rPr>
          <w:rFonts w:ascii="Microsoft Yahei" w:eastAsia="宋体" w:hAnsi="Microsoft Yahei" w:cs="宋体"/>
          <w:color w:val="000000"/>
          <w:kern w:val="0"/>
          <w:szCs w:val="21"/>
        </w:rPr>
        <w:t xml:space="preserve"> 18</w:t>
      </w:r>
      <w:r w:rsidRPr="00096FDF">
        <w:rPr>
          <w:rFonts w:ascii="Microsoft Yahei" w:eastAsia="宋体" w:hAnsi="Microsoft Yahei" w:cs="宋体"/>
          <w:color w:val="000000"/>
          <w:kern w:val="0"/>
          <w:szCs w:val="21"/>
        </w:rPr>
        <w:t>时</w:t>
      </w:r>
      <w:r w:rsidRPr="00096FDF">
        <w:rPr>
          <w:rFonts w:ascii="Microsoft Yahei" w:eastAsia="宋体" w:hAnsi="Microsoft Yahei" w:cs="宋体"/>
          <w:color w:val="000000"/>
          <w:kern w:val="0"/>
          <w:szCs w:val="21"/>
        </w:rPr>
        <w:t>02</w:t>
      </w:r>
      <w:r w:rsidRPr="00096FDF">
        <w:rPr>
          <w:rFonts w:ascii="Microsoft Yahei" w:eastAsia="宋体" w:hAnsi="Microsoft Yahei" w:cs="宋体"/>
          <w:color w:val="000000"/>
          <w:kern w:val="0"/>
          <w:szCs w:val="21"/>
        </w:rPr>
        <w:t>分</w:t>
      </w:r>
    </w:p>
    <w:p w:rsidR="00096FDF" w:rsidRPr="00096FDF" w:rsidRDefault="00096FDF" w:rsidP="00096FDF">
      <w:pPr>
        <w:widowControl/>
        <w:numPr>
          <w:ilvl w:val="0"/>
          <w:numId w:val="1"/>
        </w:numPr>
        <w:shd w:val="clear" w:color="auto" w:fill="FFFFFF"/>
        <w:spacing w:line="525" w:lineRule="atLeast"/>
        <w:ind w:left="75" w:right="150"/>
        <w:jc w:val="left"/>
        <w:rPr>
          <w:rFonts w:ascii="Microsoft Yahei" w:eastAsia="宋体" w:hAnsi="Microsoft Yahei" w:cs="宋体"/>
          <w:color w:val="000000"/>
          <w:kern w:val="0"/>
          <w:szCs w:val="21"/>
        </w:rPr>
      </w:pPr>
      <w:r w:rsidRPr="00096FDF">
        <w:rPr>
          <w:rFonts w:ascii="Microsoft Yahei" w:eastAsia="宋体" w:hAnsi="Microsoft Yahei" w:cs="宋体"/>
          <w:color w:val="000000"/>
          <w:kern w:val="0"/>
          <w:szCs w:val="21"/>
        </w:rPr>
        <w:t>来源</w:t>
      </w:r>
      <w:r w:rsidRPr="00096FDF">
        <w:rPr>
          <w:rFonts w:ascii="Microsoft Yahei" w:eastAsia="宋体" w:hAnsi="Microsoft Yahei" w:cs="宋体"/>
          <w:color w:val="000000"/>
          <w:kern w:val="0"/>
          <w:szCs w:val="21"/>
        </w:rPr>
        <w:t xml:space="preserve">: </w:t>
      </w:r>
      <w:r w:rsidRPr="00096FDF">
        <w:rPr>
          <w:rFonts w:ascii="Microsoft Yahei" w:eastAsia="宋体" w:hAnsi="Microsoft Yahei" w:cs="宋体"/>
          <w:color w:val="000000"/>
          <w:kern w:val="0"/>
          <w:szCs w:val="21"/>
        </w:rPr>
        <w:t>四川河湖</w:t>
      </w:r>
      <w:proofErr w:type="gramStart"/>
      <w:r w:rsidRPr="00096FDF">
        <w:rPr>
          <w:rFonts w:ascii="Microsoft Yahei" w:eastAsia="宋体" w:hAnsi="Microsoft Yahei" w:cs="宋体"/>
          <w:color w:val="000000"/>
          <w:kern w:val="0"/>
          <w:szCs w:val="21"/>
        </w:rPr>
        <w:t>微信公众号</w:t>
      </w:r>
      <w:proofErr w:type="gramEnd"/>
    </w:p>
    <w:p w:rsidR="00096FDF" w:rsidRDefault="00096FDF" w:rsidP="00096FDF">
      <w:pPr>
        <w:widowControl/>
        <w:spacing w:after="120" w:line="480" w:lineRule="auto"/>
        <w:ind w:firstLine="48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096FDF" w:rsidRPr="00096FDF" w:rsidRDefault="00096FDF" w:rsidP="00096FDF">
      <w:pPr>
        <w:widowControl/>
        <w:spacing w:after="120" w:line="360" w:lineRule="auto"/>
        <w:ind w:firstLine="480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【摘要】水梨村位于成都市新都区，河流纵横，水网密布。随着城乡一体化持续推进，生态文明建设在推动乡村高质量发展中的重要性日益凸显。2017年以来，水梨村深刻领悟“治村必先治水”的精神实质，以河长制工作为抓手，以“建设造福人民的幸福河”为目标，结合乡村实际，建立健全联动机制，统筹好水安全、水资源、水环境、水生态、水文化治理，激发群众参与河湖治理的积极性，通过持续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优化水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生态环境保护工作质效，做好“绿水”文章，擦亮乡村振兴生态底色，推动经济社会高质量可持续发展。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【关键词】幸福河湖 乡村振兴</w:t>
      </w: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 </w:t>
      </w: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“绿水”文章 价值转化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【引言】2022年，习近平总书记在党的二十大报告中提出：“全面推进乡村振兴”。2023年8月，习近平总书记在首个全国生态日强调，全社会行动起来做“绿水青山就是金山银山”理念的积极传播者和模范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践行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者。水梨村依托清白江，深入推进河长制工作，紧扣“安澜、生态、宜居、智慧、文化、发展”的幸福河湖建设目标，以水兴</w:t>
      </w: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lastRenderedPageBreak/>
        <w:t>农打造现代农产品新名片，以水兴旅打造多样化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研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学基地，以水兴业吸引产业落地，推动乡村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振兴走深走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实。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一、背景情况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成都市新都区清流镇水梨村位于清流镇西南面，面积3.53平方公里，属于传统农业村，临近成都市第二绕城高速，交通便利。村内水系发达，有清白江、六支渠、孝义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桥旧河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、水梨槽沟、周家磨槽沟大小河流5条，总长约8850米，自流灌溉面积达3047亩。过去，水梨村河渠、槽沟杂草丛生，农村污水乱排，垃圾乱堆乱扔，严重影响水生态环境质量和农业产业发展。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自全面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推进河湖长制工作以来，水梨村坚持生态优先和绿色发展理念，创新基层河湖管护体系，部门联动齐抓共管，企业群众共同发力，做好幸福河湖“绿水”文章，推动水生态价值创造性转化，助力乡村产业融合发展。2022年，水梨村被评为四川省乡村振兴示范村、市级 “三美” （风尚新美、环境秀美、生活富美）示范村。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jc w:val="center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>
            <wp:extent cx="4618423" cy="2597150"/>
            <wp:effectExtent l="0" t="0" r="0" b="0"/>
            <wp:docPr id="2" name="图片 2" descr="做好“绿水”文章 绘就乡村振兴新画卷&#10;——成都市新都区水梨村以水促新实现生态价值转化的实践和探索「相关图片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做好“绿水”文章 绘就乡村振兴新画卷&#10;——成都市新都区水梨村以水促新实现生态价值转化的实践和探索「相关图片」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055" cy="260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DF" w:rsidRPr="00096FDF" w:rsidRDefault="00096FDF" w:rsidP="00096FDF">
      <w:pPr>
        <w:widowControl/>
        <w:spacing w:line="360" w:lineRule="auto"/>
        <w:ind w:firstLine="480"/>
        <w:jc w:val="center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FF"/>
          <w:kern w:val="0"/>
          <w:sz w:val="28"/>
          <w:szCs w:val="28"/>
        </w:rPr>
        <w:t>清白江水</w:t>
      </w:r>
      <w:proofErr w:type="gramStart"/>
      <w:r w:rsidRPr="00096FDF">
        <w:rPr>
          <w:rFonts w:ascii="宋体" w:eastAsia="宋体" w:hAnsi="宋体" w:cs="宋体" w:hint="eastAsia"/>
          <w:b/>
          <w:bCs/>
          <w:color w:val="0000FF"/>
          <w:kern w:val="0"/>
          <w:sz w:val="28"/>
          <w:szCs w:val="28"/>
        </w:rPr>
        <w:t>梨</w:t>
      </w:r>
      <w:proofErr w:type="gramEnd"/>
      <w:r w:rsidRPr="00096FDF">
        <w:rPr>
          <w:rFonts w:ascii="宋体" w:eastAsia="宋体" w:hAnsi="宋体" w:cs="宋体" w:hint="eastAsia"/>
          <w:b/>
          <w:bCs/>
          <w:color w:val="0000FF"/>
          <w:kern w:val="0"/>
          <w:sz w:val="28"/>
          <w:szCs w:val="28"/>
        </w:rPr>
        <w:t>村段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二、主要做法及成效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水梨村以打造人水和谐的幸福河湖为目标，深入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践行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“绿水青山就是金山银山”的发展理念，探索建立“河长制+企业河长+志愿者”的基层河湖管护体系，挖掘乡村特色，山水为底，产业为源，深入推进幸福河湖和乡村振兴深度融合，打造幸福河湖3.0版本。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（一）谋定而动，做好“河湖管护”文章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1.党建引领，凝聚管护新合力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水梨村党委充分发挥基层党组织核心作用，成立村级河长制工作室，组建河长管家团队，由11名社长担任河长管家，负责全村11个社河湖管护工作的统筹协调。一是明确工作职责，根据区域内河流沟渠不同立地环境及治理要求，统筹规划、细化工作流程，建立河道档案；二是完善监管机制，定期检查区域内河流水质情况、水面清洁程</w:t>
      </w: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lastRenderedPageBreak/>
        <w:t>度、水岸生态环境等，分析问题原因，排查问题源头；三是提高处置能力，建立村级河渠管护标准，拓宽河湖问题反馈渠道，实施网格化管理，提高治河效率。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2.责任压实，建立联动新机制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建立“一长两员+”队伍，将原有3支巡查队伍整合精简为1支，将村级河长、田长、林长整合为1名“三长”。制定多部门联动工作机制，在巡查管护上做到上下贯通、内外联动；强化督导落实，压实主体责任，细化工作考核；创新工作思路，依托区域网格管理，将8850米沟渠、200余亩林业园林资源、3047亩耕地划分为小网格，形成横向到边、纵向到底的网格化巡查机制。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3.企业发动，延伸巡护新触角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村委会以河湖长制为抓手，积极发动聘请9家区内著名企业及驻村企业负责人为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企业河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长，成立“企业河长”队，开展水梨村区域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内河湖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管护，激发生态、经济、社会等多重效益和价值提升。由河长管家牵头，联动“企业河长”队，协同河湖巡护，加强管护宣传，有效推进联合治水，改善区域水环境，实现河湖健康与企业效益双赢。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4.群众参与，开拓共治新局面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以群众参与感、幸福感、获得感为目标，充分发动群众广泛参与。一是制定《水梨村河湖管护村规民约》10条，带动全体村民共同参与</w:t>
      </w: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lastRenderedPageBreak/>
        <w:t>房前屋后沟渠管护，每季度评选“最美院落”“清洁之星”家庭；二是成立护河志愿队，积极参与全村河湖治理，保障农田灌溉用水便利，增强村民节水爱水护水意识；三是设立水梨村“爱心护水基金”，利用河长公示牌公示基金二维码，倡导村民及游客自愿捐款，所募款项用于村社河湖保护和设施建设。截至2023年12月底，已累计获得捐款16万余元；四是区镇村三级河长联合村内田园综合体项目企业，不定期开展各类公益性治水护水“小实验”“小活动”，为外来游客、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研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学的中小学生提供可参与的亲水活动，不断扩大水环境治理影响力。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jc w:val="center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/>
          <w:noProof/>
          <w:color w:val="000000"/>
          <w:kern w:val="0"/>
          <w:sz w:val="28"/>
          <w:szCs w:val="28"/>
        </w:rPr>
        <w:drawing>
          <wp:inline distT="0" distB="0" distL="0" distR="0">
            <wp:extent cx="4740275" cy="2952750"/>
            <wp:effectExtent l="0" t="0" r="3175" b="0"/>
            <wp:docPr id="1" name="图片 1" descr="做好“绿水”文章 绘就乡村振兴新画卷&#10;——成都市新都区水梨村以水促新实现生态价值转化的实践和探索「相关图片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做好“绿水”文章 绘就乡村振兴新画卷&#10;——成都市新都区水梨村以水促新实现生态价值转化的实践和探索「相关图片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53" cy="295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DF" w:rsidRPr="00096FDF" w:rsidRDefault="00096FDF" w:rsidP="00096FDF">
      <w:pPr>
        <w:widowControl/>
        <w:spacing w:line="360" w:lineRule="auto"/>
        <w:ind w:firstLine="480"/>
        <w:jc w:val="center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FF"/>
          <w:kern w:val="0"/>
          <w:sz w:val="28"/>
          <w:szCs w:val="28"/>
        </w:rPr>
        <w:t>亲水</w:t>
      </w:r>
      <w:proofErr w:type="gramStart"/>
      <w:r w:rsidRPr="00096FDF">
        <w:rPr>
          <w:rFonts w:ascii="宋体" w:eastAsia="宋体" w:hAnsi="宋体" w:cs="宋体" w:hint="eastAsia"/>
          <w:b/>
          <w:bCs/>
          <w:color w:val="0000FF"/>
          <w:kern w:val="0"/>
          <w:sz w:val="28"/>
          <w:szCs w:val="28"/>
        </w:rPr>
        <w:t>研</w:t>
      </w:r>
      <w:proofErr w:type="gramEnd"/>
      <w:r w:rsidRPr="00096FDF">
        <w:rPr>
          <w:rFonts w:ascii="宋体" w:eastAsia="宋体" w:hAnsi="宋体" w:cs="宋体" w:hint="eastAsia"/>
          <w:b/>
          <w:bCs/>
          <w:color w:val="0000FF"/>
          <w:kern w:val="0"/>
          <w:sz w:val="28"/>
          <w:szCs w:val="28"/>
        </w:rPr>
        <w:t>学活动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（二）多元赋能，持续擦亮生态底色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1.连通水系蓝网，夯实河湖发展生态基底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以区级资金为基础，“爱心护水基金”为补充，对辖区内河道、沟渠进行改造维护。一是实施水系连通工程，完成新建生态主河槽</w:t>
      </w: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lastRenderedPageBreak/>
        <w:t>4060米，有效恢复河道生态功能；二是涵养水源，建设绕村生态沟渠7160米，增加植被覆盖率，河岸水土流失得到有效控制；三是综合治理河道，疏浚长度1000米，清除障碍5处，河道自然面貌得到修复。目前，水梨村已形成“河湖通、流水清、生态好”的农村水系，呈现“田成方、树成林、渠相通、路相连”的生态美景，为促进该村及周边产业发展、推动乡村振兴注入“活水”。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2.升级基础设施，守牢河湖资源安全底线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大力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整治水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环境，精打细算用好水资源，持续复苏河湖生态。一是升级改造现有设施，通过清淤浆砌、截污纳管、生态修复、绿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道建设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等方式，对村内基础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设施进准精准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治理，改造绿道1处、管道5处，加强河道防洪能力，新建污水处理站2座，减少污水汇流。二是改进农田灌溉技术，抓住灌溉水利用系数和节水灌溉技术两个要点，完成216亩首开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区稻渔综合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种养、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1400余亩田型调整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等基础配套建设，提高水资源利用效率。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3.探索科技赋能，提升河湖生态治理效能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水梨村以“互联网+水务”模式，借助科技力量，在全市率先引入无人机扮演“空中河长”角色，对村级河道进行全方位无死角的高效巡查监管。通过“人防+技防”手段，有效解决人工巡河短板，提升基层巡河效率和能力，以科技之力让基层河湖管护全面化、智能化，开</w:t>
      </w: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lastRenderedPageBreak/>
        <w:t>启了空地结合、人机结合、立体交叉的全方位监管模式，真正将治水变“智水”。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4.构建文化聚落，锚定河湖传承文化脉络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以水为脉，以艾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芜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文化为依托，将临水闲置农房宅基地、老院子资源与合作社联营共建，挖掘川西林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盘传统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文化，打造可体验、可观赏、可亲水的清流大书房、清流里、熙溪里等文化聚落，形成高质量发展的生态活力滨水经济带。仅2023年，全村举办稻田摸鱼、治水护水体验等亲水活动20余场。同时，“大书房”为村民游客免费提供7000余册阅读书籍，定期举办诗歌朗诵会、古琴交流等文化活动，水文化传承弦歌不辍、历久弥新。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（三）共谋福祉，助力“产兴人和”发展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1.以水兴田，发展农业产业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水梨村自南宋时就有泉水水井10余口，至今仍有一些古井滋养着农田。随着河湖长制工作的持续推进，全村通过基础设施建设、灌溉水质提升、农业技术改革等方式，规模化种植“迟菜心”等特色农产品。2023年，全村销往省内外的农产品就有600余万斤，销售额达780余万元，较2022年增长了10%。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2.以水兴业，吸引产业项目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lastRenderedPageBreak/>
        <w:t>建绿水荡漾、鱼翔浅底的水梨村，以良好的水生态环境优势吸引新都区重大农业产业项目“泉印心都”核心区落地，各具特色的农家乐也如雨后春笋般应运而生。截至目前，已吸引到5户“新村民”到水梨村开店，集体经济收入从2020年的5万元增加至50余万元，群众年务工收入增加2-3万元，比邻村务工年平均收入高约0.8万元。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3.以水兴旅，创新产业模式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利用“梨花、泉水、艾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芜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文化”的生态人文优势，发展独具特色的亲水游。与区教育局联动，和多所学校合作，将生态文明教育与乡村旅游紧密结合，升级“绿翠乡学中心”“嘎嘎梦工厂”等综合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研学配套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设施，打造寓学于行、寓学于游的水情教育及农耕文化主题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研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学基地。截至目前，共接待游客25万余人次、300多个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研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学团队，为当地增收2500余万元。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三、经验启示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（一）“固本培元”是河湖管护创新的“金钥匙”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全面推行河湖长制是维护河湖健康生命的有效举措，是完善水治理体系的制度创新。水梨村抓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实基层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河湖治理、林木资源保护管理、基本农田护理以“固本”，统筹推动河、田、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林系统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保护和治理，探索建立生态保护“一长两员+”融合管理体系以“培元”，推动河湖管护创新升级，与乡村振兴实现同频共振。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（二）“守正笃实”是幸福河湖建设的“保险箱”</w:t>
      </w:r>
    </w:p>
    <w:p w:rsidR="00096FDF" w:rsidRPr="00096FDF" w:rsidRDefault="00096FDF" w:rsidP="00096FDF">
      <w:pPr>
        <w:widowControl/>
        <w:spacing w:before="480" w:after="12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lastRenderedPageBreak/>
        <w:t>幸福河湖</w:t>
      </w:r>
      <w:proofErr w:type="gramStart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建设是习近</w:t>
      </w:r>
      <w:proofErr w:type="gramEnd"/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平总书记关于“建设造福人民的幸福河”的重要指示，是推动乡村振兴的有力支撑。水梨村通过构建水系蓝网、开展河道综合整治工程、修复河湖自然生态系统、赋能科技提升治水效能、传承水文化脉络，做好“绿水”文章，以“守正笃实，久久为功”的治水精神，为实现乡村振兴提供水生态保障。</w:t>
      </w:r>
    </w:p>
    <w:p w:rsidR="00096FDF" w:rsidRPr="00096FDF" w:rsidRDefault="00096FDF" w:rsidP="00096FDF">
      <w:pPr>
        <w:widowControl/>
        <w:spacing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（三）“凝心筑魂”是河湖长</w:t>
      </w:r>
      <w:proofErr w:type="gramStart"/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制持续</w:t>
      </w:r>
      <w:proofErr w:type="gramEnd"/>
      <w:r w:rsidRPr="00096FDF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发展的“密码本”</w:t>
      </w:r>
    </w:p>
    <w:p w:rsidR="00096FDF" w:rsidRPr="00096FDF" w:rsidRDefault="00096FDF" w:rsidP="00096FDF">
      <w:pPr>
        <w:widowControl/>
        <w:spacing w:before="480" w:line="360" w:lineRule="auto"/>
        <w:ind w:firstLine="480"/>
        <w:rPr>
          <w:rFonts w:ascii="宋体" w:eastAsia="宋体" w:hAnsi="宋体" w:cs="宋体" w:hint="eastAsia"/>
          <w:color w:val="000000"/>
          <w:kern w:val="0"/>
          <w:sz w:val="28"/>
          <w:szCs w:val="28"/>
        </w:rPr>
      </w:pPr>
      <w:r w:rsidRPr="00096FD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河湖长制工作的核心理念是“以人为本、人水和谐”，推动幸福河湖建设、乡村振兴高质量发展的关键也在人。水梨村联动部门“协同治水”、策动企业“参与治水”、带动游客“实践治水”、发动群众“合力治水”，坚定治水决心，构筑“绿水之魂”，持续推动河湖长制工作见实见效，让“美丽河湖”不断向“幸福河湖”汇流，有效有能推进乡村全面振兴。</w:t>
      </w:r>
    </w:p>
    <w:p w:rsidR="005B1615" w:rsidRPr="00096FDF" w:rsidRDefault="005B1615" w:rsidP="00096FDF">
      <w:pPr>
        <w:spacing w:line="360" w:lineRule="auto"/>
        <w:rPr>
          <w:sz w:val="28"/>
          <w:szCs w:val="28"/>
        </w:rPr>
      </w:pPr>
    </w:p>
    <w:sectPr w:rsidR="005B1615" w:rsidRPr="00096F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FE4CC0"/>
    <w:multiLevelType w:val="multilevel"/>
    <w:tmpl w:val="4AA40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FDF"/>
    <w:rsid w:val="00096FDF"/>
    <w:rsid w:val="005B1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40E27"/>
  <w15:chartTrackingRefBased/>
  <w15:docId w15:val="{91598683-A6C1-4556-BB7F-F34FBA43C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096FD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96FDF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096FD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096F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81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367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single" w:sz="6" w:space="0" w:color="E5E5E5"/>
            <w:right w:val="none" w:sz="0" w:space="0" w:color="auto"/>
          </w:divBdr>
          <w:divsChild>
            <w:div w:id="19822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53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91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085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589910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538551">
          <w:marLeft w:val="300"/>
          <w:marRight w:val="300"/>
          <w:marTop w:val="58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574</Words>
  <Characters>3275</Characters>
  <Application>Microsoft Office Word</Application>
  <DocSecurity>0</DocSecurity>
  <Lines>27</Lines>
  <Paragraphs>7</Paragraphs>
  <ScaleCrop>false</ScaleCrop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2025-07-15T03:16:00Z</dcterms:created>
  <dcterms:modified xsi:type="dcterms:W3CDTF">2025-07-15T03:17:00Z</dcterms:modified>
</cp:coreProperties>
</file>