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重庆市民政局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重庆市财政局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关于印发重庆市城乡社区便民服务中心建设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财政补助资金管理办法的通知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jc w:val="center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proofErr w:type="gramStart"/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渝民〔2016〕</w:t>
      </w:r>
      <w:proofErr w:type="gramEnd"/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162号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jc w:val="center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各区县（自治县）民政局、财政局，</w:t>
      </w:r>
      <w:proofErr w:type="gramStart"/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两江新区</w:t>
      </w:r>
      <w:proofErr w:type="gramEnd"/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社会保障局、财政局，万盛经开区民政局、财政局：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为加强城乡社区便民服务中心建设，完善服务功能，提升服务质量，根据《中共重庆市委办公厅、重庆市人民政府办公厅印发〈关于加强区县（自治县）、乡镇（街道）、村（社区）三级服务中心建设、健全服务群众工作体系的意见〉的通知》（渝委办发〔2014〕15号）精神，结合全市城乡社区建设实际，我们修订了《重庆市城乡社区便民服务中心建设财政补助资金管理办法》，现印发你们，请遵照执行。</w:t>
      </w:r>
    </w:p>
    <w:p w:rsidR="005D10EC" w:rsidRPr="005D10EC" w:rsidRDefault="005D10EC" w:rsidP="005D1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10E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D10EC" w:rsidRPr="005D10EC" w:rsidRDefault="005D10EC" w:rsidP="005D1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10E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重庆市民政局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重庆市财政局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2016年10月13日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lastRenderedPageBreak/>
        <w:t>重庆市城乡社区便民服务中心建设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财政补助资金管理办法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第一条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为加强城乡社区便民服务中心建设，完善服务功能，提升服务质量，根据《中共重庆市委办公厅、重庆市人民政府办公厅印发〈关于加强区县（自治县）、乡镇（街道）、村（社区）三级服务中心建设、健全服务群众工作体系的意见〉的通知》（渝委办发〔2014〕15号），结合全市城乡社区建设实际，特制定本办法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第二条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本办法适用于使用市级财政补助资金建设的城乡社区便民服务中心。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第三条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城乡社区便民服务中心建设资金，以区县（自治县）财政投入为主，市财政给予适当补助。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第四条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市级对城乡社区便民服务中心项目建设补助按照“总体均衡、合理配置、重点保障、贫困倾斜”的原则，每年根据工作重点有针对性地安排确定补助项目。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第五条 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市级财政补助资金用于开展城乡社区便民服务中心建设，包括社区（村）组织工作用房和居（村）民公益性服务设施建设、办公设备购置、社区（村）服务网络建设等。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第六条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市级财政补助资金应纳入区县（自治县）安排的项目建设资金统筹使用。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第七条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城乡社区便民服务中心建设，原则选择居（村）民群众较为集中，方便群众办事、活动的地方，并配套室外活动场地。由于条件限制，室内外设施不能同一地建设的，可在同一社区（村）内分开建设。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第八条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每年1月底前，各区县（自治县）民政局、财政局按照市级补助资金当年补助重点，汇总审核本区县（自治县）申报项目，联合向市民政局、市财政局报送《重庆市城乡社区便民服务中心市级补助项目计划申报表》（详见附件1）并</w:t>
      </w:r>
      <w:proofErr w:type="gramStart"/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附各项目实施</w:t>
      </w:r>
      <w:proofErr w:type="gramEnd"/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方案。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第九条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市民政局按照项目面积、覆盖人群、功效设置和绩效目标等因素，提出市级补助资金分配建议方案，会同市财政局联合审定后，市财政局将资金下达项目所在区县（自治县），区县（自治县）结合本级资金统筹使用，将资金补助到项目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第十条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项目实施完毕后，各区县（自治县）民政局应组织相关单位进行验收；验收合格后，向市民政局报送《城乡社区便民服务中心市级补助项目验收表》（详见附件2）备案，市民政局、市财政局将对报备情况进行抽查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第十一条 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各区县（自治县）应加强城乡社区便民服务中心建设资金的监管，防止挤占挪用，提高资金使用绩效。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第十二条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各级民政、财政部门要主动配合审计、纪检监察部门做好城乡社区便民服务中心建设情况的检查、审计。对违规违纪问题，按相关规定予以严肃处理。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第十三条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各区县（自治县）应结合本地实际，制定城乡社区便民服务中心建设管理制度，并报市民政局备案。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第十四条</w:t>
      </w:r>
      <w:r w:rsidRPr="005D10EC">
        <w:rPr>
          <w:rFonts w:ascii="Calibri" w:eastAsia="黑体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本办法自下发之日起执行。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附件1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重庆市城乡社区便民服务中心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市级补助项目计划申报表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center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（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年度）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center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区县财政局名称：（公章）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填报时间：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 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年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月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日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center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区县民政局名称：（公章）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填报时间：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 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年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月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日</w:t>
      </w:r>
    </w:p>
    <w:tbl>
      <w:tblPr>
        <w:tblW w:w="120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1020"/>
        <w:gridCol w:w="615"/>
        <w:gridCol w:w="1080"/>
        <w:gridCol w:w="915"/>
        <w:gridCol w:w="1230"/>
        <w:gridCol w:w="1500"/>
        <w:gridCol w:w="1650"/>
        <w:gridCol w:w="2190"/>
      </w:tblGrid>
      <w:tr w:rsidR="005D10EC" w:rsidRPr="005D10EC" w:rsidTr="005D10EC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社区（村）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便民服务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中心名称</w:t>
            </w:r>
          </w:p>
        </w:tc>
        <w:tc>
          <w:tcPr>
            <w:tcW w:w="10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详细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地址</w:t>
            </w:r>
          </w:p>
        </w:tc>
        <w:tc>
          <w:tcPr>
            <w:tcW w:w="16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建筑面积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（平方米）</w:t>
            </w:r>
          </w:p>
        </w:tc>
        <w:tc>
          <w:tcPr>
            <w:tcW w:w="9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竣工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时间</w:t>
            </w:r>
          </w:p>
        </w:tc>
        <w:tc>
          <w:tcPr>
            <w:tcW w:w="65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总投资（万元）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公共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服务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大厅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市级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补助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区县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安排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乡镇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（街道）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安排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lastRenderedPageBreak/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合计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—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—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</w:tr>
    </w:tbl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center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填表人：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     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联系电话：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       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区县财政局负责人：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区县民政局负责人：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附件2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   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      </w:t>
      </w: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  <w:u w:val="single"/>
        </w:rPr>
        <w:t>               </w:t>
      </w: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年度城乡社区便民服务中心</w:t>
      </w:r>
    </w:p>
    <w:p w:rsidR="005D10EC" w:rsidRPr="005D10EC" w:rsidRDefault="005D10EC" w:rsidP="005D10EC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</w:pPr>
      <w:r w:rsidRPr="005D10EC">
        <w:rPr>
          <w:rFonts w:ascii="方正小标宋_GBK" w:eastAsia="方正小标宋_GBK" w:hAnsi="宋体" w:cs="宋体" w:hint="eastAsia"/>
          <w:color w:val="000000"/>
          <w:kern w:val="0"/>
          <w:sz w:val="42"/>
          <w:szCs w:val="42"/>
        </w:rPr>
        <w:t>市级补助项目验收表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填表区县：</w:t>
      </w:r>
    </w:p>
    <w:tbl>
      <w:tblPr>
        <w:tblW w:w="1347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975"/>
        <w:gridCol w:w="787"/>
        <w:gridCol w:w="776"/>
        <w:gridCol w:w="601"/>
        <w:gridCol w:w="368"/>
        <w:gridCol w:w="594"/>
        <w:gridCol w:w="1023"/>
        <w:gridCol w:w="929"/>
        <w:gridCol w:w="910"/>
        <w:gridCol w:w="611"/>
        <w:gridCol w:w="413"/>
        <w:gridCol w:w="622"/>
        <w:gridCol w:w="1349"/>
        <w:gridCol w:w="1363"/>
      </w:tblGrid>
      <w:tr w:rsidR="005D10EC" w:rsidRPr="005D10EC" w:rsidTr="005D10EC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项目名称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项目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地址</w:t>
            </w:r>
          </w:p>
        </w:tc>
        <w:tc>
          <w:tcPr>
            <w:tcW w:w="0" w:type="auto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建筑面积</w:t>
            </w: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br/>
              <w:t>（平方米）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建设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类型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资金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总额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（万元）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完成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时间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市级补助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（万元）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当地安排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（万元）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社区（村）便民服务中心功能设置情况（已有功能打√）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一站式服务平台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警务室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档案室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图书阅览室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多功能室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（会议室）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文体活动室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lastRenderedPageBreak/>
              <w:t>本项目所在社区（村）基本情况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总户数</w:t>
            </w: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br/>
              <w:t>（户）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总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人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口</w:t>
            </w: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br/>
              <w:t>（人）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村（居）民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小组数</w:t>
            </w: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br/>
              <w:t>（</w:t>
            </w:r>
            <w:proofErr w:type="gramStart"/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个</w:t>
            </w:r>
            <w:proofErr w:type="gramEnd"/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）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村（社区）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工作人员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总数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（人）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村（居）委会</w:t>
            </w: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br/>
              <w:t>人数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党组织人数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两委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兼职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人数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除两委外村（社区）</w:t>
            </w: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br/>
              <w:t>专职工作人员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</w:tr>
      <w:tr w:rsidR="005D10EC" w:rsidRPr="005D10EC" w:rsidTr="005D10EC">
        <w:trPr>
          <w:jc w:val="center"/>
        </w:trPr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本项目正面全景图片（1张）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Calibri" w:eastAsia="FangSong" w:hAnsi="Calibri" w:cs="Calibri"/>
                <w:color w:val="000000"/>
                <w:kern w:val="0"/>
                <w:sz w:val="32"/>
                <w:szCs w:val="32"/>
              </w:rPr>
              <w:t> </w:t>
            </w:r>
          </w:p>
        </w:tc>
      </w:tr>
      <w:tr w:rsidR="005D10EC" w:rsidRPr="005D10EC" w:rsidTr="005D10EC">
        <w:trPr>
          <w:trHeight w:val="312"/>
          <w:jc w:val="center"/>
        </w:trPr>
        <w:tc>
          <w:tcPr>
            <w:tcW w:w="0" w:type="auto"/>
            <w:gridSpan w:val="7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5D10EC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区县验收意见</w:t>
            </w:r>
          </w:p>
        </w:tc>
        <w:tc>
          <w:tcPr>
            <w:tcW w:w="0" w:type="auto"/>
            <w:gridSpan w:val="8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D10E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5D10EC" w:rsidRPr="005D10EC" w:rsidTr="005D10EC">
        <w:trPr>
          <w:trHeight w:val="312"/>
          <w:jc w:val="center"/>
        </w:trPr>
        <w:tc>
          <w:tcPr>
            <w:tcW w:w="0" w:type="auto"/>
            <w:gridSpan w:val="7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gridSpan w:val="8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5D10EC" w:rsidRPr="005D10EC" w:rsidTr="005D10EC">
        <w:trPr>
          <w:trHeight w:val="312"/>
          <w:jc w:val="center"/>
        </w:trPr>
        <w:tc>
          <w:tcPr>
            <w:tcW w:w="0" w:type="auto"/>
            <w:gridSpan w:val="7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FangSong" w:eastAsia="FangSong" w:hAnsi="FangSong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gridSpan w:val="8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0EC" w:rsidRPr="005D10EC" w:rsidRDefault="005D10EC" w:rsidP="005D10E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说明：1. 社区（村）工作人员总数＝村（居）委会人数+党组织人数－两委兼职人数+除两委外专职工作人员数。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2. 验收表一式二份，一份区县存档，一份报市民政局备案。</w:t>
      </w:r>
    </w:p>
    <w:p w:rsidR="005D10EC" w:rsidRPr="005D10EC" w:rsidRDefault="005D10EC" w:rsidP="005D10EC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填表人： </w:t>
      </w:r>
      <w:r w:rsidRPr="005D10EC">
        <w:rPr>
          <w:rFonts w:ascii="Calibri" w:eastAsia="FangSong" w:hAnsi="Calibri" w:cs="Calibri"/>
          <w:color w:val="000000"/>
          <w:kern w:val="0"/>
          <w:sz w:val="32"/>
          <w:szCs w:val="32"/>
        </w:rPr>
        <w:t>                                             </w:t>
      </w:r>
      <w:r w:rsidRPr="005D10EC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联系电话：</w:t>
      </w:r>
    </w:p>
    <w:p w:rsidR="0069356C" w:rsidRDefault="0069356C">
      <w:bookmarkStart w:id="0" w:name="_GoBack"/>
      <w:bookmarkEnd w:id="0"/>
    </w:p>
    <w:sectPr w:rsidR="00693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EC"/>
    <w:rsid w:val="005D10EC"/>
    <w:rsid w:val="0069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6746-1053-4C17-A124-0E4DAB5A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2025-07-14T01:44:00Z</dcterms:created>
  <dcterms:modified xsi:type="dcterms:W3CDTF">2025-07-14T01:45:00Z</dcterms:modified>
</cp:coreProperties>
</file>