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698" w:rsidRPr="009E6698" w:rsidRDefault="009E6698" w:rsidP="009E6698">
      <w:pPr>
        <w:widowControl/>
        <w:spacing w:line="570" w:lineRule="atLeast"/>
        <w:jc w:val="center"/>
        <w:rPr>
          <w:rFonts w:ascii="FangSong" w:eastAsia="FangSong" w:hAnsi="FangSong" w:cs="宋体"/>
          <w:color w:val="000000"/>
          <w:kern w:val="0"/>
          <w:sz w:val="32"/>
          <w:szCs w:val="32"/>
        </w:rPr>
      </w:pPr>
      <w:r w:rsidRPr="009E6698">
        <w:rPr>
          <w:rFonts w:ascii="方正小标宋_GBK" w:eastAsia="方正小标宋_GBK" w:hAnsi="FangSong" w:cs="宋体" w:hint="eastAsia"/>
          <w:color w:val="000000"/>
          <w:kern w:val="0"/>
          <w:sz w:val="42"/>
          <w:szCs w:val="42"/>
        </w:rPr>
        <w:t>重庆市永川区人民政府办公室</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方正小标宋_GBK" w:eastAsia="方正小标宋_GBK" w:hAnsi="FangSong" w:cs="宋体" w:hint="eastAsia"/>
          <w:color w:val="000000"/>
          <w:kern w:val="0"/>
          <w:sz w:val="42"/>
          <w:szCs w:val="42"/>
        </w:rPr>
        <w:t>关于印发永川区新建城镇住宅小区幼儿园、</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方正小标宋_GBK" w:eastAsia="方正小标宋_GBK" w:hAnsi="FangSong" w:cs="宋体" w:hint="eastAsia"/>
          <w:color w:val="000000"/>
          <w:kern w:val="0"/>
          <w:sz w:val="42"/>
          <w:szCs w:val="42"/>
        </w:rPr>
        <w:t>社区居家养老服务设施、社区服务用房、</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方正小标宋_GBK" w:eastAsia="方正小标宋_GBK" w:hAnsi="FangSong" w:cs="宋体" w:hint="eastAsia"/>
          <w:color w:val="000000"/>
          <w:kern w:val="0"/>
          <w:sz w:val="42"/>
          <w:szCs w:val="42"/>
        </w:rPr>
        <w:t>物业管理用房等配套设施建设</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方正小标宋_GBK" w:eastAsia="方正小标宋_GBK" w:hAnsi="FangSong" w:cs="宋体" w:hint="eastAsia"/>
          <w:color w:val="000000"/>
          <w:kern w:val="0"/>
          <w:sz w:val="42"/>
          <w:szCs w:val="42"/>
        </w:rPr>
        <w:t>全过程监管工作方案的通知</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永川府办发〔2020〕80号</w:t>
      </w:r>
    </w:p>
    <w:p w:rsidR="009E6698" w:rsidRPr="009E6698" w:rsidRDefault="009E6698" w:rsidP="009E6698">
      <w:pPr>
        <w:widowControl/>
        <w:spacing w:line="570" w:lineRule="atLeast"/>
        <w:jc w:val="left"/>
        <w:rPr>
          <w:rFonts w:ascii="FangSong" w:eastAsia="FangSong" w:hAnsi="FangSong" w:cs="宋体" w:hint="eastAsia"/>
          <w:color w:val="000000"/>
          <w:kern w:val="0"/>
          <w:sz w:val="32"/>
          <w:szCs w:val="32"/>
        </w:rPr>
      </w:pPr>
      <w:r w:rsidRPr="009E6698">
        <w:rPr>
          <w:rFonts w:ascii="Calibri" w:eastAsia="FangSong" w:hAnsi="Calibri" w:cs="Calibri"/>
          <w:color w:val="000000"/>
          <w:kern w:val="0"/>
          <w:sz w:val="32"/>
          <w:szCs w:val="32"/>
        </w:rPr>
        <w:t> </w:t>
      </w:r>
    </w:p>
    <w:p w:rsidR="009E6698" w:rsidRPr="009E6698" w:rsidRDefault="009E6698" w:rsidP="009E6698">
      <w:pPr>
        <w:widowControl/>
        <w:spacing w:line="570" w:lineRule="atLeast"/>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各镇人民政府、街道办事处，区政府各部门，有关单位：</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《永川区新建城镇住宅小区幼儿园、社区居家养老服务设施、社区服务用房、物业管理用房等配套设施建设全过程监管工作方案》已经区政府第122次常务会议审议通过，现印发给你们，请遵照执行。</w:t>
      </w:r>
    </w:p>
    <w:p w:rsidR="009E6698" w:rsidRPr="009E6698" w:rsidRDefault="009E6698" w:rsidP="009E6698">
      <w:pPr>
        <w:widowControl/>
        <w:spacing w:line="570" w:lineRule="atLeast"/>
        <w:jc w:val="left"/>
        <w:rPr>
          <w:rFonts w:ascii="FangSong" w:eastAsia="FangSong" w:hAnsi="FangSong" w:cs="宋体" w:hint="eastAsia"/>
          <w:color w:val="000000"/>
          <w:kern w:val="0"/>
          <w:sz w:val="32"/>
          <w:szCs w:val="32"/>
        </w:rPr>
      </w:pPr>
      <w:r w:rsidRPr="009E6698">
        <w:rPr>
          <w:rFonts w:ascii="Calibri" w:eastAsia="FangSong" w:hAnsi="Calibri" w:cs="Calibri"/>
          <w:color w:val="000000"/>
          <w:kern w:val="0"/>
          <w:sz w:val="32"/>
          <w:szCs w:val="32"/>
        </w:rPr>
        <w:t> </w:t>
      </w:r>
    </w:p>
    <w:p w:rsidR="009E6698" w:rsidRPr="009E6698" w:rsidRDefault="009E6698" w:rsidP="009E6698">
      <w:pPr>
        <w:widowControl/>
        <w:spacing w:line="570" w:lineRule="atLeast"/>
        <w:jc w:val="righ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重庆市永川区人民政府办公室</w:t>
      </w:r>
    </w:p>
    <w:p w:rsidR="009E6698" w:rsidRPr="009E6698" w:rsidRDefault="009E6698" w:rsidP="009E6698">
      <w:pPr>
        <w:widowControl/>
        <w:spacing w:line="570" w:lineRule="atLeast"/>
        <w:jc w:val="righ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2020年9月17日</w:t>
      </w:r>
      <w:r w:rsidRPr="009E6698">
        <w:rPr>
          <w:rFonts w:ascii="Calibri" w:eastAsia="FangSong" w:hAnsi="Calibri" w:cs="Calibri"/>
          <w:color w:val="000000"/>
          <w:kern w:val="0"/>
          <w:sz w:val="32"/>
          <w:szCs w:val="32"/>
        </w:rPr>
        <w:t> </w:t>
      </w:r>
      <w:r w:rsidRPr="009E6698">
        <w:rPr>
          <w:rFonts w:ascii="FangSong" w:eastAsia="FangSong" w:hAnsi="FangSong" w:cs="宋体" w:hint="eastAsia"/>
          <w:color w:val="000000"/>
          <w:kern w:val="0"/>
          <w:sz w:val="32"/>
          <w:szCs w:val="32"/>
        </w:rPr>
        <w:t xml:space="preserve"> </w:t>
      </w:r>
      <w:r w:rsidRPr="009E6698">
        <w:rPr>
          <w:rFonts w:ascii="Calibri" w:eastAsia="FangSong" w:hAnsi="Calibri" w:cs="Calibri"/>
          <w:color w:val="000000"/>
          <w:kern w:val="0"/>
          <w:sz w:val="32"/>
          <w:szCs w:val="32"/>
        </w:rPr>
        <w:t> </w:t>
      </w:r>
      <w:r w:rsidRPr="009E6698">
        <w:rPr>
          <w:rFonts w:ascii="FangSong" w:eastAsia="FangSong" w:hAnsi="FangSong" w:cs="宋体" w:hint="eastAsia"/>
          <w:color w:val="000000"/>
          <w:kern w:val="0"/>
          <w:sz w:val="32"/>
          <w:szCs w:val="32"/>
        </w:rPr>
        <w:t xml:space="preserve"> </w:t>
      </w:r>
      <w:r w:rsidRPr="009E6698">
        <w:rPr>
          <w:rFonts w:ascii="Calibri" w:eastAsia="FangSong" w:hAnsi="Calibri" w:cs="Calibri"/>
          <w:color w:val="000000"/>
          <w:kern w:val="0"/>
          <w:sz w:val="32"/>
          <w:szCs w:val="32"/>
        </w:rPr>
        <w:t> </w:t>
      </w:r>
      <w:r w:rsidRPr="009E6698">
        <w:rPr>
          <w:rFonts w:ascii="FangSong" w:eastAsia="FangSong" w:hAnsi="FangSong" w:cs="宋体" w:hint="eastAsia"/>
          <w:color w:val="000000"/>
          <w:kern w:val="0"/>
          <w:sz w:val="32"/>
          <w:szCs w:val="32"/>
        </w:rPr>
        <w:t xml:space="preserve"> </w:t>
      </w:r>
      <w:r w:rsidRPr="009E6698">
        <w:rPr>
          <w:rFonts w:ascii="Calibri" w:eastAsia="FangSong" w:hAnsi="Calibri" w:cs="Calibri"/>
          <w:color w:val="000000"/>
          <w:kern w:val="0"/>
          <w:sz w:val="32"/>
          <w:szCs w:val="32"/>
        </w:rPr>
        <w:t> </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（此件公开发布）</w:t>
      </w:r>
    </w:p>
    <w:p w:rsidR="009E6698" w:rsidRPr="009E6698" w:rsidRDefault="009E6698" w:rsidP="009E6698">
      <w:pPr>
        <w:widowControl/>
        <w:spacing w:line="570" w:lineRule="atLeast"/>
        <w:jc w:val="left"/>
        <w:rPr>
          <w:rFonts w:ascii="FangSong" w:eastAsia="FangSong" w:hAnsi="FangSong" w:cs="宋体" w:hint="eastAsia"/>
          <w:color w:val="000000"/>
          <w:kern w:val="0"/>
          <w:sz w:val="32"/>
          <w:szCs w:val="32"/>
        </w:rPr>
      </w:pPr>
      <w:r w:rsidRPr="009E6698">
        <w:rPr>
          <w:rFonts w:ascii="Calibri" w:eastAsia="FangSong" w:hAnsi="Calibri" w:cs="Calibri"/>
          <w:color w:val="000000"/>
          <w:kern w:val="0"/>
          <w:sz w:val="32"/>
          <w:szCs w:val="32"/>
        </w:rPr>
        <w:t> </w:t>
      </w:r>
    </w:p>
    <w:p w:rsidR="009E6698" w:rsidRPr="009E6698" w:rsidRDefault="009E6698" w:rsidP="009E6698">
      <w:pPr>
        <w:widowControl/>
        <w:spacing w:line="570" w:lineRule="atLeast"/>
        <w:jc w:val="left"/>
        <w:rPr>
          <w:rFonts w:ascii="FangSong" w:eastAsia="FangSong" w:hAnsi="FangSong" w:cs="宋体" w:hint="eastAsia"/>
          <w:color w:val="000000"/>
          <w:kern w:val="0"/>
          <w:sz w:val="32"/>
          <w:szCs w:val="32"/>
        </w:rPr>
      </w:pPr>
      <w:r w:rsidRPr="009E6698">
        <w:rPr>
          <w:rFonts w:ascii="Calibri" w:eastAsia="FangSong" w:hAnsi="Calibri" w:cs="Calibri"/>
          <w:color w:val="000000"/>
          <w:kern w:val="0"/>
          <w:sz w:val="32"/>
          <w:szCs w:val="32"/>
        </w:rPr>
        <w:t> </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方正小标宋_GBK" w:eastAsia="方正小标宋_GBK" w:hAnsi="FangSong" w:cs="宋体" w:hint="eastAsia"/>
          <w:color w:val="000000"/>
          <w:kern w:val="0"/>
          <w:sz w:val="42"/>
          <w:szCs w:val="42"/>
        </w:rPr>
        <w:t>永川区新建城镇住宅小区幼儿园、</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方正小标宋_GBK" w:eastAsia="方正小标宋_GBK" w:hAnsi="FangSong" w:cs="宋体" w:hint="eastAsia"/>
          <w:color w:val="000000"/>
          <w:kern w:val="0"/>
          <w:sz w:val="42"/>
          <w:szCs w:val="42"/>
        </w:rPr>
        <w:t>社区居家养老服务设施、社区服务用房、</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方正小标宋_GBK" w:eastAsia="方正小标宋_GBK" w:hAnsi="FangSong" w:cs="宋体" w:hint="eastAsia"/>
          <w:color w:val="000000"/>
          <w:kern w:val="0"/>
          <w:sz w:val="42"/>
          <w:szCs w:val="42"/>
        </w:rPr>
        <w:t>物业管理用房等配套设施建设</w:t>
      </w:r>
    </w:p>
    <w:p w:rsidR="009E6698" w:rsidRPr="009E6698" w:rsidRDefault="009E6698" w:rsidP="009E6698">
      <w:pPr>
        <w:widowControl/>
        <w:spacing w:line="570" w:lineRule="atLeast"/>
        <w:jc w:val="center"/>
        <w:rPr>
          <w:rFonts w:ascii="FangSong" w:eastAsia="FangSong" w:hAnsi="FangSong" w:cs="宋体" w:hint="eastAsia"/>
          <w:color w:val="000000"/>
          <w:kern w:val="0"/>
          <w:sz w:val="32"/>
          <w:szCs w:val="32"/>
        </w:rPr>
      </w:pPr>
      <w:r w:rsidRPr="009E6698">
        <w:rPr>
          <w:rFonts w:ascii="方正小标宋_GBK" w:eastAsia="方正小标宋_GBK" w:hAnsi="FangSong" w:cs="宋体" w:hint="eastAsia"/>
          <w:color w:val="000000"/>
          <w:kern w:val="0"/>
          <w:sz w:val="42"/>
          <w:szCs w:val="42"/>
        </w:rPr>
        <w:t>全过程监管工作方案</w:t>
      </w:r>
    </w:p>
    <w:p w:rsidR="009E6698" w:rsidRPr="009E6698" w:rsidRDefault="009E6698" w:rsidP="009E6698">
      <w:pPr>
        <w:widowControl/>
        <w:spacing w:line="570" w:lineRule="atLeast"/>
        <w:jc w:val="left"/>
        <w:rPr>
          <w:rFonts w:ascii="FangSong" w:eastAsia="FangSong" w:hAnsi="FangSong" w:cs="宋体" w:hint="eastAsia"/>
          <w:color w:val="000000"/>
          <w:kern w:val="0"/>
          <w:sz w:val="32"/>
          <w:szCs w:val="32"/>
        </w:rPr>
      </w:pPr>
      <w:r w:rsidRPr="009E6698">
        <w:rPr>
          <w:rFonts w:ascii="Calibri" w:eastAsia="FangSong" w:hAnsi="Calibri" w:cs="Calibri"/>
          <w:color w:val="000000"/>
          <w:kern w:val="0"/>
          <w:sz w:val="32"/>
          <w:szCs w:val="32"/>
        </w:rPr>
        <w:lastRenderedPageBreak/>
        <w:t> </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为贯彻落实《国务院办公厅关于开展城镇小区配套幼儿园治理工作的通知》（国办发〔2019〕3号）、《国务院办公厅关于推进养老服务发展的意见》（国办发〔2019〕5号）、《重庆市城乡规划条例》、《重庆市物业管理条例》、《重庆市人民政府办公厅关于印发重庆市城镇小区配套幼儿园治理工作实施方案的通知》（</w:t>
      </w:r>
      <w:proofErr w:type="gramStart"/>
      <w:r w:rsidRPr="009E6698">
        <w:rPr>
          <w:rFonts w:ascii="FangSong" w:eastAsia="FangSong" w:hAnsi="FangSong" w:cs="宋体" w:hint="eastAsia"/>
          <w:color w:val="000000"/>
          <w:kern w:val="0"/>
          <w:sz w:val="32"/>
          <w:szCs w:val="32"/>
        </w:rPr>
        <w:t>渝府办</w:t>
      </w:r>
      <w:proofErr w:type="gramEnd"/>
      <w:r w:rsidRPr="009E6698">
        <w:rPr>
          <w:rFonts w:ascii="FangSong" w:eastAsia="FangSong" w:hAnsi="FangSong" w:cs="宋体" w:hint="eastAsia"/>
          <w:color w:val="000000"/>
          <w:kern w:val="0"/>
          <w:sz w:val="32"/>
          <w:szCs w:val="32"/>
        </w:rPr>
        <w:t>发〔2019〕39号）等精神，进一步规范我区新建城镇住宅小区幼儿园、社区居家养老服务设施、社区服务用房、物业管理用房（以下简称“配套服务用房”）等配套设施全过程监管，结合我区实际，特制定本方案。</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黑体" w:eastAsia="黑体" w:hAnsi="黑体" w:cs="宋体" w:hint="eastAsia"/>
          <w:color w:val="000000"/>
          <w:kern w:val="0"/>
          <w:sz w:val="32"/>
          <w:szCs w:val="32"/>
        </w:rPr>
        <w:t>一、总体要求</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坚持以人民为中心的发展思想，认真履行政府责任，依法落实城镇公共服务设施建设规定，着力构建以普惠性资源为主体的学前教育公共服务体系，进一步提高学前教育公益普惠水平；着力构建养老、孝老、敬老政策体系和社会环境，加快建设居家社区机构相协调、</w:t>
      </w:r>
      <w:proofErr w:type="gramStart"/>
      <w:r w:rsidRPr="009E6698">
        <w:rPr>
          <w:rFonts w:ascii="FangSong" w:eastAsia="FangSong" w:hAnsi="FangSong" w:cs="宋体" w:hint="eastAsia"/>
          <w:color w:val="000000"/>
          <w:kern w:val="0"/>
          <w:sz w:val="32"/>
          <w:szCs w:val="32"/>
        </w:rPr>
        <w:t>医养康养</w:t>
      </w:r>
      <w:proofErr w:type="gramEnd"/>
      <w:r w:rsidRPr="009E6698">
        <w:rPr>
          <w:rFonts w:ascii="FangSong" w:eastAsia="FangSong" w:hAnsi="FangSong" w:cs="宋体" w:hint="eastAsia"/>
          <w:color w:val="000000"/>
          <w:kern w:val="0"/>
          <w:sz w:val="32"/>
          <w:szCs w:val="32"/>
        </w:rPr>
        <w:t>相结合的养老服务体系，建立健全高龄、失能老年人长期照护服务体系，强化信用为核心、质量为保障、放权与监管并重的服务管理体系，实现全区社区居家养老服务设施、失能特困人员集中照护设施实现全覆盖；着力规范社区服务用</w:t>
      </w:r>
      <w:r w:rsidRPr="009E6698">
        <w:rPr>
          <w:rFonts w:ascii="FangSong" w:eastAsia="FangSong" w:hAnsi="FangSong" w:cs="宋体" w:hint="eastAsia"/>
          <w:color w:val="000000"/>
          <w:kern w:val="0"/>
          <w:sz w:val="32"/>
          <w:szCs w:val="32"/>
        </w:rPr>
        <w:lastRenderedPageBreak/>
        <w:t>房和物业管理用房的规划建设管理，切实提高人民群众获得感、幸福感、安全感。</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黑体" w:eastAsia="黑体" w:hAnsi="黑体" w:cs="宋体" w:hint="eastAsia"/>
          <w:color w:val="000000"/>
          <w:kern w:val="0"/>
          <w:sz w:val="32"/>
          <w:szCs w:val="32"/>
        </w:rPr>
        <w:t>二、工作任务</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方正楷体_GBK" w:eastAsia="方正楷体_GBK" w:hAnsi="FangSong" w:cs="宋体" w:hint="eastAsia"/>
          <w:color w:val="000000"/>
          <w:kern w:val="0"/>
          <w:sz w:val="32"/>
          <w:szCs w:val="32"/>
        </w:rPr>
        <w:t>（一）编制专项规划，落实规划布局</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1.区教委编制全区幼儿园专项规划；</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2.区民政局编制全区社区居家养老设施和社区服务用房专项规划；</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3.区规划自然资源局将幼儿园、社区居家养老设施、社区服务用房专项规划纳入相关国土空间规划和全区控制性详细规划；</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4.区规划自然资源局严格按照控制性详细规划管理规定，对涉及幼儿园、社区居家养老设施、社区服务用房用地开展控</w:t>
      </w:r>
      <w:proofErr w:type="gramStart"/>
      <w:r w:rsidRPr="009E6698">
        <w:rPr>
          <w:rFonts w:ascii="FangSong" w:eastAsia="FangSong" w:hAnsi="FangSong" w:cs="宋体" w:hint="eastAsia"/>
          <w:color w:val="000000"/>
          <w:kern w:val="0"/>
          <w:sz w:val="32"/>
          <w:szCs w:val="32"/>
        </w:rPr>
        <w:t>规</w:t>
      </w:r>
      <w:proofErr w:type="gramEnd"/>
      <w:r w:rsidRPr="009E6698">
        <w:rPr>
          <w:rFonts w:ascii="FangSong" w:eastAsia="FangSong" w:hAnsi="FangSong" w:cs="宋体" w:hint="eastAsia"/>
          <w:color w:val="000000"/>
          <w:kern w:val="0"/>
          <w:sz w:val="32"/>
          <w:szCs w:val="32"/>
        </w:rPr>
        <w:t>修改工作，严格修改审批程序，未按规定程序审批不得调整。</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方正楷体_GBK" w:eastAsia="方正楷体_GBK" w:hAnsi="FangSong" w:cs="宋体" w:hint="eastAsia"/>
          <w:color w:val="000000"/>
          <w:kern w:val="0"/>
          <w:sz w:val="32"/>
          <w:szCs w:val="32"/>
        </w:rPr>
        <w:t>（二）严格土地出让，明确建设任务</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1.区规划自然资源局在拟供应地</w:t>
      </w:r>
      <w:proofErr w:type="gramStart"/>
      <w:r w:rsidRPr="009E6698">
        <w:rPr>
          <w:rFonts w:ascii="FangSong" w:eastAsia="FangSong" w:hAnsi="FangSong" w:cs="宋体" w:hint="eastAsia"/>
          <w:color w:val="000000"/>
          <w:kern w:val="0"/>
          <w:sz w:val="32"/>
          <w:szCs w:val="32"/>
        </w:rPr>
        <w:t>块规划</w:t>
      </w:r>
      <w:proofErr w:type="gramEnd"/>
      <w:r w:rsidRPr="009E6698">
        <w:rPr>
          <w:rFonts w:ascii="FangSong" w:eastAsia="FangSong" w:hAnsi="FangSong" w:cs="宋体" w:hint="eastAsia"/>
          <w:color w:val="000000"/>
          <w:kern w:val="0"/>
          <w:sz w:val="32"/>
          <w:szCs w:val="32"/>
        </w:rPr>
        <w:t>条件中明确城镇小区“配套服务用房”建设要求。在编制土地出让公告时，将城镇小区的“配套服务用房”供地方式、用地面积、建设规模及标准、建设责任主体、建设时序（采取与项目第一期工程“三同步”管理：同步设计、同步施工、同步验收）、住宅项目的预售条件、移交义务以及产权归属等事项纳入土地出让公告。土地依法出让后，与受让人</w:t>
      </w:r>
      <w:r w:rsidRPr="009E6698">
        <w:rPr>
          <w:rFonts w:ascii="FangSong" w:eastAsia="FangSong" w:hAnsi="FangSong" w:cs="宋体" w:hint="eastAsia"/>
          <w:color w:val="000000"/>
          <w:kern w:val="0"/>
          <w:sz w:val="32"/>
          <w:szCs w:val="32"/>
        </w:rPr>
        <w:lastRenderedPageBreak/>
        <w:t>签订《国有建设用地使用权出让合同》，进一步</w:t>
      </w:r>
      <w:proofErr w:type="gramStart"/>
      <w:r w:rsidRPr="009E6698">
        <w:rPr>
          <w:rFonts w:ascii="FangSong" w:eastAsia="FangSong" w:hAnsi="FangSong" w:cs="宋体" w:hint="eastAsia"/>
          <w:color w:val="000000"/>
          <w:kern w:val="0"/>
          <w:sz w:val="32"/>
          <w:szCs w:val="32"/>
        </w:rPr>
        <w:t>落实受</w:t>
      </w:r>
      <w:proofErr w:type="gramEnd"/>
      <w:r w:rsidRPr="009E6698">
        <w:rPr>
          <w:rFonts w:ascii="FangSong" w:eastAsia="FangSong" w:hAnsi="FangSong" w:cs="宋体" w:hint="eastAsia"/>
          <w:color w:val="000000"/>
          <w:kern w:val="0"/>
          <w:sz w:val="32"/>
          <w:szCs w:val="32"/>
        </w:rPr>
        <w:t>让人土地开发配建义务。</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2.“配套服务用房”相关专项规划未编制完成前，区规划自然资源局在土地出让前，应分别征求区教委、区民政局对幼儿园、社区居家养老设施、社区服务用房的建设要求。</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方正楷体_GBK" w:eastAsia="方正楷体_GBK" w:hAnsi="FangSong" w:cs="宋体" w:hint="eastAsia"/>
          <w:color w:val="000000"/>
          <w:kern w:val="0"/>
          <w:sz w:val="32"/>
          <w:szCs w:val="32"/>
        </w:rPr>
        <w:t>（三）加强方案审查，</w:t>
      </w:r>
      <w:proofErr w:type="gramStart"/>
      <w:r w:rsidRPr="009E6698">
        <w:rPr>
          <w:rFonts w:ascii="方正楷体_GBK" w:eastAsia="方正楷体_GBK" w:hAnsi="FangSong" w:cs="宋体" w:hint="eastAsia"/>
          <w:color w:val="000000"/>
          <w:kern w:val="0"/>
          <w:sz w:val="32"/>
          <w:szCs w:val="32"/>
        </w:rPr>
        <w:t>严格依标配建</w:t>
      </w:r>
      <w:proofErr w:type="gramEnd"/>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1.区规划自然资源局应严格执行控制性详细规划要求，并将城镇小区“配套服务用房”设计纳入方案专篇设计和专项审查,并在建设工程规划设计方案审查中强化对“配套服务用房”审核。</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2.区规划自然资源局将区教委、区民政局、区住房城乡建委纳入规划条件出让和方案设计审查协同配合部门。</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方正楷体_GBK" w:eastAsia="方正楷体_GBK" w:hAnsi="FangSong" w:cs="宋体" w:hint="eastAsia"/>
          <w:color w:val="000000"/>
          <w:kern w:val="0"/>
          <w:sz w:val="32"/>
          <w:szCs w:val="32"/>
        </w:rPr>
        <w:t>（四）规范建设管理程序，落实“三个同步”</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1.区住房城乡建委严格按照《国有建设用地使用权出让合同》约定，督促建设单位落实“配套服务用房”与项目第一期工程“三同步”管理（同步设计、同步施工、同步验收）的义务，重点在施工图联合审查以及办理施工许可环节，加大核查力度。</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2.区住房城乡建委严格按照区规划自然资源局方案设计审查要求，严格落实“配套服务用房”施工图设计审查管理。</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lastRenderedPageBreak/>
        <w:t>3.区住房城乡建委负责“配套服务用房”建设中质量安全管理。</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4.区住房城乡建委负责督促项目业主单位在规定时间内完成“配套服务用房”的建设和验收。</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方正楷体_GBK" w:eastAsia="方正楷体_GBK" w:hAnsi="FangSong" w:cs="宋体" w:hint="eastAsia"/>
          <w:color w:val="000000"/>
          <w:kern w:val="0"/>
          <w:sz w:val="32"/>
          <w:szCs w:val="32"/>
        </w:rPr>
        <w:t>（五）强化协同配合，建立移交管理机制</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1.区规划自然资源局负责，按照项目方案审批的“配套服务用房”指标要求、位置等进行竣工测绘和建设工程竣工规划核实。</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2.区住房城乡建委负责，在项目建设工程竣工验收备案登记环节，督促建设单位严格按照《国有建设用地使用权出让合同》约定履行移交等义务，幼儿园移交区教委，社区居家养老设施、社区服务用房移交相关镇街。</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3.区住房城乡建委负责，在办理预售许可环节，督促建设单位严格按照《国有建设用地使用权出让合同》约定，在规定时间内完成物业管理用房的竣工现场核查备案和移交工作。</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4.区规划自然资源局、区教委、区民政局等相关部门和</w:t>
      </w:r>
      <w:proofErr w:type="gramStart"/>
      <w:r w:rsidRPr="009E6698">
        <w:rPr>
          <w:rFonts w:ascii="FangSong" w:eastAsia="FangSong" w:hAnsi="FangSong" w:cs="宋体" w:hint="eastAsia"/>
          <w:color w:val="000000"/>
          <w:kern w:val="0"/>
          <w:sz w:val="32"/>
          <w:szCs w:val="32"/>
        </w:rPr>
        <w:t>各镇街应积极</w:t>
      </w:r>
      <w:proofErr w:type="gramEnd"/>
      <w:r w:rsidRPr="009E6698">
        <w:rPr>
          <w:rFonts w:ascii="FangSong" w:eastAsia="FangSong" w:hAnsi="FangSong" w:cs="宋体" w:hint="eastAsia"/>
          <w:color w:val="000000"/>
          <w:kern w:val="0"/>
          <w:sz w:val="32"/>
          <w:szCs w:val="32"/>
        </w:rPr>
        <w:t>配合区住房城乡建委完成“配套服务用房”的移交工作，区规划自然资源局负责办理“配套服务用房”不动产权证。</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黑体" w:eastAsia="黑体" w:hAnsi="黑体" w:cs="宋体" w:hint="eastAsia"/>
          <w:color w:val="000000"/>
          <w:kern w:val="0"/>
          <w:sz w:val="32"/>
          <w:szCs w:val="32"/>
        </w:rPr>
        <w:t>三、加强组织领导</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方正楷体_GBK" w:eastAsia="方正楷体_GBK" w:hAnsi="FangSong" w:cs="宋体" w:hint="eastAsia"/>
          <w:color w:val="000000"/>
          <w:kern w:val="0"/>
          <w:sz w:val="32"/>
          <w:szCs w:val="32"/>
        </w:rPr>
        <w:lastRenderedPageBreak/>
        <w:t>（一）形成工作合力。</w:t>
      </w:r>
      <w:r w:rsidRPr="009E6698">
        <w:rPr>
          <w:rFonts w:ascii="FangSong" w:eastAsia="FangSong" w:hAnsi="FangSong" w:cs="宋体" w:hint="eastAsia"/>
          <w:color w:val="000000"/>
          <w:kern w:val="0"/>
          <w:sz w:val="32"/>
          <w:szCs w:val="32"/>
        </w:rPr>
        <w:t>各责任部门要统一思想认识，从自身职能职责出发，明确目标，细化措施，周密部署，及时研究解决工作中出现的新情况、新问题，建立强有力的工作推进机制，形成工作合力，确保该项工作科学、有序、协调推进。</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方正楷体_GBK" w:eastAsia="方正楷体_GBK" w:hAnsi="FangSong" w:cs="宋体" w:hint="eastAsia"/>
          <w:color w:val="000000"/>
          <w:kern w:val="0"/>
          <w:sz w:val="32"/>
          <w:szCs w:val="32"/>
        </w:rPr>
        <w:t>（二）完善管理机制。</w:t>
      </w:r>
      <w:r w:rsidRPr="009E6698">
        <w:rPr>
          <w:rFonts w:ascii="FangSong" w:eastAsia="FangSong" w:hAnsi="FangSong" w:cs="宋体" w:hint="eastAsia"/>
          <w:color w:val="000000"/>
          <w:kern w:val="0"/>
          <w:sz w:val="32"/>
          <w:szCs w:val="32"/>
        </w:rPr>
        <w:t>各责任部门要在工作推进中不断总结好做法、好经验，进一步完善城镇住宅小区配套设施用房建设、移交、使用长效机制，加大对“应建未建、建设迟缓、建不移交”等问题企业的解决力度，确保各项政策落到实处，公共资源得到有效利用。</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方正楷体_GBK" w:eastAsia="方正楷体_GBK" w:hAnsi="FangSong" w:cs="宋体" w:hint="eastAsia"/>
          <w:color w:val="000000"/>
          <w:kern w:val="0"/>
          <w:sz w:val="32"/>
          <w:szCs w:val="32"/>
        </w:rPr>
        <w:t>（三）强化督查落实。</w:t>
      </w:r>
      <w:r w:rsidRPr="009E6698">
        <w:rPr>
          <w:rFonts w:ascii="FangSong" w:eastAsia="FangSong" w:hAnsi="FangSong" w:cs="宋体" w:hint="eastAsia"/>
          <w:color w:val="000000"/>
          <w:kern w:val="0"/>
          <w:sz w:val="32"/>
          <w:szCs w:val="32"/>
        </w:rPr>
        <w:t>定期对工作推进和责任落实情况进行检查考核。对推动工作中不作为、慢作为、乱作为的，以及在城镇住宅小区配套设施用房建设、移交工作中出现的各类违纪、违规行为，将依法依纪严肃处理。</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黑体" w:eastAsia="黑体" w:hAnsi="黑体" w:cs="宋体" w:hint="eastAsia"/>
          <w:color w:val="000000"/>
          <w:kern w:val="0"/>
          <w:sz w:val="32"/>
          <w:szCs w:val="32"/>
        </w:rPr>
        <w:t>四、本方案自印发之日起30日后施行。</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Calibri" w:eastAsia="FangSong" w:hAnsi="Calibri" w:cs="Calibri"/>
          <w:color w:val="000000"/>
          <w:kern w:val="0"/>
          <w:sz w:val="32"/>
          <w:szCs w:val="32"/>
        </w:rPr>
        <w:t> </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FangSong" w:eastAsia="FangSong" w:hAnsi="FangSong" w:cs="宋体" w:hint="eastAsia"/>
          <w:color w:val="000000"/>
          <w:kern w:val="0"/>
          <w:sz w:val="32"/>
          <w:szCs w:val="32"/>
        </w:rPr>
        <w:t>附件：永川区城镇小区新建配套服务用房建设责任分工表</w:t>
      </w:r>
    </w:p>
    <w:p w:rsidR="009E6698" w:rsidRPr="009E6698" w:rsidRDefault="009E6698" w:rsidP="009E6698">
      <w:pPr>
        <w:widowControl/>
        <w:spacing w:line="570" w:lineRule="atLeast"/>
        <w:ind w:firstLine="480"/>
        <w:jc w:val="left"/>
        <w:rPr>
          <w:rFonts w:ascii="FangSong" w:eastAsia="FangSong" w:hAnsi="FangSong" w:cs="宋体" w:hint="eastAsia"/>
          <w:color w:val="000000"/>
          <w:kern w:val="0"/>
          <w:sz w:val="32"/>
          <w:szCs w:val="32"/>
        </w:rPr>
      </w:pPr>
      <w:r w:rsidRPr="009E6698">
        <w:rPr>
          <w:rFonts w:ascii="Calibri" w:eastAsia="FangSong" w:hAnsi="Calibri" w:cs="Calibri"/>
          <w:color w:val="000000"/>
          <w:kern w:val="0"/>
          <w:sz w:val="32"/>
          <w:szCs w:val="32"/>
        </w:rPr>
        <w:t> </w:t>
      </w:r>
    </w:p>
    <w:p w:rsidR="009E6698" w:rsidRPr="009E6698" w:rsidRDefault="009E6698" w:rsidP="009E6698">
      <w:pPr>
        <w:widowControl/>
        <w:rPr>
          <w:rFonts w:ascii="微软雅黑" w:eastAsia="微软雅黑" w:hAnsi="微软雅黑" w:cs="宋体" w:hint="eastAsia"/>
          <w:color w:val="000000"/>
          <w:kern w:val="0"/>
          <w:szCs w:val="21"/>
        </w:rPr>
      </w:pPr>
      <w:r w:rsidRPr="009E6698">
        <w:rPr>
          <w:rFonts w:ascii="黑体" w:eastAsia="黑体" w:hAnsi="黑体" w:cs="宋体" w:hint="eastAsia"/>
          <w:color w:val="000000"/>
          <w:kern w:val="0"/>
          <w:sz w:val="32"/>
          <w:szCs w:val="32"/>
        </w:rPr>
        <w:t>附件</w:t>
      </w:r>
    </w:p>
    <w:p w:rsidR="009E6698" w:rsidRPr="009E6698" w:rsidRDefault="009E6698" w:rsidP="009E6698">
      <w:pPr>
        <w:widowControl/>
        <w:jc w:val="center"/>
        <w:rPr>
          <w:rFonts w:ascii="微软雅黑" w:eastAsia="微软雅黑" w:hAnsi="微软雅黑" w:cs="宋体" w:hint="eastAsia"/>
          <w:color w:val="000000"/>
          <w:kern w:val="0"/>
          <w:szCs w:val="21"/>
        </w:rPr>
      </w:pPr>
      <w:r w:rsidRPr="009E6698">
        <w:rPr>
          <w:rFonts w:ascii="方正小标宋_GBK" w:eastAsia="方正小标宋_GBK" w:hAnsi="Times New Roman" w:cs="Times New Roman" w:hint="eastAsia"/>
          <w:color w:val="000000"/>
          <w:kern w:val="0"/>
          <w:sz w:val="42"/>
          <w:szCs w:val="42"/>
        </w:rPr>
        <w:t>永川区城镇小区新建配套服务用房建设责任分工表</w:t>
      </w:r>
    </w:p>
    <w:p w:rsidR="009E6698" w:rsidRPr="009E6698" w:rsidRDefault="009E6698" w:rsidP="009E6698">
      <w:pPr>
        <w:widowControl/>
        <w:jc w:val="center"/>
        <w:rPr>
          <w:rFonts w:ascii="微软雅黑" w:eastAsia="微软雅黑" w:hAnsi="微软雅黑" w:cs="宋体" w:hint="eastAsia"/>
          <w:color w:val="000000"/>
          <w:kern w:val="0"/>
          <w:szCs w:val="21"/>
        </w:rPr>
      </w:pPr>
      <w:r w:rsidRPr="009E6698">
        <w:rPr>
          <w:rFonts w:ascii="微软雅黑" w:eastAsia="微软雅黑" w:hAnsi="微软雅黑" w:cs="宋体" w:hint="eastAsia"/>
          <w:color w:val="000000"/>
          <w:kern w:val="0"/>
          <w:szCs w:val="21"/>
        </w:rPr>
        <w:lastRenderedPageBreak/>
        <w:t> </w:t>
      </w:r>
    </w:p>
    <w:tbl>
      <w:tblPr>
        <w:tblW w:w="8637" w:type="dxa"/>
        <w:tblLook w:val="04A0" w:firstRow="1" w:lastRow="0" w:firstColumn="1" w:lastColumn="0" w:noHBand="0" w:noVBand="1"/>
      </w:tblPr>
      <w:tblGrid>
        <w:gridCol w:w="1033"/>
        <w:gridCol w:w="1037"/>
        <w:gridCol w:w="4441"/>
        <w:gridCol w:w="2126"/>
      </w:tblGrid>
      <w:tr w:rsidR="009E6698" w:rsidRPr="009E6698" w:rsidTr="009E6698">
        <w:trPr>
          <w:trHeight w:val="550"/>
        </w:trPr>
        <w:tc>
          <w:tcPr>
            <w:tcW w:w="1033"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color w:val="000000"/>
                <w:kern w:val="0"/>
                <w:szCs w:val="21"/>
              </w:rPr>
            </w:pPr>
            <w:r w:rsidRPr="009E6698">
              <w:rPr>
                <w:rFonts w:ascii="FangSong" w:eastAsia="FangSong" w:hAnsi="FangSong" w:cs="宋体" w:hint="eastAsia"/>
                <w:color w:val="000000"/>
                <w:kern w:val="0"/>
                <w:szCs w:val="21"/>
              </w:rPr>
              <w:t>序号</w:t>
            </w:r>
          </w:p>
        </w:tc>
        <w:tc>
          <w:tcPr>
            <w:tcW w:w="1037" w:type="dxa"/>
            <w:tcBorders>
              <w:top w:val="single" w:sz="8" w:space="0" w:color="000000"/>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 xml:space="preserve">项 </w:t>
            </w:r>
            <w:r w:rsidRPr="009E6698">
              <w:rPr>
                <w:rFonts w:ascii="Calibri" w:eastAsia="FangSong" w:hAnsi="Calibri" w:cs="Calibri"/>
                <w:color w:val="000000"/>
                <w:kern w:val="0"/>
                <w:szCs w:val="21"/>
              </w:rPr>
              <w:t> </w:t>
            </w:r>
            <w:r w:rsidRPr="009E6698">
              <w:rPr>
                <w:rFonts w:ascii="FangSong" w:eastAsia="FangSong" w:hAnsi="FangSong" w:cs="宋体" w:hint="eastAsia"/>
                <w:color w:val="000000"/>
                <w:kern w:val="0"/>
                <w:szCs w:val="21"/>
              </w:rPr>
              <w:t>目</w:t>
            </w:r>
          </w:p>
        </w:tc>
        <w:tc>
          <w:tcPr>
            <w:tcW w:w="4441" w:type="dxa"/>
            <w:tcBorders>
              <w:top w:val="single" w:sz="8" w:space="0" w:color="000000"/>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 xml:space="preserve">工 作 任 </w:t>
            </w:r>
            <w:proofErr w:type="gramStart"/>
            <w:r w:rsidRPr="009E6698">
              <w:rPr>
                <w:rFonts w:ascii="FangSong" w:eastAsia="FangSong" w:hAnsi="FangSong" w:cs="宋体" w:hint="eastAsia"/>
                <w:color w:val="000000"/>
                <w:kern w:val="0"/>
                <w:szCs w:val="21"/>
              </w:rPr>
              <w:t>务</w:t>
            </w:r>
            <w:proofErr w:type="gramEnd"/>
          </w:p>
        </w:tc>
        <w:tc>
          <w:tcPr>
            <w:tcW w:w="2126" w:type="dxa"/>
            <w:tcBorders>
              <w:top w:val="single" w:sz="8" w:space="0" w:color="000000"/>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责任单位</w:t>
            </w:r>
          </w:p>
        </w:tc>
      </w:tr>
      <w:tr w:rsidR="009E6698" w:rsidRPr="009E6698" w:rsidTr="009E6698">
        <w:trPr>
          <w:trHeight w:val="217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1</w:t>
            </w:r>
          </w:p>
        </w:tc>
        <w:tc>
          <w:tcPr>
            <w:tcW w:w="1037"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专项规划</w:t>
            </w:r>
          </w:p>
        </w:tc>
        <w:tc>
          <w:tcPr>
            <w:tcW w:w="4441"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编制幼儿园专项规划、社区用房专项规划、社区养老设施专项规划</w:t>
            </w:r>
          </w:p>
        </w:tc>
        <w:tc>
          <w:tcPr>
            <w:tcW w:w="2126"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区教委、区民政局</w:t>
            </w:r>
          </w:p>
        </w:tc>
      </w:tr>
      <w:tr w:rsidR="009E6698" w:rsidRPr="009E6698" w:rsidTr="009E6698">
        <w:trPr>
          <w:trHeight w:val="1080"/>
        </w:trPr>
        <w:tc>
          <w:tcPr>
            <w:tcW w:w="1033"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2</w:t>
            </w:r>
          </w:p>
        </w:tc>
        <w:tc>
          <w:tcPr>
            <w:tcW w:w="1037"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控制性详细规划</w:t>
            </w:r>
          </w:p>
        </w:tc>
        <w:tc>
          <w:tcPr>
            <w:tcW w:w="4441" w:type="dxa"/>
            <w:tcBorders>
              <w:top w:val="nil"/>
              <w:left w:val="nil"/>
              <w:bottom w:val="nil"/>
              <w:right w:val="nil"/>
            </w:tcBorders>
            <w:shd w:val="clear" w:color="auto" w:fill="auto"/>
            <w:noWrap/>
            <w:vAlign w:val="center"/>
            <w:hideMark/>
          </w:tcPr>
          <w:p w:rsidR="009E6698" w:rsidRDefault="009E6698" w:rsidP="009E6698">
            <w:pPr>
              <w:widowControl/>
              <w:jc w:val="left"/>
              <w:rPr>
                <w:rFonts w:ascii="FangSong" w:eastAsia="FangSong" w:hAnsi="FangSong"/>
                <w:color w:val="000000"/>
                <w:szCs w:val="21"/>
                <w:shd w:val="clear" w:color="auto" w:fill="FFFFFF"/>
              </w:rPr>
            </w:pPr>
          </w:p>
          <w:p w:rsidR="009E6698" w:rsidRPr="009E6698" w:rsidRDefault="009E6698" w:rsidP="009E6698">
            <w:pPr>
              <w:widowControl/>
              <w:jc w:val="left"/>
              <w:rPr>
                <w:rFonts w:ascii="等线" w:eastAsia="等线" w:hAnsi="等线" w:cs="宋体" w:hint="eastAsia"/>
                <w:color w:val="000000"/>
                <w:kern w:val="0"/>
                <w:sz w:val="22"/>
              </w:rPr>
            </w:pPr>
            <w:r>
              <w:rPr>
                <w:rFonts w:ascii="FangSong" w:eastAsia="FangSong" w:hAnsi="FangSong" w:hint="eastAsia"/>
                <w:color w:val="000000"/>
                <w:szCs w:val="21"/>
                <w:shd w:val="clear" w:color="auto" w:fill="FFFFFF"/>
              </w:rPr>
              <w:t>按照控制性详细规划管理规定，对涉及幼儿园、社区居家养老设施、社区服务用房用地开展控</w:t>
            </w:r>
            <w:proofErr w:type="gramStart"/>
            <w:r>
              <w:rPr>
                <w:rFonts w:ascii="FangSong" w:eastAsia="FangSong" w:hAnsi="FangSong" w:hint="eastAsia"/>
                <w:color w:val="000000"/>
                <w:szCs w:val="21"/>
                <w:shd w:val="clear" w:color="auto" w:fill="FFFFFF"/>
              </w:rPr>
              <w:t>规</w:t>
            </w:r>
            <w:proofErr w:type="gramEnd"/>
            <w:r>
              <w:rPr>
                <w:rFonts w:ascii="FangSong" w:eastAsia="FangSong" w:hAnsi="FangSong" w:hint="eastAsia"/>
                <w:color w:val="000000"/>
                <w:szCs w:val="21"/>
                <w:shd w:val="clear" w:color="auto" w:fill="FFFFFF"/>
              </w:rPr>
              <w:t>修改工作，严格规划修改审批程序，未经审批不得调整</w:t>
            </w:r>
          </w:p>
        </w:tc>
        <w:tc>
          <w:tcPr>
            <w:tcW w:w="2126"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color w:val="000000"/>
                <w:kern w:val="0"/>
                <w:szCs w:val="21"/>
              </w:rPr>
            </w:pPr>
            <w:r w:rsidRPr="009E6698">
              <w:rPr>
                <w:rFonts w:ascii="FangSong" w:eastAsia="FangSong" w:hAnsi="FangSong" w:cs="宋体" w:hint="eastAsia"/>
                <w:color w:val="000000"/>
                <w:kern w:val="0"/>
                <w:szCs w:val="21"/>
              </w:rPr>
              <w:t>区规划自然资源局</w:t>
            </w:r>
          </w:p>
        </w:tc>
      </w:tr>
      <w:tr w:rsidR="009E6698" w:rsidRPr="009E6698" w:rsidTr="009E6698">
        <w:trPr>
          <w:trHeight w:val="263"/>
        </w:trPr>
        <w:tc>
          <w:tcPr>
            <w:tcW w:w="1033" w:type="dxa"/>
            <w:vMerge/>
            <w:tcBorders>
              <w:top w:val="nil"/>
              <w:left w:val="single" w:sz="8" w:space="0" w:color="000000"/>
              <w:bottom w:val="single" w:sz="8" w:space="0" w:color="000000"/>
              <w:right w:val="single" w:sz="8" w:space="0" w:color="000000"/>
            </w:tcBorders>
            <w:vAlign w:val="center"/>
            <w:hideMark/>
          </w:tcPr>
          <w:p w:rsidR="009E6698" w:rsidRPr="009E6698" w:rsidRDefault="009E6698" w:rsidP="009E6698">
            <w:pPr>
              <w:widowControl/>
              <w:jc w:val="left"/>
              <w:rPr>
                <w:rFonts w:ascii="FangSong" w:eastAsia="FangSong" w:hAnsi="FangSong" w:cs="宋体"/>
                <w:color w:val="000000"/>
                <w:kern w:val="0"/>
                <w:szCs w:val="21"/>
              </w:rPr>
            </w:pPr>
          </w:p>
        </w:tc>
        <w:tc>
          <w:tcPr>
            <w:tcW w:w="1037" w:type="dxa"/>
            <w:vMerge/>
            <w:tcBorders>
              <w:top w:val="nil"/>
              <w:left w:val="single" w:sz="8" w:space="0" w:color="000000"/>
              <w:bottom w:val="single" w:sz="8" w:space="0" w:color="000000"/>
              <w:right w:val="single" w:sz="8" w:space="0" w:color="000000"/>
            </w:tcBorders>
            <w:vAlign w:val="center"/>
            <w:hideMark/>
          </w:tcPr>
          <w:p w:rsidR="009E6698" w:rsidRPr="009E6698" w:rsidRDefault="009E6698" w:rsidP="009E6698">
            <w:pPr>
              <w:widowControl/>
              <w:jc w:val="left"/>
              <w:rPr>
                <w:rFonts w:ascii="FangSong" w:eastAsia="FangSong" w:hAnsi="FangSong" w:cs="宋体"/>
                <w:color w:val="000000"/>
                <w:kern w:val="0"/>
                <w:szCs w:val="21"/>
              </w:rPr>
            </w:pPr>
          </w:p>
        </w:tc>
        <w:tc>
          <w:tcPr>
            <w:tcW w:w="4441"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p>
        </w:tc>
        <w:tc>
          <w:tcPr>
            <w:tcW w:w="2126" w:type="dxa"/>
            <w:vMerge/>
            <w:tcBorders>
              <w:top w:val="nil"/>
              <w:left w:val="single" w:sz="8" w:space="0" w:color="000000"/>
              <w:bottom w:val="single" w:sz="8" w:space="0" w:color="000000"/>
              <w:right w:val="single" w:sz="8" w:space="0" w:color="000000"/>
            </w:tcBorders>
            <w:vAlign w:val="center"/>
            <w:hideMark/>
          </w:tcPr>
          <w:p w:rsidR="009E6698" w:rsidRPr="009E6698" w:rsidRDefault="009E6698" w:rsidP="009E6698">
            <w:pPr>
              <w:widowControl/>
              <w:jc w:val="left"/>
              <w:rPr>
                <w:rFonts w:ascii="FangSong" w:eastAsia="FangSong" w:hAnsi="FangSong" w:cs="宋体"/>
                <w:color w:val="000000"/>
                <w:kern w:val="0"/>
                <w:szCs w:val="21"/>
              </w:rPr>
            </w:pPr>
          </w:p>
        </w:tc>
      </w:tr>
      <w:tr w:rsidR="009E6698" w:rsidRPr="009E6698" w:rsidTr="009E6698">
        <w:trPr>
          <w:trHeight w:val="4942"/>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3</w:t>
            </w:r>
          </w:p>
        </w:tc>
        <w:tc>
          <w:tcPr>
            <w:tcW w:w="1037"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城镇小区“配套服务用房”纳入</w:t>
            </w:r>
            <w:proofErr w:type="gramStart"/>
            <w:r w:rsidRPr="009E6698">
              <w:rPr>
                <w:rFonts w:ascii="FangSong" w:eastAsia="FangSong" w:hAnsi="FangSong" w:cs="宋体" w:hint="eastAsia"/>
                <w:color w:val="000000"/>
                <w:kern w:val="0"/>
                <w:szCs w:val="21"/>
              </w:rPr>
              <w:t>拟供应</w:t>
            </w:r>
            <w:proofErr w:type="gramEnd"/>
            <w:r w:rsidRPr="009E6698">
              <w:rPr>
                <w:rFonts w:ascii="FangSong" w:eastAsia="FangSong" w:hAnsi="FangSong" w:cs="宋体" w:hint="eastAsia"/>
                <w:color w:val="000000"/>
                <w:kern w:val="0"/>
                <w:szCs w:val="21"/>
              </w:rPr>
              <w:t>土地出让条件</w:t>
            </w:r>
          </w:p>
        </w:tc>
        <w:tc>
          <w:tcPr>
            <w:tcW w:w="4441"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在拟供应地</w:t>
            </w:r>
            <w:proofErr w:type="gramStart"/>
            <w:r w:rsidRPr="009E6698">
              <w:rPr>
                <w:rFonts w:ascii="FangSong" w:eastAsia="FangSong" w:hAnsi="FangSong" w:cs="宋体" w:hint="eastAsia"/>
                <w:color w:val="000000"/>
                <w:kern w:val="0"/>
                <w:szCs w:val="21"/>
              </w:rPr>
              <w:t>块规划</w:t>
            </w:r>
            <w:proofErr w:type="gramEnd"/>
            <w:r w:rsidRPr="009E6698">
              <w:rPr>
                <w:rFonts w:ascii="FangSong" w:eastAsia="FangSong" w:hAnsi="FangSong" w:cs="宋体" w:hint="eastAsia"/>
                <w:color w:val="000000"/>
                <w:kern w:val="0"/>
                <w:szCs w:val="21"/>
              </w:rPr>
              <w:t>条件中明确城镇小区“配套服务用房”建设要求。在编制土地出让公告时，将城镇小区的“配套服务用房”供地方式、用地面积、建设规模及标准、建设责任主体、建设时序、住宅项目的预售条件、移交义务以及产权归属等事项纳入土地出让公告。土地依法出让后，与受让人签订《国有建设用地使用权出让合同》，进一步</w:t>
            </w:r>
            <w:proofErr w:type="gramStart"/>
            <w:r w:rsidRPr="009E6698">
              <w:rPr>
                <w:rFonts w:ascii="FangSong" w:eastAsia="FangSong" w:hAnsi="FangSong" w:cs="宋体" w:hint="eastAsia"/>
                <w:color w:val="000000"/>
                <w:kern w:val="0"/>
                <w:szCs w:val="21"/>
              </w:rPr>
              <w:t>落实受</w:t>
            </w:r>
            <w:proofErr w:type="gramEnd"/>
            <w:r w:rsidRPr="009E6698">
              <w:rPr>
                <w:rFonts w:ascii="FangSong" w:eastAsia="FangSong" w:hAnsi="FangSong" w:cs="宋体" w:hint="eastAsia"/>
                <w:color w:val="000000"/>
                <w:kern w:val="0"/>
                <w:szCs w:val="21"/>
              </w:rPr>
              <w:t>让人土地开发配建义务</w:t>
            </w:r>
            <w:r>
              <w:rPr>
                <w:rFonts w:ascii="FangSong" w:eastAsia="FangSong" w:hAnsi="FangSong" w:cs="宋体" w:hint="eastAsia"/>
                <w:color w:val="000000"/>
                <w:kern w:val="0"/>
                <w:szCs w:val="21"/>
              </w:rPr>
              <w:t>。</w:t>
            </w:r>
          </w:p>
        </w:tc>
        <w:tc>
          <w:tcPr>
            <w:tcW w:w="2126"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区规划自然资源局</w:t>
            </w:r>
          </w:p>
        </w:tc>
      </w:tr>
      <w:tr w:rsidR="009E6698" w:rsidRPr="009E6698" w:rsidTr="009E6698">
        <w:trPr>
          <w:trHeight w:val="3524"/>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4</w:t>
            </w:r>
          </w:p>
        </w:tc>
        <w:tc>
          <w:tcPr>
            <w:tcW w:w="1037"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在建筑设计方案落实“配套服务用房”设计标准</w:t>
            </w:r>
          </w:p>
        </w:tc>
        <w:tc>
          <w:tcPr>
            <w:tcW w:w="4441"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将城镇小区“配套服务用房”设计纳入方案专篇设计和专项审查,并在建设工程规划设计方案审查中强化对“配套服务用房”审核。</w:t>
            </w:r>
          </w:p>
        </w:tc>
        <w:tc>
          <w:tcPr>
            <w:tcW w:w="2126"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区规划自然资源局</w:t>
            </w:r>
          </w:p>
        </w:tc>
      </w:tr>
      <w:tr w:rsidR="009E6698" w:rsidRPr="009E6698" w:rsidTr="009E6698">
        <w:trPr>
          <w:trHeight w:val="2022"/>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lastRenderedPageBreak/>
              <w:t>6</w:t>
            </w:r>
          </w:p>
        </w:tc>
        <w:tc>
          <w:tcPr>
            <w:tcW w:w="1037"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“三同步”质量管理</w:t>
            </w:r>
          </w:p>
        </w:tc>
        <w:tc>
          <w:tcPr>
            <w:tcW w:w="4441"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“配套服务用房”应与居住小区同步规划、同步建设、同步验收，督促建设单位落实配建义务。</w:t>
            </w:r>
            <w:bookmarkStart w:id="0" w:name="_GoBack"/>
            <w:bookmarkEnd w:id="0"/>
          </w:p>
        </w:tc>
        <w:tc>
          <w:tcPr>
            <w:tcW w:w="2126"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区住房城乡建委</w:t>
            </w:r>
          </w:p>
        </w:tc>
      </w:tr>
      <w:tr w:rsidR="009E6698" w:rsidRPr="009E6698" w:rsidTr="009E6698">
        <w:trPr>
          <w:trHeight w:val="1900"/>
        </w:trPr>
        <w:tc>
          <w:tcPr>
            <w:tcW w:w="1033"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7</w:t>
            </w:r>
          </w:p>
        </w:tc>
        <w:tc>
          <w:tcPr>
            <w:tcW w:w="1037" w:type="dxa"/>
            <w:vMerge w:val="restart"/>
            <w:tcBorders>
              <w:top w:val="nil"/>
              <w:left w:val="single" w:sz="8" w:space="0" w:color="000000"/>
              <w:bottom w:val="nil"/>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建立移交管理机制</w:t>
            </w:r>
          </w:p>
        </w:tc>
        <w:tc>
          <w:tcPr>
            <w:tcW w:w="4441"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建立幼儿园、社区居家养老设施、社区服务用房移交制度。</w:t>
            </w:r>
          </w:p>
        </w:tc>
        <w:tc>
          <w:tcPr>
            <w:tcW w:w="2126"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区住房城乡建委</w:t>
            </w:r>
          </w:p>
        </w:tc>
      </w:tr>
      <w:tr w:rsidR="009E6698" w:rsidRPr="009E6698" w:rsidTr="009E6698">
        <w:trPr>
          <w:trHeight w:val="1090"/>
        </w:trPr>
        <w:tc>
          <w:tcPr>
            <w:tcW w:w="1033" w:type="dxa"/>
            <w:vMerge/>
            <w:tcBorders>
              <w:top w:val="nil"/>
              <w:left w:val="single" w:sz="8" w:space="0" w:color="000000"/>
              <w:bottom w:val="single" w:sz="8" w:space="0" w:color="000000"/>
              <w:right w:val="single" w:sz="8" w:space="0" w:color="000000"/>
            </w:tcBorders>
            <w:vAlign w:val="center"/>
            <w:hideMark/>
          </w:tcPr>
          <w:p w:rsidR="009E6698" w:rsidRPr="009E6698" w:rsidRDefault="009E6698" w:rsidP="009E6698">
            <w:pPr>
              <w:widowControl/>
              <w:jc w:val="left"/>
              <w:rPr>
                <w:rFonts w:ascii="FangSong" w:eastAsia="FangSong" w:hAnsi="FangSong" w:cs="宋体"/>
                <w:color w:val="000000"/>
                <w:kern w:val="0"/>
                <w:szCs w:val="21"/>
              </w:rPr>
            </w:pPr>
          </w:p>
        </w:tc>
        <w:tc>
          <w:tcPr>
            <w:tcW w:w="1037" w:type="dxa"/>
            <w:vMerge/>
            <w:tcBorders>
              <w:top w:val="nil"/>
              <w:left w:val="single" w:sz="8" w:space="0" w:color="000000"/>
              <w:bottom w:val="nil"/>
              <w:right w:val="single" w:sz="8" w:space="0" w:color="000000"/>
            </w:tcBorders>
            <w:vAlign w:val="center"/>
            <w:hideMark/>
          </w:tcPr>
          <w:p w:rsidR="009E6698" w:rsidRPr="009E6698" w:rsidRDefault="009E6698" w:rsidP="009E6698">
            <w:pPr>
              <w:widowControl/>
              <w:jc w:val="left"/>
              <w:rPr>
                <w:rFonts w:ascii="FangSong" w:eastAsia="FangSong" w:hAnsi="FangSong" w:cs="宋体"/>
                <w:color w:val="000000"/>
                <w:kern w:val="0"/>
                <w:szCs w:val="21"/>
              </w:rPr>
            </w:pPr>
          </w:p>
        </w:tc>
        <w:tc>
          <w:tcPr>
            <w:tcW w:w="4441"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建立物业管理用房移交制度。</w:t>
            </w:r>
          </w:p>
        </w:tc>
        <w:tc>
          <w:tcPr>
            <w:tcW w:w="2126"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区住房城乡建委</w:t>
            </w:r>
          </w:p>
        </w:tc>
      </w:tr>
      <w:tr w:rsidR="009E6698" w:rsidRPr="009E6698" w:rsidTr="009E6698">
        <w:trPr>
          <w:trHeight w:val="1090"/>
        </w:trPr>
        <w:tc>
          <w:tcPr>
            <w:tcW w:w="1033" w:type="dxa"/>
            <w:tcBorders>
              <w:top w:val="nil"/>
              <w:left w:val="single" w:sz="8" w:space="0" w:color="000000"/>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8</w:t>
            </w:r>
          </w:p>
        </w:tc>
        <w:tc>
          <w:tcPr>
            <w:tcW w:w="1037" w:type="dxa"/>
            <w:vMerge/>
            <w:tcBorders>
              <w:top w:val="nil"/>
              <w:left w:val="single" w:sz="8" w:space="0" w:color="000000"/>
              <w:bottom w:val="nil"/>
              <w:right w:val="single" w:sz="8" w:space="0" w:color="000000"/>
            </w:tcBorders>
            <w:vAlign w:val="center"/>
            <w:hideMark/>
          </w:tcPr>
          <w:p w:rsidR="009E6698" w:rsidRPr="009E6698" w:rsidRDefault="009E6698" w:rsidP="009E6698">
            <w:pPr>
              <w:widowControl/>
              <w:jc w:val="left"/>
              <w:rPr>
                <w:rFonts w:ascii="FangSong" w:eastAsia="FangSong" w:hAnsi="FangSong" w:cs="宋体"/>
                <w:color w:val="000000"/>
                <w:kern w:val="0"/>
                <w:szCs w:val="21"/>
              </w:rPr>
            </w:pPr>
          </w:p>
        </w:tc>
        <w:tc>
          <w:tcPr>
            <w:tcW w:w="4441"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办理“配套服务用房”不动产权证</w:t>
            </w:r>
          </w:p>
        </w:tc>
        <w:tc>
          <w:tcPr>
            <w:tcW w:w="2126" w:type="dxa"/>
            <w:tcBorders>
              <w:top w:val="nil"/>
              <w:left w:val="nil"/>
              <w:bottom w:val="single" w:sz="8" w:space="0" w:color="000000"/>
              <w:right w:val="single" w:sz="8" w:space="0" w:color="000000"/>
            </w:tcBorders>
            <w:shd w:val="clear" w:color="000000" w:fill="FFFFFF"/>
            <w:vAlign w:val="center"/>
            <w:hideMark/>
          </w:tcPr>
          <w:p w:rsidR="009E6698" w:rsidRPr="009E6698" w:rsidRDefault="009E6698" w:rsidP="009E6698">
            <w:pPr>
              <w:widowControl/>
              <w:jc w:val="center"/>
              <w:rPr>
                <w:rFonts w:ascii="FangSong" w:eastAsia="FangSong" w:hAnsi="FangSong" w:cs="宋体" w:hint="eastAsia"/>
                <w:color w:val="000000"/>
                <w:kern w:val="0"/>
                <w:szCs w:val="21"/>
              </w:rPr>
            </w:pPr>
            <w:r w:rsidRPr="009E6698">
              <w:rPr>
                <w:rFonts w:ascii="FangSong" w:eastAsia="FangSong" w:hAnsi="FangSong" w:cs="宋体" w:hint="eastAsia"/>
                <w:color w:val="000000"/>
                <w:kern w:val="0"/>
                <w:szCs w:val="21"/>
              </w:rPr>
              <w:t>区规划自然资源局</w:t>
            </w:r>
          </w:p>
        </w:tc>
      </w:tr>
    </w:tbl>
    <w:p w:rsidR="009E6698" w:rsidRPr="009E6698" w:rsidRDefault="009E6698" w:rsidP="009E6698">
      <w:pPr>
        <w:widowControl/>
        <w:spacing w:line="570" w:lineRule="atLeast"/>
        <w:rPr>
          <w:rFonts w:ascii="FangSong" w:eastAsia="FangSong" w:hAnsi="FangSong" w:cs="宋体"/>
          <w:color w:val="000000"/>
          <w:kern w:val="0"/>
          <w:sz w:val="32"/>
          <w:szCs w:val="32"/>
        </w:rPr>
      </w:pPr>
      <w:r w:rsidRPr="009E6698">
        <w:rPr>
          <w:rFonts w:ascii="Calibri" w:eastAsia="FangSong" w:hAnsi="Calibri" w:cs="Calibri"/>
          <w:color w:val="000000"/>
          <w:kern w:val="0"/>
          <w:sz w:val="32"/>
          <w:szCs w:val="32"/>
        </w:rPr>
        <w:t> </w:t>
      </w:r>
    </w:p>
    <w:p w:rsidR="0069356C" w:rsidRDefault="0069356C"/>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angSong">
    <w:charset w:val="86"/>
    <w:family w:val="modern"/>
    <w:pitch w:val="fixed"/>
    <w:sig w:usb0="800002BF" w:usb1="38CF7CFA"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98"/>
    <w:rsid w:val="0069356C"/>
    <w:rsid w:val="009E6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2955"/>
  <w15:chartTrackingRefBased/>
  <w15:docId w15:val="{02130EE3-0228-4B4E-A56A-24F07E94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66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16869">
      <w:bodyDiv w:val="1"/>
      <w:marLeft w:val="0"/>
      <w:marRight w:val="0"/>
      <w:marTop w:val="0"/>
      <w:marBottom w:val="0"/>
      <w:divBdr>
        <w:top w:val="none" w:sz="0" w:space="0" w:color="auto"/>
        <w:left w:val="none" w:sz="0" w:space="0" w:color="auto"/>
        <w:bottom w:val="none" w:sz="0" w:space="0" w:color="auto"/>
        <w:right w:val="none" w:sz="0" w:space="0" w:color="auto"/>
      </w:divBdr>
      <w:divsChild>
        <w:div w:id="151139596">
          <w:marLeft w:val="0"/>
          <w:marRight w:val="0"/>
          <w:marTop w:val="0"/>
          <w:marBottom w:val="0"/>
          <w:divBdr>
            <w:top w:val="none" w:sz="0" w:space="0" w:color="auto"/>
            <w:left w:val="none" w:sz="0" w:space="0" w:color="auto"/>
            <w:bottom w:val="none" w:sz="0" w:space="0" w:color="auto"/>
            <w:right w:val="none" w:sz="0" w:space="0" w:color="auto"/>
          </w:divBdr>
        </w:div>
        <w:div w:id="685055546">
          <w:marLeft w:val="0"/>
          <w:marRight w:val="0"/>
          <w:marTop w:val="0"/>
          <w:marBottom w:val="0"/>
          <w:divBdr>
            <w:top w:val="single" w:sz="36" w:space="0" w:color="015293"/>
            <w:left w:val="none" w:sz="0" w:space="0" w:color="auto"/>
            <w:bottom w:val="none" w:sz="0" w:space="0" w:color="auto"/>
            <w:right w:val="none" w:sz="0" w:space="0" w:color="auto"/>
          </w:divBdr>
        </w:div>
      </w:divsChild>
    </w:div>
    <w:div w:id="1135489967">
      <w:bodyDiv w:val="1"/>
      <w:marLeft w:val="0"/>
      <w:marRight w:val="0"/>
      <w:marTop w:val="0"/>
      <w:marBottom w:val="0"/>
      <w:divBdr>
        <w:top w:val="none" w:sz="0" w:space="0" w:color="auto"/>
        <w:left w:val="none" w:sz="0" w:space="0" w:color="auto"/>
        <w:bottom w:val="none" w:sz="0" w:space="0" w:color="auto"/>
        <w:right w:val="none" w:sz="0" w:space="0" w:color="auto"/>
      </w:divBdr>
    </w:div>
    <w:div w:id="1217619622">
      <w:bodyDiv w:val="1"/>
      <w:marLeft w:val="0"/>
      <w:marRight w:val="0"/>
      <w:marTop w:val="0"/>
      <w:marBottom w:val="0"/>
      <w:divBdr>
        <w:top w:val="none" w:sz="0" w:space="0" w:color="auto"/>
        <w:left w:val="none" w:sz="0" w:space="0" w:color="auto"/>
        <w:bottom w:val="none" w:sz="0" w:space="0" w:color="auto"/>
        <w:right w:val="none" w:sz="0" w:space="0" w:color="auto"/>
      </w:divBdr>
    </w:div>
    <w:div w:id="18747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2025-07-14T01:51:00Z</dcterms:created>
  <dcterms:modified xsi:type="dcterms:W3CDTF">2025-07-14T01:58:00Z</dcterms:modified>
</cp:coreProperties>
</file>