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8A8C9" w14:textId="5753B7F4" w:rsidR="004647AE" w:rsidRPr="004647AE" w:rsidRDefault="004647AE" w:rsidP="001B4477">
      <w:pPr>
        <w:spacing w:line="360" w:lineRule="auto"/>
        <w:jc w:val="center"/>
        <w:rPr>
          <w:rFonts w:ascii="Times New Roman" w:eastAsia="MyriadPro-BoldSemiCn" w:hAnsi="Times New Roman" w:cs="Times New Roman"/>
          <w:b/>
          <w:bCs/>
          <w:kern w:val="0"/>
          <w:sz w:val="24"/>
          <w:szCs w:val="24"/>
        </w:rPr>
      </w:pPr>
      <w:r w:rsidRPr="004647AE">
        <w:rPr>
          <w:rFonts w:ascii="Times New Roman" w:eastAsia="MyriadPro-BoldSemiCn" w:hAnsi="Times New Roman" w:cs="Times New Roman"/>
          <w:b/>
          <w:bCs/>
          <w:kern w:val="0"/>
          <w:sz w:val="24"/>
          <w:szCs w:val="24"/>
        </w:rPr>
        <w:t>The details of meta polygenic risk score</w:t>
      </w:r>
      <w:r w:rsidR="009108EA">
        <w:rPr>
          <w:rFonts w:ascii="Times New Roman" w:eastAsia="MyriadPro-BoldSemiCn" w:hAnsi="Times New Roman" w:cs="Times New Roman" w:hint="eastAsia"/>
          <w:b/>
          <w:bCs/>
          <w:kern w:val="0"/>
          <w:sz w:val="24"/>
          <w:szCs w:val="24"/>
        </w:rPr>
        <w:t xml:space="preserve"> (</w:t>
      </w:r>
      <w:proofErr w:type="spellStart"/>
      <w:r w:rsidR="009108EA">
        <w:rPr>
          <w:rFonts w:ascii="Times New Roman" w:eastAsia="MyriadPro-BoldSemiCn" w:hAnsi="Times New Roman" w:cs="Times New Roman" w:hint="eastAsia"/>
          <w:b/>
          <w:bCs/>
          <w:kern w:val="0"/>
          <w:sz w:val="24"/>
          <w:szCs w:val="24"/>
        </w:rPr>
        <w:t>metaPRS</w:t>
      </w:r>
      <w:proofErr w:type="spellEnd"/>
      <w:r w:rsidR="009108EA">
        <w:rPr>
          <w:rFonts w:ascii="Times New Roman" w:eastAsia="MyriadPro-BoldSemiCn" w:hAnsi="Times New Roman" w:cs="Times New Roman" w:hint="eastAsia"/>
          <w:b/>
          <w:bCs/>
          <w:kern w:val="0"/>
          <w:sz w:val="24"/>
          <w:szCs w:val="24"/>
        </w:rPr>
        <w:t>)</w:t>
      </w:r>
    </w:p>
    <w:p w14:paraId="53DFF40C" w14:textId="77777777" w:rsidR="004647AE" w:rsidRPr="004647AE" w:rsidRDefault="004647AE" w:rsidP="001B4477">
      <w:pPr>
        <w:spacing w:line="360" w:lineRule="auto"/>
        <w:jc w:val="left"/>
        <w:rPr>
          <w:rFonts w:ascii="Times New Roman" w:eastAsia="MyriadPro-BoldSemiCn" w:hAnsi="Times New Roman" w:cs="Times New Roman"/>
          <w:b/>
          <w:bCs/>
          <w:kern w:val="0"/>
          <w:sz w:val="24"/>
          <w:szCs w:val="24"/>
        </w:rPr>
      </w:pPr>
      <w:r w:rsidRPr="004647AE">
        <w:rPr>
          <w:rFonts w:ascii="Times New Roman" w:eastAsia="MyriadPro-BoldSemiCn" w:hAnsi="Times New Roman" w:cs="Times New Roman"/>
          <w:b/>
          <w:bCs/>
          <w:kern w:val="0"/>
          <w:sz w:val="24"/>
          <w:szCs w:val="24"/>
        </w:rPr>
        <w:t>1. SNPs selection and generation of trait-specific PRS</w:t>
      </w:r>
    </w:p>
    <w:p w14:paraId="51A23FB5" w14:textId="40106599" w:rsidR="004647AE" w:rsidRPr="004647AE" w:rsidRDefault="004647AE" w:rsidP="00407B6B">
      <w:pPr>
        <w:spacing w:line="360" w:lineRule="auto"/>
        <w:ind w:firstLineChars="200" w:firstLine="480"/>
        <w:rPr>
          <w:rFonts w:ascii="Times New Roman" w:eastAsia="MyriadPro-BoldSemiCn" w:hAnsi="Times New Roman" w:cs="Times New Roman"/>
          <w:b/>
          <w:bCs/>
          <w:kern w:val="0"/>
          <w:sz w:val="24"/>
          <w:szCs w:val="24"/>
        </w:rPr>
      </w:pPr>
      <w:r w:rsidRPr="004647AE">
        <w:rPr>
          <w:rFonts w:ascii="Times New Roman" w:eastAsia="MyriadPro-BoldSemiCn" w:hAnsi="Times New Roman" w:cs="Times New Roman"/>
          <w:kern w:val="0"/>
          <w:sz w:val="24"/>
          <w:szCs w:val="24"/>
        </w:rPr>
        <w:t xml:space="preserve">A total of 17 potential </w:t>
      </w:r>
      <w:bookmarkStart w:id="0" w:name="OLE_LINK5"/>
      <w:bookmarkStart w:id="1" w:name="OLE_LINK6"/>
      <w:r w:rsidRPr="004647AE">
        <w:rPr>
          <w:rFonts w:ascii="Times New Roman" w:eastAsia="MyriadPro-BoldSemiCn" w:hAnsi="Times New Roman" w:cs="Times New Roman"/>
          <w:kern w:val="0"/>
          <w:sz w:val="24"/>
          <w:szCs w:val="24"/>
        </w:rPr>
        <w:t>lung cancer-related traits</w:t>
      </w:r>
      <w:bookmarkEnd w:id="0"/>
      <w:bookmarkEnd w:id="1"/>
      <w:r w:rsidRPr="004647AE">
        <w:rPr>
          <w:rFonts w:ascii="Times New Roman" w:eastAsia="MyriadPro-BoldSemiCn" w:hAnsi="Times New Roman" w:cs="Times New Roman"/>
          <w:kern w:val="0"/>
          <w:sz w:val="24"/>
          <w:szCs w:val="24"/>
        </w:rPr>
        <w:t xml:space="preserve"> were evaluated in this study, including (</w:t>
      </w:r>
      <w:proofErr w:type="spellStart"/>
      <w:r w:rsidRPr="004647AE">
        <w:rPr>
          <w:rFonts w:ascii="Times New Roman" w:eastAsia="MyriadPro-BoldSemiCn" w:hAnsi="Times New Roman" w:cs="Times New Roman"/>
          <w:kern w:val="0"/>
          <w:sz w:val="24"/>
          <w:szCs w:val="24"/>
        </w:rPr>
        <w:t>i</w:t>
      </w:r>
      <w:proofErr w:type="spellEnd"/>
      <w:r w:rsidRPr="004647AE">
        <w:rPr>
          <w:rFonts w:ascii="Times New Roman" w:eastAsia="MyriadPro-BoldSemiCn" w:hAnsi="Times New Roman" w:cs="Times New Roman"/>
          <w:kern w:val="0"/>
          <w:sz w:val="24"/>
          <w:szCs w:val="24"/>
        </w:rPr>
        <w:t>) five smoking-related traits: smoking initiation (SI), smoking cessation (SC), cigarettes per day (CPD), age of initiation of regular smoking (AI), and nicotine metabolite ratio (NMR); (ii) four lung function-related traits: forced expired volume in 1-second (FEV1), forced vital capacity (FVC), peak expiratory flow (PEF), and FEV1/FVC; (iii) four chronic lung diseases: COPD, idiopathic pulmonary fibrosis (IPF), interstitial lung disease (ILD), and asthma; as well as (iv) BMI, height, family history of lung cancer (FHLC), and education, which had been widely included in previous lung cancer risk models</w:t>
      </w:r>
      <w:r w:rsidRPr="004647AE">
        <w:rPr>
          <w:rFonts w:ascii="Times New Roman" w:hAnsi="Times New Roman" w:cs="Times New Roman"/>
          <w:sz w:val="24"/>
          <w:szCs w:val="24"/>
        </w:rPr>
        <w:t>.</w:t>
      </w:r>
      <w:r w:rsidRPr="004647AE">
        <w:rPr>
          <w:rFonts w:ascii="Times New Roman" w:eastAsia="MyriadPro-BoldSemiCn" w:hAnsi="Times New Roman" w:cs="Times New Roman"/>
          <w:noProof/>
          <w:kern w:val="0"/>
          <w:sz w:val="24"/>
          <w:szCs w:val="24"/>
          <w:vertAlign w:val="superscript"/>
        </w:rPr>
        <w:t>1,2</w:t>
      </w:r>
      <w:r w:rsidRPr="004647AE">
        <w:rPr>
          <w:rFonts w:ascii="Times New Roman" w:eastAsia="MyriadPro-BoldSemiCn" w:hAnsi="Times New Roman" w:cs="Times New Roman"/>
          <w:kern w:val="0"/>
          <w:sz w:val="24"/>
          <w:szCs w:val="24"/>
        </w:rPr>
        <w:t xml:space="preserve"> We derived the SNPs that showed </w:t>
      </w:r>
      <w:bookmarkStart w:id="2" w:name="OLE_LINK7"/>
      <w:bookmarkStart w:id="3" w:name="OLE_LINK8"/>
      <w:r w:rsidRPr="004647AE">
        <w:rPr>
          <w:rFonts w:ascii="Times New Roman" w:eastAsia="MyriadPro-BoldSemiCn" w:hAnsi="Times New Roman" w:cs="Times New Roman"/>
          <w:kern w:val="0"/>
          <w:sz w:val="24"/>
          <w:szCs w:val="24"/>
        </w:rPr>
        <w:t>genome-wide significan</w:t>
      </w:r>
      <w:bookmarkEnd w:id="2"/>
      <w:bookmarkEnd w:id="3"/>
      <w:r w:rsidRPr="004647AE">
        <w:rPr>
          <w:rFonts w:ascii="Times New Roman" w:eastAsia="MyriadPro-BoldSemiCn" w:hAnsi="Times New Roman" w:cs="Times New Roman"/>
          <w:kern w:val="0"/>
          <w:sz w:val="24"/>
          <w:szCs w:val="24"/>
        </w:rPr>
        <w:t>ce (</w:t>
      </w:r>
      <w:r w:rsidRPr="004647AE">
        <w:rPr>
          <w:rFonts w:ascii="Times New Roman" w:eastAsia="MyriadPro-BoldSemiCn" w:hAnsi="Times New Roman" w:cs="Times New Roman"/>
          <w:i/>
          <w:iCs/>
          <w:kern w:val="0"/>
          <w:sz w:val="24"/>
          <w:szCs w:val="24"/>
        </w:rPr>
        <w:t>P</w:t>
      </w:r>
      <w:r w:rsidRPr="004647AE">
        <w:rPr>
          <w:rFonts w:ascii="Times New Roman" w:eastAsia="MyriadPro-BoldSemiCn" w:hAnsi="Times New Roman" w:cs="Times New Roman"/>
          <w:kern w:val="0"/>
          <w:sz w:val="24"/>
          <w:szCs w:val="24"/>
        </w:rPr>
        <w:t>&lt;5×10</w:t>
      </w:r>
      <w:r w:rsidRPr="004647AE">
        <w:rPr>
          <w:rFonts w:ascii="Times New Roman" w:eastAsia="MyriadPro-BoldSemiCn" w:hAnsi="Times New Roman" w:cs="Times New Roman"/>
          <w:kern w:val="0"/>
          <w:sz w:val="24"/>
          <w:szCs w:val="24"/>
          <w:vertAlign w:val="superscript"/>
        </w:rPr>
        <w:t>-8</w:t>
      </w:r>
      <w:r w:rsidRPr="004647AE">
        <w:rPr>
          <w:rFonts w:ascii="Times New Roman" w:eastAsia="MyriadPro-BoldSemiCn" w:hAnsi="Times New Roman" w:cs="Times New Roman"/>
          <w:kern w:val="0"/>
          <w:sz w:val="24"/>
          <w:szCs w:val="24"/>
        </w:rPr>
        <w:t>) from the largest available GWASs of these lung cancer-related traits in European ancestry from the GWAS Catalog.</w:t>
      </w:r>
      <w:r w:rsidRPr="004647AE">
        <w:rPr>
          <w:rFonts w:ascii="Times New Roman" w:eastAsia="MyriadPro-BoldSemiCn" w:hAnsi="Times New Roman" w:cs="Times New Roman"/>
          <w:noProof/>
          <w:kern w:val="0"/>
          <w:sz w:val="24"/>
          <w:szCs w:val="24"/>
          <w:vertAlign w:val="superscript"/>
        </w:rPr>
        <w:t>3</w:t>
      </w:r>
      <w:r w:rsidR="009108EA">
        <w:rPr>
          <w:rFonts w:ascii="Times New Roman" w:eastAsia="MyriadPro-BoldSemiCn" w:hAnsi="Times New Roman" w:cs="Times New Roman" w:hint="eastAsia"/>
          <w:kern w:val="0"/>
          <w:sz w:val="24"/>
          <w:szCs w:val="24"/>
        </w:rPr>
        <w:t xml:space="preserve"> </w:t>
      </w:r>
      <w:r w:rsidR="00954598" w:rsidRPr="00883A65">
        <w:rPr>
          <w:rFonts w:ascii="Times New Roman" w:eastAsia="MyriadPro-BoldSemiCn" w:hAnsi="Times New Roman" w:cs="Times New Roman"/>
          <w:b/>
          <w:bCs/>
          <w:kern w:val="0"/>
          <w:sz w:val="24"/>
          <w:szCs w:val="24"/>
        </w:rPr>
        <w:t>Table S1</w:t>
      </w:r>
      <w:r w:rsidR="00954598" w:rsidRPr="00883A65">
        <w:rPr>
          <w:rFonts w:ascii="Times New Roman" w:eastAsia="MyriadPro-BoldSemiCn" w:hAnsi="Times New Roman" w:cs="Times New Roman"/>
          <w:kern w:val="0"/>
          <w:sz w:val="24"/>
          <w:szCs w:val="24"/>
        </w:rPr>
        <w:t xml:space="preserve"> lists the details of the source literature for each PRS.</w:t>
      </w:r>
      <w:r w:rsidR="00954598">
        <w:rPr>
          <w:rFonts w:ascii="Times New Roman" w:eastAsia="MyriadPro-BoldSemiCn" w:hAnsi="Times New Roman" w:cs="Times New Roman" w:hint="eastAsia"/>
          <w:kern w:val="0"/>
          <w:sz w:val="24"/>
          <w:szCs w:val="24"/>
        </w:rPr>
        <w:t xml:space="preserve"> </w:t>
      </w:r>
      <w:r w:rsidRPr="004647AE">
        <w:rPr>
          <w:rFonts w:ascii="Times New Roman" w:eastAsia="MyriadPro-BoldSemiCn" w:hAnsi="Times New Roman" w:cs="Times New Roman"/>
          <w:kern w:val="0"/>
          <w:sz w:val="24"/>
          <w:szCs w:val="24"/>
        </w:rPr>
        <w:t>To reduce redundancy and minimize the effects of linkage disequilibrium (LD), LD pruning was performed with r</w:t>
      </w:r>
      <w:r w:rsidRPr="004647AE">
        <w:rPr>
          <w:rFonts w:ascii="Times New Roman" w:eastAsia="MyriadPro-BoldSemiCn" w:hAnsi="Times New Roman" w:cs="Times New Roman"/>
          <w:kern w:val="0"/>
          <w:sz w:val="24"/>
          <w:szCs w:val="24"/>
          <w:vertAlign w:val="superscript"/>
        </w:rPr>
        <w:t>2</w:t>
      </w:r>
      <w:r w:rsidRPr="004647AE">
        <w:rPr>
          <w:rFonts w:ascii="Times New Roman" w:eastAsia="MyriadPro-BoldSemiCn" w:hAnsi="Times New Roman" w:cs="Times New Roman"/>
          <w:kern w:val="0"/>
          <w:sz w:val="24"/>
          <w:szCs w:val="24"/>
        </w:rPr>
        <w:t>&gt;0.2 in a 1000-kb window for each trait. Imputed genotypes were transformed into PLINK hard calls, and then the trait-specific PRSs were constructed by combining the count of risk alleles (0, 1, or 2) for each individual, which was weighted by the effect size of the variants associated with the specific trait as previously reported.</w:t>
      </w:r>
    </w:p>
    <w:p w14:paraId="5872EA4E" w14:textId="78BC92DF" w:rsidR="004647AE" w:rsidRPr="00954598" w:rsidRDefault="004647AE" w:rsidP="00954598">
      <w:pPr>
        <w:spacing w:line="360" w:lineRule="auto"/>
        <w:ind w:firstLineChars="200" w:firstLine="480"/>
        <w:rPr>
          <w:rFonts w:ascii="Times New Roman" w:eastAsia="MyriadPro-BoldSemiCn" w:hAnsi="Times New Roman" w:cs="Times New Roman" w:hint="eastAsia"/>
          <w:b/>
          <w:kern w:val="0"/>
          <w:sz w:val="24"/>
          <w:szCs w:val="24"/>
        </w:rPr>
      </w:pPr>
      <w:r w:rsidRPr="004647AE">
        <w:rPr>
          <w:rFonts w:ascii="Times New Roman" w:eastAsia="MyriadPro-BoldSemiCn" w:hAnsi="Times New Roman" w:cs="Times New Roman"/>
          <w:kern w:val="0"/>
          <w:sz w:val="24"/>
          <w:szCs w:val="24"/>
        </w:rPr>
        <w:t>Besides, a total of nine PRSs had been reported for overall lung cancer in previous studies.</w:t>
      </w:r>
      <w:r w:rsidRPr="004647AE">
        <w:rPr>
          <w:rFonts w:ascii="Times New Roman" w:eastAsia="MyriadPro-BoldSemiCn" w:hAnsi="Times New Roman" w:cs="Times New Roman"/>
          <w:noProof/>
          <w:kern w:val="0"/>
          <w:sz w:val="24"/>
          <w:szCs w:val="24"/>
          <w:vertAlign w:val="superscript"/>
        </w:rPr>
        <w:t>4</w:t>
      </w:r>
      <w:r w:rsidRPr="004647AE">
        <w:rPr>
          <w:rFonts w:ascii="Times New Roman" w:eastAsia="MyriadPro-BoldSemiCn" w:hAnsi="Times New Roman" w:cs="Times New Roman"/>
          <w:kern w:val="0"/>
          <w:sz w:val="24"/>
          <w:szCs w:val="24"/>
        </w:rPr>
        <w:t xml:space="preserve"> Here, we also evaluated the performance of these PRSs based on the UKB, and the optimal PRS was used for further construction of the meta polygenic risk score (</w:t>
      </w:r>
      <w:proofErr w:type="spellStart"/>
      <w:r w:rsidRPr="004647AE">
        <w:rPr>
          <w:rFonts w:ascii="Times New Roman" w:eastAsia="MyriadPro-BoldSemiCn" w:hAnsi="Times New Roman" w:cs="Times New Roman"/>
          <w:kern w:val="0"/>
          <w:sz w:val="24"/>
          <w:szCs w:val="24"/>
        </w:rPr>
        <w:t>metaPRS</w:t>
      </w:r>
      <w:proofErr w:type="spellEnd"/>
      <w:r w:rsidRPr="004647AE">
        <w:rPr>
          <w:rFonts w:ascii="Times New Roman" w:eastAsia="MyriadPro-BoldSemiCn" w:hAnsi="Times New Roman" w:cs="Times New Roman"/>
          <w:kern w:val="0"/>
          <w:sz w:val="24"/>
          <w:szCs w:val="24"/>
        </w:rPr>
        <w:t>). Moreover, we also included 12 SNPs to construct a PRS for LUAD, seven SNPs to construct a PRS for LUSC, and two SNPs to construct a PRS for small cell lung carcinoma (SCLC) respectively, according to the largest GWASs of lung cancer in Europeans to date.</w:t>
      </w:r>
      <w:r w:rsidRPr="004647AE">
        <w:rPr>
          <w:rFonts w:ascii="Times New Roman" w:eastAsia="MyriadPro-BoldSemiCn" w:hAnsi="Times New Roman" w:cs="Times New Roman"/>
          <w:noProof/>
          <w:kern w:val="0"/>
          <w:sz w:val="24"/>
          <w:szCs w:val="24"/>
          <w:vertAlign w:val="superscript"/>
        </w:rPr>
        <w:t>5</w:t>
      </w:r>
      <w:r w:rsidR="00954598" w:rsidRPr="00954598">
        <w:rPr>
          <w:rFonts w:ascii="Times New Roman" w:eastAsia="MyriadPro-BoldSemiCn" w:hAnsi="Times New Roman" w:cs="Times New Roman" w:hint="eastAsia"/>
          <w:noProof/>
          <w:kern w:val="0"/>
          <w:sz w:val="24"/>
          <w:szCs w:val="24"/>
        </w:rPr>
        <w:t xml:space="preserve"> </w:t>
      </w:r>
      <w:r w:rsidR="00954598" w:rsidRPr="00883A65">
        <w:rPr>
          <w:rFonts w:ascii="Times New Roman" w:eastAsia="MyriadPro-BoldSemiCn" w:hAnsi="Times New Roman" w:cs="Times New Roman"/>
          <w:kern w:val="0"/>
          <w:sz w:val="24"/>
          <w:szCs w:val="24"/>
        </w:rPr>
        <w:t xml:space="preserve">Detailed information on the SNPs for each PRS is shown in </w:t>
      </w:r>
      <w:r w:rsidR="00954598" w:rsidRPr="00883A65">
        <w:rPr>
          <w:rFonts w:ascii="Times New Roman" w:eastAsia="MyriadPro-BoldSemiCn" w:hAnsi="Times New Roman" w:cs="Times New Roman"/>
          <w:b/>
          <w:kern w:val="0"/>
          <w:sz w:val="24"/>
          <w:szCs w:val="24"/>
        </w:rPr>
        <w:t>Table S2.</w:t>
      </w:r>
    </w:p>
    <w:p w14:paraId="4B938D39" w14:textId="77777777" w:rsidR="004647AE" w:rsidRPr="004647AE" w:rsidRDefault="004647AE" w:rsidP="00407B6B">
      <w:pPr>
        <w:spacing w:line="360" w:lineRule="auto"/>
        <w:rPr>
          <w:rFonts w:ascii="Times New Roman" w:eastAsia="MyriadPro-BoldSemiCn" w:hAnsi="Times New Roman" w:cs="Times New Roman"/>
          <w:b/>
          <w:kern w:val="0"/>
          <w:sz w:val="24"/>
          <w:szCs w:val="24"/>
        </w:rPr>
      </w:pPr>
    </w:p>
    <w:p w14:paraId="769DAA35" w14:textId="77777777" w:rsidR="004647AE" w:rsidRPr="004647AE" w:rsidRDefault="004647AE" w:rsidP="00407B6B">
      <w:pPr>
        <w:spacing w:line="360" w:lineRule="auto"/>
        <w:rPr>
          <w:rFonts w:ascii="Times New Roman" w:eastAsia="MyriadPro-BoldSemiCn" w:hAnsi="Times New Roman" w:cs="Times New Roman"/>
          <w:b/>
          <w:bCs/>
          <w:kern w:val="0"/>
          <w:sz w:val="24"/>
          <w:szCs w:val="24"/>
        </w:rPr>
      </w:pPr>
      <w:r w:rsidRPr="004647AE">
        <w:rPr>
          <w:rFonts w:ascii="Times New Roman" w:eastAsia="MyriadPro-BoldSemiCn" w:hAnsi="Times New Roman" w:cs="Times New Roman"/>
          <w:b/>
          <w:bCs/>
          <w:kern w:val="0"/>
          <w:sz w:val="24"/>
          <w:szCs w:val="24"/>
        </w:rPr>
        <w:t xml:space="preserve">2 Generation of the </w:t>
      </w:r>
      <w:proofErr w:type="spellStart"/>
      <w:r w:rsidRPr="004647AE">
        <w:rPr>
          <w:rFonts w:ascii="Times New Roman" w:eastAsia="MyriadPro-BoldSemiCn" w:hAnsi="Times New Roman" w:cs="Times New Roman"/>
          <w:b/>
          <w:bCs/>
          <w:kern w:val="0"/>
          <w:sz w:val="24"/>
          <w:szCs w:val="24"/>
        </w:rPr>
        <w:t>metaPRS</w:t>
      </w:r>
      <w:proofErr w:type="spellEnd"/>
    </w:p>
    <w:p w14:paraId="19979FAE" w14:textId="77777777" w:rsidR="004647AE" w:rsidRPr="004647AE" w:rsidRDefault="004647AE" w:rsidP="00407B6B">
      <w:pPr>
        <w:spacing w:line="360" w:lineRule="auto"/>
        <w:ind w:firstLineChars="200" w:firstLine="480"/>
        <w:rPr>
          <w:rFonts w:ascii="Times New Roman" w:eastAsia="MyriadPro-BoldSemiCn" w:hAnsi="Times New Roman" w:cs="Times New Roman"/>
          <w:kern w:val="0"/>
          <w:sz w:val="24"/>
          <w:szCs w:val="24"/>
        </w:rPr>
      </w:pPr>
      <w:r w:rsidRPr="004647AE">
        <w:rPr>
          <w:rFonts w:ascii="Times New Roman" w:eastAsia="MyriadPro-BoldSemiCn" w:hAnsi="Times New Roman" w:cs="Times New Roman"/>
          <w:kern w:val="0"/>
          <w:sz w:val="24"/>
          <w:szCs w:val="24"/>
        </w:rPr>
        <w:t xml:space="preserve">Each PRS was firstly standardized to zero mean and unit standard derivation (SD). </w:t>
      </w:r>
      <w:r w:rsidRPr="004647AE">
        <w:rPr>
          <w:rFonts w:ascii="Times New Roman" w:eastAsia="MyriadPro-BoldSemiCn" w:hAnsi="Times New Roman" w:cs="Times New Roman"/>
          <w:kern w:val="0"/>
          <w:sz w:val="24"/>
          <w:szCs w:val="24"/>
        </w:rPr>
        <w:lastRenderedPageBreak/>
        <w:t>Then, we conducted an elastic-net Cox regression using the R package ‘</w:t>
      </w:r>
      <w:proofErr w:type="spellStart"/>
      <w:r w:rsidRPr="004647AE">
        <w:rPr>
          <w:rFonts w:ascii="Times New Roman" w:eastAsia="MyriadPro-BoldSemiCn" w:hAnsi="Times New Roman" w:cs="Times New Roman"/>
          <w:kern w:val="0"/>
          <w:sz w:val="24"/>
          <w:szCs w:val="24"/>
        </w:rPr>
        <w:t>glmnet</w:t>
      </w:r>
      <w:proofErr w:type="spellEnd"/>
      <w:r w:rsidRPr="004647AE">
        <w:rPr>
          <w:rFonts w:ascii="Times New Roman" w:eastAsia="MyriadPro-BoldSemiCn" w:hAnsi="Times New Roman" w:cs="Times New Roman"/>
          <w:kern w:val="0"/>
          <w:sz w:val="24"/>
          <w:szCs w:val="24"/>
        </w:rPr>
        <w:t xml:space="preserve">’ to access the associations between the 21 PRSs and lung cancer risk in the UKB, adjusting for age, sex, genotyping chip, and </w:t>
      </w:r>
      <w:r w:rsidRPr="004647AE">
        <w:rPr>
          <w:rFonts w:ascii="Times New Roman" w:eastAsia="等线" w:hAnsi="Times New Roman" w:cs="Times New Roman"/>
          <w:sz w:val="24"/>
          <w:szCs w:val="24"/>
        </w:rPr>
        <w:t xml:space="preserve">the top ten </w:t>
      </w:r>
      <w:r w:rsidRPr="004647AE">
        <w:rPr>
          <w:rFonts w:ascii="Times New Roman" w:eastAsia="MyriadPro-BoldSemiCn" w:hAnsi="Times New Roman" w:cs="Times New Roman"/>
          <w:kern w:val="0"/>
          <w:sz w:val="24"/>
          <w:szCs w:val="24"/>
        </w:rPr>
        <w:t xml:space="preserve">principal components of ancestry. Various models with different penalties were assessed using a 10-fold cross-validation method to determine the optimal model. The model that yielded the highest cross-validated area under the receiving-operating characteristic curve (AUC) was chosen as the final model, from which the adjusted coefficients for each PRS were obtained as weights. Finally, the </w:t>
      </w:r>
      <w:proofErr w:type="spellStart"/>
      <w:r w:rsidRPr="004647AE">
        <w:rPr>
          <w:rFonts w:ascii="Times New Roman" w:eastAsia="MyriadPro-BoldSemiCn" w:hAnsi="Times New Roman" w:cs="Times New Roman"/>
          <w:kern w:val="0"/>
          <w:sz w:val="24"/>
          <w:szCs w:val="24"/>
        </w:rPr>
        <w:t>metaPRS</w:t>
      </w:r>
      <w:proofErr w:type="spellEnd"/>
      <w:r w:rsidRPr="004647AE">
        <w:rPr>
          <w:rFonts w:ascii="Times New Roman" w:eastAsia="MyriadPro-BoldSemiCn" w:hAnsi="Times New Roman" w:cs="Times New Roman"/>
          <w:kern w:val="0"/>
          <w:sz w:val="24"/>
          <w:szCs w:val="24"/>
        </w:rPr>
        <w:t xml:space="preserve"> can be calculated via a weighted sum:</w:t>
      </w:r>
    </w:p>
    <w:p w14:paraId="68D58364" w14:textId="77777777" w:rsidR="004647AE" w:rsidRPr="004647AE" w:rsidRDefault="00000000" w:rsidP="00407B6B">
      <w:pPr>
        <w:spacing w:line="360" w:lineRule="auto"/>
        <w:rPr>
          <w:rFonts w:ascii="Times New Roman" w:eastAsia="MyriadPro-BoldSemiC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metaPRS</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eastAsia="MyriadPro-BoldSemiCn" w:hAnsi="Cambria Math" w:cs="Times New Roman"/>
                              <w:kern w:val="0"/>
                              <w:sz w:val="24"/>
                              <w:szCs w:val="24"/>
                            </w:rPr>
                          </m:ctrlPr>
                        </m:sSubPr>
                        <m:e>
                          <m:r>
                            <m:rPr>
                              <m:sty m:val="p"/>
                            </m:rPr>
                            <w:rPr>
                              <w:rFonts w:ascii="Cambria Math" w:eastAsia="MyriadPro-BoldSemiCn" w:hAnsi="Cambria Math" w:cs="Times New Roman"/>
                              <w:kern w:val="0"/>
                              <w:sz w:val="24"/>
                              <w:szCs w:val="24"/>
                            </w:rPr>
                            <m:t>β</m:t>
                          </m:r>
                        </m:e>
                        <m:sub>
                          <m:r>
                            <w:rPr>
                              <w:rFonts w:ascii="Cambria Math" w:eastAsia="MyriadPro-BoldSemiCn" w:hAnsi="Cambria Math" w:cs="Times New Roman"/>
                              <w:kern w:val="0"/>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den>
                  </m:f>
                  <m:r>
                    <w:rPr>
                      <w:rFonts w:ascii="Cambria Math" w:hAnsi="Cambria Math" w:cs="Times New Roman"/>
                      <w:sz w:val="24"/>
                      <w:szCs w:val="24"/>
                    </w:rPr>
                    <m:t>×PRS</m:t>
                  </m:r>
                </m:e>
                <m:sub>
                  <m:r>
                    <w:rPr>
                      <w:rFonts w:ascii="Cambria Math" w:hAnsi="Cambria Math" w:cs="Times New Roman"/>
                      <w:sz w:val="24"/>
                      <w:szCs w:val="24"/>
                    </w:rPr>
                    <m:t>ij</m:t>
                  </m:r>
                </m:sub>
              </m:sSub>
            </m:e>
          </m:nary>
        </m:oMath>
      </m:oMathPara>
    </w:p>
    <w:p w14:paraId="621E8179" w14:textId="77777777" w:rsidR="004647AE" w:rsidRPr="004647AE" w:rsidRDefault="004647AE" w:rsidP="00407B6B">
      <w:pPr>
        <w:spacing w:line="360" w:lineRule="auto"/>
        <w:rPr>
          <w:rFonts w:ascii="Times New Roman" w:eastAsia="MyriadPro-BoldSemiCn" w:hAnsi="Times New Roman" w:cs="Times New Roman"/>
          <w:iCs/>
          <w:kern w:val="0"/>
          <w:sz w:val="24"/>
          <w:szCs w:val="24"/>
        </w:rPr>
      </w:pPr>
      <w:r w:rsidRPr="004647AE">
        <w:rPr>
          <w:rFonts w:ascii="Times New Roman" w:eastAsia="MyriadPro-BoldSemiCn" w:hAnsi="Times New Roman" w:cs="Times New Roman"/>
          <w:iCs/>
          <w:kern w:val="0"/>
          <w:sz w:val="24"/>
          <w:szCs w:val="24"/>
        </w:rPr>
        <w:t xml:space="preserve">where </w:t>
      </w:r>
      <w:r w:rsidRPr="004647AE">
        <w:rPr>
          <w:rFonts w:ascii="Times New Roman" w:eastAsia="MyriadPro-BoldSemiCn" w:hAnsi="Times New Roman" w:cs="Times New Roman"/>
          <w:kern w:val="0"/>
          <w:sz w:val="24"/>
          <w:szCs w:val="24"/>
        </w:rPr>
        <w:t>β</w:t>
      </w:r>
      <w:r w:rsidRPr="004647AE">
        <w:rPr>
          <w:rFonts w:ascii="Times New Roman" w:eastAsia="MyriadPro-BoldSemiCn" w:hAnsi="Times New Roman" w:cs="Times New Roman"/>
          <w:i/>
          <w:iCs/>
          <w:kern w:val="0"/>
          <w:sz w:val="24"/>
          <w:szCs w:val="24"/>
          <w:vertAlign w:val="subscript"/>
        </w:rPr>
        <w:t>j</w:t>
      </w:r>
      <w:r w:rsidRPr="004647AE">
        <w:rPr>
          <w:rFonts w:ascii="Times New Roman" w:eastAsia="MyriadPro-BoldSemiCn" w:hAnsi="Times New Roman" w:cs="Times New Roman"/>
          <w:kern w:val="0"/>
          <w:sz w:val="24"/>
          <w:szCs w:val="24"/>
        </w:rPr>
        <w:t xml:space="preserve"> is the coefficient from the penalized Cox regression model, and </w:t>
      </w:r>
      <w:proofErr w:type="spellStart"/>
      <w:r w:rsidRPr="004647AE">
        <w:rPr>
          <w:rFonts w:ascii="Times New Roman" w:eastAsia="MyriadPro-BoldSemiCn" w:hAnsi="Times New Roman" w:cs="Times New Roman"/>
          <w:iCs/>
          <w:kern w:val="0"/>
          <w:sz w:val="24"/>
          <w:szCs w:val="24"/>
        </w:rPr>
        <w:t>σ</w:t>
      </w:r>
      <w:r w:rsidRPr="004647AE">
        <w:rPr>
          <w:rFonts w:ascii="Times New Roman" w:eastAsia="MyriadPro-BoldSemiCn" w:hAnsi="Times New Roman" w:cs="Times New Roman"/>
          <w:iCs/>
          <w:kern w:val="0"/>
          <w:sz w:val="24"/>
          <w:szCs w:val="24"/>
          <w:vertAlign w:val="subscript"/>
        </w:rPr>
        <w:t>j</w:t>
      </w:r>
      <w:proofErr w:type="spellEnd"/>
      <w:r w:rsidRPr="004647AE">
        <w:rPr>
          <w:rFonts w:ascii="Times New Roman" w:eastAsia="MyriadPro-BoldSemiCn" w:hAnsi="Times New Roman" w:cs="Times New Roman"/>
          <w:iCs/>
          <w:kern w:val="0"/>
          <w:sz w:val="24"/>
          <w:szCs w:val="24"/>
          <w:vertAlign w:val="subscript"/>
        </w:rPr>
        <w:t xml:space="preserve"> </w:t>
      </w:r>
      <w:r w:rsidRPr="004647AE">
        <w:rPr>
          <w:rFonts w:ascii="Times New Roman" w:eastAsia="MyriadPro-BoldSemiCn" w:hAnsi="Times New Roman" w:cs="Times New Roman"/>
          <w:iCs/>
          <w:kern w:val="0"/>
          <w:sz w:val="24"/>
          <w:szCs w:val="24"/>
        </w:rPr>
        <w:t>is the empirical SD of each PRS in the UKB.</w:t>
      </w:r>
      <w:r w:rsidRPr="004647AE">
        <w:rPr>
          <w:rFonts w:ascii="Times New Roman" w:hAnsi="Times New Roman" w:cs="Times New Roman"/>
          <w:sz w:val="24"/>
          <w:szCs w:val="24"/>
        </w:rPr>
        <w:t xml:space="preserve"> </w:t>
      </w:r>
    </w:p>
    <w:p w14:paraId="4759D93F" w14:textId="77777777" w:rsidR="004647AE" w:rsidRPr="004647AE" w:rsidRDefault="004647AE" w:rsidP="001B4477">
      <w:pPr>
        <w:spacing w:line="360" w:lineRule="auto"/>
        <w:rPr>
          <w:rFonts w:ascii="Times New Roman" w:hAnsi="Times New Roman" w:cs="Times New Roman"/>
          <w:sz w:val="24"/>
          <w:szCs w:val="24"/>
        </w:rPr>
      </w:pPr>
    </w:p>
    <w:p w14:paraId="5CF01B01" w14:textId="77777777" w:rsidR="004647AE" w:rsidRPr="004647AE" w:rsidRDefault="004647AE" w:rsidP="001B4477">
      <w:pPr>
        <w:spacing w:line="360" w:lineRule="auto"/>
        <w:rPr>
          <w:rFonts w:ascii="Times New Roman" w:eastAsia="MyriadPro-BoldSemiCn" w:hAnsi="Times New Roman" w:cs="Times New Roman"/>
          <w:b/>
          <w:bCs/>
          <w:kern w:val="0"/>
          <w:sz w:val="24"/>
          <w:szCs w:val="24"/>
        </w:rPr>
      </w:pPr>
      <w:r w:rsidRPr="004647AE">
        <w:rPr>
          <w:rFonts w:ascii="Times New Roman" w:eastAsia="MyriadPro-BoldSemiCn" w:hAnsi="Times New Roman" w:cs="Times New Roman"/>
          <w:b/>
          <w:bCs/>
          <w:kern w:val="0"/>
          <w:sz w:val="24"/>
          <w:szCs w:val="24"/>
        </w:rPr>
        <w:t>3. Code availability</w:t>
      </w:r>
    </w:p>
    <w:p w14:paraId="0248DC65" w14:textId="77777777" w:rsidR="004647AE" w:rsidRPr="004647AE" w:rsidRDefault="004647AE" w:rsidP="00454EA2">
      <w:pPr>
        <w:spacing w:line="360" w:lineRule="auto"/>
        <w:jc w:val="left"/>
        <w:rPr>
          <w:rFonts w:ascii="Times New Roman" w:eastAsia="MyriadPro-BoldSemiCn" w:hAnsi="Times New Roman" w:cs="Times New Roman"/>
          <w:iCs/>
          <w:kern w:val="0"/>
          <w:sz w:val="24"/>
          <w:szCs w:val="24"/>
        </w:rPr>
      </w:pPr>
      <w:r w:rsidRPr="004647AE">
        <w:rPr>
          <w:rFonts w:ascii="Times New Roman" w:eastAsia="MyriadPro-BoldSemiCn" w:hAnsi="Times New Roman" w:cs="Times New Roman"/>
          <w:iCs/>
          <w:kern w:val="0"/>
          <w:sz w:val="24"/>
          <w:szCs w:val="24"/>
        </w:rPr>
        <w:t xml:space="preserve">The code that generates the </w:t>
      </w:r>
      <w:proofErr w:type="spellStart"/>
      <w:r w:rsidRPr="004647AE">
        <w:rPr>
          <w:rFonts w:ascii="Times New Roman" w:eastAsia="MyriadPro-BoldSemiCn" w:hAnsi="Times New Roman" w:cs="Times New Roman"/>
          <w:iCs/>
          <w:kern w:val="0"/>
          <w:sz w:val="24"/>
          <w:szCs w:val="24"/>
        </w:rPr>
        <w:t>metaPRS</w:t>
      </w:r>
      <w:proofErr w:type="spellEnd"/>
      <w:r w:rsidRPr="004647AE">
        <w:rPr>
          <w:rFonts w:ascii="Times New Roman" w:eastAsia="MyriadPro-BoldSemiCn" w:hAnsi="Times New Roman" w:cs="Times New Roman"/>
          <w:iCs/>
          <w:kern w:val="0"/>
          <w:sz w:val="24"/>
          <w:szCs w:val="24"/>
        </w:rPr>
        <w:t xml:space="preserve"> is shown at</w:t>
      </w:r>
      <w:r w:rsidRPr="004647AE">
        <w:rPr>
          <w:rFonts w:ascii="Times New Roman" w:eastAsia="MyriadPro-BoldSemiCn" w:hAnsi="Times New Roman" w:cs="Times New Roman"/>
          <w:b/>
          <w:bCs/>
          <w:iCs/>
          <w:kern w:val="0"/>
          <w:sz w:val="24"/>
          <w:szCs w:val="24"/>
        </w:rPr>
        <w:t xml:space="preserve"> </w:t>
      </w:r>
      <w:r w:rsidRPr="004647AE">
        <w:rPr>
          <w:rFonts w:ascii="Times New Roman" w:eastAsia="MyriadPro-BoldSemiCn" w:hAnsi="Times New Roman" w:cs="Times New Roman"/>
          <w:iCs/>
          <w:kern w:val="0"/>
          <w:sz w:val="24"/>
          <w:szCs w:val="24"/>
        </w:rPr>
        <w:t>https://github.com/guanlian666/MetaPRS-and-lung-cancer (Stable 8+Supplementary Figure 1.R)</w:t>
      </w:r>
    </w:p>
    <w:p w14:paraId="403BB8CD" w14:textId="77777777" w:rsidR="004647AE" w:rsidRPr="004647AE" w:rsidRDefault="004647AE" w:rsidP="00454EA2">
      <w:pPr>
        <w:spacing w:line="360" w:lineRule="auto"/>
        <w:jc w:val="left"/>
        <w:rPr>
          <w:rFonts w:ascii="Times New Roman" w:eastAsia="MyriadPro-BoldSemiCn" w:hAnsi="Times New Roman" w:cs="Times New Roman"/>
          <w:iCs/>
          <w:kern w:val="0"/>
          <w:sz w:val="24"/>
          <w:szCs w:val="24"/>
        </w:rPr>
      </w:pPr>
    </w:p>
    <w:p w14:paraId="4E2D6D76" w14:textId="77777777" w:rsidR="004647AE" w:rsidRPr="004647AE" w:rsidRDefault="004647AE" w:rsidP="00454EA2">
      <w:pPr>
        <w:spacing w:line="360" w:lineRule="auto"/>
        <w:jc w:val="left"/>
        <w:rPr>
          <w:rFonts w:ascii="Times New Roman" w:eastAsia="MyriadPro-BoldSemiCn" w:hAnsi="Times New Roman" w:cs="Times New Roman"/>
          <w:b/>
          <w:bCs/>
          <w:kern w:val="0"/>
          <w:sz w:val="24"/>
          <w:szCs w:val="24"/>
        </w:rPr>
      </w:pPr>
      <w:r w:rsidRPr="004647AE">
        <w:rPr>
          <w:rFonts w:ascii="Times New Roman" w:eastAsia="MyriadPro-BoldSemiCn" w:hAnsi="Times New Roman" w:cs="Times New Roman"/>
          <w:b/>
          <w:bCs/>
          <w:iCs/>
          <w:kern w:val="0"/>
          <w:sz w:val="24"/>
          <w:szCs w:val="24"/>
        </w:rPr>
        <w:t xml:space="preserve">4. Data </w:t>
      </w:r>
      <w:r w:rsidRPr="004647AE">
        <w:rPr>
          <w:rFonts w:ascii="Times New Roman" w:eastAsia="MyriadPro-BoldSemiCn" w:hAnsi="Times New Roman" w:cs="Times New Roman"/>
          <w:b/>
          <w:bCs/>
          <w:kern w:val="0"/>
          <w:sz w:val="24"/>
          <w:szCs w:val="24"/>
        </w:rPr>
        <w:t>availability</w:t>
      </w:r>
    </w:p>
    <w:p w14:paraId="3FCD224E" w14:textId="77777777" w:rsidR="004647AE" w:rsidRPr="004647AE" w:rsidRDefault="004647AE" w:rsidP="00454EA2">
      <w:pPr>
        <w:spacing w:line="360" w:lineRule="auto"/>
        <w:jc w:val="left"/>
        <w:rPr>
          <w:rFonts w:ascii="Times New Roman" w:eastAsia="MyriadPro-BoldSemiCn" w:hAnsi="Times New Roman" w:cs="Times New Roman"/>
          <w:iCs/>
          <w:kern w:val="0"/>
          <w:sz w:val="24"/>
          <w:szCs w:val="24"/>
        </w:rPr>
      </w:pPr>
      <w:r w:rsidRPr="004647AE">
        <w:rPr>
          <w:rFonts w:ascii="Times New Roman" w:eastAsia="MyriadPro-BoldSemiCn" w:hAnsi="Times New Roman" w:cs="Times New Roman"/>
          <w:iCs/>
          <w:kern w:val="0"/>
          <w:sz w:val="24"/>
          <w:szCs w:val="24"/>
        </w:rPr>
        <w:t xml:space="preserve">The </w:t>
      </w:r>
      <w:proofErr w:type="spellStart"/>
      <w:r w:rsidRPr="004647AE">
        <w:rPr>
          <w:rFonts w:ascii="Times New Roman" w:eastAsia="MyriadPro-BoldSemiCn" w:hAnsi="Times New Roman" w:cs="Times New Roman"/>
          <w:iCs/>
          <w:kern w:val="0"/>
          <w:sz w:val="24"/>
          <w:szCs w:val="24"/>
        </w:rPr>
        <w:t>metaPRS</w:t>
      </w:r>
      <w:proofErr w:type="spellEnd"/>
      <w:r w:rsidRPr="004647AE">
        <w:rPr>
          <w:rFonts w:ascii="Times New Roman" w:eastAsia="MyriadPro-BoldSemiCn" w:hAnsi="Times New Roman" w:cs="Times New Roman"/>
          <w:iCs/>
          <w:kern w:val="0"/>
          <w:sz w:val="24"/>
          <w:szCs w:val="24"/>
        </w:rPr>
        <w:t xml:space="preserve"> data for the PLCO cohort is shown at https://github.com/guanlian666/MetaPRS-and-lung-cancer (</w:t>
      </w:r>
      <w:proofErr w:type="spellStart"/>
      <w:r w:rsidRPr="004647AE">
        <w:rPr>
          <w:rFonts w:ascii="Times New Roman" w:eastAsia="MyriadPro-BoldSemiCn" w:hAnsi="Times New Roman" w:cs="Times New Roman"/>
          <w:iCs/>
          <w:kern w:val="0"/>
          <w:sz w:val="24"/>
          <w:szCs w:val="24"/>
        </w:rPr>
        <w:t>PLCO_metaPRS.Rdata</w:t>
      </w:r>
      <w:proofErr w:type="spellEnd"/>
      <w:r w:rsidRPr="004647AE">
        <w:rPr>
          <w:rFonts w:ascii="Times New Roman" w:eastAsia="MyriadPro-BoldSemiCn" w:hAnsi="Times New Roman" w:cs="Times New Roman"/>
          <w:iCs/>
          <w:kern w:val="0"/>
          <w:sz w:val="24"/>
          <w:szCs w:val="24"/>
        </w:rPr>
        <w:t xml:space="preserve">). </w:t>
      </w:r>
    </w:p>
    <w:p w14:paraId="3BA9ED64" w14:textId="77777777" w:rsidR="004647AE" w:rsidRPr="004647AE" w:rsidRDefault="004647AE">
      <w:pPr>
        <w:rPr>
          <w:rFonts w:ascii="Times New Roman" w:eastAsia="MyriadPro-BoldSemiCn" w:hAnsi="Times New Roman" w:cs="Times New Roman"/>
          <w:iCs/>
          <w:kern w:val="0"/>
          <w:sz w:val="24"/>
          <w:szCs w:val="24"/>
        </w:rPr>
      </w:pPr>
    </w:p>
    <w:p w14:paraId="0104F41E" w14:textId="77777777" w:rsidR="004647AE" w:rsidRPr="004647AE" w:rsidRDefault="004647AE" w:rsidP="00D0367E">
      <w:pPr>
        <w:widowControl/>
        <w:spacing w:line="480" w:lineRule="auto"/>
        <w:jc w:val="left"/>
        <w:rPr>
          <w:rFonts w:ascii="Times New Roman" w:hAnsi="Times New Roman" w:cs="Times New Roman"/>
          <w:b/>
          <w:bCs/>
          <w:sz w:val="24"/>
          <w:szCs w:val="24"/>
        </w:rPr>
      </w:pPr>
      <w:r w:rsidRPr="004647AE">
        <w:rPr>
          <w:rFonts w:ascii="Times New Roman" w:hAnsi="Times New Roman" w:cs="Times New Roman"/>
          <w:b/>
          <w:bCs/>
          <w:sz w:val="24"/>
          <w:szCs w:val="24"/>
        </w:rPr>
        <w:t>References</w:t>
      </w:r>
    </w:p>
    <w:p w14:paraId="3615CDC2" w14:textId="77777777" w:rsidR="004647AE" w:rsidRPr="004647AE" w:rsidRDefault="004647AE" w:rsidP="002E557A">
      <w:pPr>
        <w:pStyle w:val="EndNoteBibliography"/>
        <w:ind w:left="720" w:hanging="720"/>
        <w:rPr>
          <w:rFonts w:ascii="Times New Roman" w:hAnsi="Times New Roman" w:cs="Times New Roman"/>
          <w:sz w:val="24"/>
          <w:szCs w:val="24"/>
        </w:rPr>
      </w:pPr>
      <w:r w:rsidRPr="004647AE">
        <w:rPr>
          <w:rFonts w:ascii="Times New Roman" w:hAnsi="Times New Roman" w:cs="Times New Roman"/>
          <w:sz w:val="24"/>
          <w:szCs w:val="24"/>
        </w:rPr>
        <w:t>1.</w:t>
      </w:r>
      <w:r w:rsidRPr="004647AE">
        <w:rPr>
          <w:rFonts w:ascii="Times New Roman" w:hAnsi="Times New Roman" w:cs="Times New Roman"/>
          <w:sz w:val="24"/>
          <w:szCs w:val="24"/>
        </w:rPr>
        <w:tab/>
        <w:t xml:space="preserve">Ma Z, Lv J, Zhu M, Yu C, Ma H, Jin G, Guo Y, Bian Z, Yang L, Chen Y, Chen Z, Hu Z, Li L, Shen H. Lung cancer risk score for ever and never smokers in China. </w:t>
      </w:r>
      <w:r w:rsidRPr="004647AE">
        <w:rPr>
          <w:rFonts w:ascii="Times New Roman" w:hAnsi="Times New Roman" w:cs="Times New Roman"/>
          <w:i/>
          <w:sz w:val="24"/>
          <w:szCs w:val="24"/>
        </w:rPr>
        <w:t xml:space="preserve">Cancer communications (London, England). </w:t>
      </w:r>
      <w:r w:rsidRPr="004647AE">
        <w:rPr>
          <w:rFonts w:ascii="Times New Roman" w:hAnsi="Times New Roman" w:cs="Times New Roman"/>
          <w:sz w:val="24"/>
          <w:szCs w:val="24"/>
        </w:rPr>
        <w:t>2023;43(8):877-895.</w:t>
      </w:r>
    </w:p>
    <w:p w14:paraId="7D83616B" w14:textId="77777777" w:rsidR="004647AE" w:rsidRPr="004647AE" w:rsidRDefault="004647AE" w:rsidP="002E557A">
      <w:pPr>
        <w:pStyle w:val="EndNoteBibliography"/>
        <w:ind w:left="720" w:hanging="720"/>
        <w:rPr>
          <w:rFonts w:ascii="Times New Roman" w:hAnsi="Times New Roman" w:cs="Times New Roman"/>
          <w:sz w:val="24"/>
          <w:szCs w:val="24"/>
        </w:rPr>
      </w:pPr>
      <w:r w:rsidRPr="004647AE">
        <w:rPr>
          <w:rFonts w:ascii="Times New Roman" w:hAnsi="Times New Roman" w:cs="Times New Roman"/>
          <w:sz w:val="24"/>
          <w:szCs w:val="24"/>
        </w:rPr>
        <w:t>2.</w:t>
      </w:r>
      <w:r w:rsidRPr="004647AE">
        <w:rPr>
          <w:rFonts w:ascii="Times New Roman" w:hAnsi="Times New Roman" w:cs="Times New Roman"/>
          <w:sz w:val="24"/>
          <w:szCs w:val="24"/>
        </w:rPr>
        <w:tab/>
        <w:t xml:space="preserve">Liao W, Coupland CAC, Burchardt J, Baldwin DR, Gleeson FV, Hippisley-Cox J. Predicting the future risk of lung cancer: development, and internal and external validation of the CanPredict (lung) model in 19·67 million people and evaluation of model performance against seven other risk prediction models. </w:t>
      </w:r>
      <w:r w:rsidRPr="004647AE">
        <w:rPr>
          <w:rFonts w:ascii="Times New Roman" w:hAnsi="Times New Roman" w:cs="Times New Roman"/>
          <w:i/>
          <w:sz w:val="24"/>
          <w:szCs w:val="24"/>
        </w:rPr>
        <w:t xml:space="preserve">The Lancet Respiratory medicine. </w:t>
      </w:r>
      <w:r w:rsidRPr="004647AE">
        <w:rPr>
          <w:rFonts w:ascii="Times New Roman" w:hAnsi="Times New Roman" w:cs="Times New Roman"/>
          <w:sz w:val="24"/>
          <w:szCs w:val="24"/>
        </w:rPr>
        <w:t>2023;11(8):685-697.</w:t>
      </w:r>
    </w:p>
    <w:p w14:paraId="343D384A" w14:textId="77777777" w:rsidR="004647AE" w:rsidRPr="004647AE" w:rsidRDefault="004647AE" w:rsidP="002E557A">
      <w:pPr>
        <w:pStyle w:val="EndNoteBibliography"/>
        <w:ind w:left="720" w:hanging="720"/>
        <w:rPr>
          <w:rFonts w:ascii="Times New Roman" w:hAnsi="Times New Roman" w:cs="Times New Roman"/>
          <w:sz w:val="24"/>
          <w:szCs w:val="24"/>
        </w:rPr>
      </w:pPr>
      <w:r w:rsidRPr="004647AE">
        <w:rPr>
          <w:rFonts w:ascii="Times New Roman" w:hAnsi="Times New Roman" w:cs="Times New Roman"/>
          <w:sz w:val="24"/>
          <w:szCs w:val="24"/>
        </w:rPr>
        <w:t>3.</w:t>
      </w:r>
      <w:r w:rsidRPr="004647AE">
        <w:rPr>
          <w:rFonts w:ascii="Times New Roman" w:hAnsi="Times New Roman" w:cs="Times New Roman"/>
          <w:sz w:val="24"/>
          <w:szCs w:val="24"/>
        </w:rPr>
        <w:tab/>
        <w:t xml:space="preserve">Buniello A, MacArthur JAL, Cerezo M, Harris LW, Hayhurst J, Malangone C, </w:t>
      </w:r>
      <w:r w:rsidRPr="004647AE">
        <w:rPr>
          <w:rFonts w:ascii="Times New Roman" w:hAnsi="Times New Roman" w:cs="Times New Roman"/>
          <w:sz w:val="24"/>
          <w:szCs w:val="24"/>
        </w:rPr>
        <w:lastRenderedPageBreak/>
        <w:t xml:space="preserve">McMahon A, Morales J, Mountjoy E, Sollis E, Suveges D, Vrousgou O, Whetzel PL, Amode R, Guillen JA, Riat HS, Trevanion SJ, Hall P, Junkins H, Flicek P, Burdett T, Hindorff LA, Cunningham F, Parkinson H. The NHGRI-EBI GWAS Catalog of published genome-wide association studies, targeted arrays and summary statistics 2019. </w:t>
      </w:r>
      <w:r w:rsidRPr="004647AE">
        <w:rPr>
          <w:rFonts w:ascii="Times New Roman" w:hAnsi="Times New Roman" w:cs="Times New Roman"/>
          <w:i/>
          <w:sz w:val="24"/>
          <w:szCs w:val="24"/>
        </w:rPr>
        <w:t xml:space="preserve">Nucleic acids research. </w:t>
      </w:r>
      <w:r w:rsidRPr="004647AE">
        <w:rPr>
          <w:rFonts w:ascii="Times New Roman" w:hAnsi="Times New Roman" w:cs="Times New Roman"/>
          <w:sz w:val="24"/>
          <w:szCs w:val="24"/>
        </w:rPr>
        <w:t>2019;47(D1):D1005-d1012.</w:t>
      </w:r>
    </w:p>
    <w:p w14:paraId="2BA53072" w14:textId="77777777" w:rsidR="004647AE" w:rsidRPr="004647AE" w:rsidRDefault="004647AE" w:rsidP="002E557A">
      <w:pPr>
        <w:pStyle w:val="EndNoteBibliography"/>
        <w:ind w:left="720" w:hanging="720"/>
        <w:rPr>
          <w:rFonts w:ascii="Times New Roman" w:hAnsi="Times New Roman" w:cs="Times New Roman"/>
          <w:sz w:val="24"/>
          <w:szCs w:val="24"/>
        </w:rPr>
      </w:pPr>
      <w:r w:rsidRPr="004647AE">
        <w:rPr>
          <w:rFonts w:ascii="Times New Roman" w:hAnsi="Times New Roman" w:cs="Times New Roman"/>
          <w:sz w:val="24"/>
          <w:szCs w:val="24"/>
        </w:rPr>
        <w:t>4.</w:t>
      </w:r>
      <w:r w:rsidRPr="004647AE">
        <w:rPr>
          <w:rFonts w:ascii="Times New Roman" w:hAnsi="Times New Roman" w:cs="Times New Roman"/>
          <w:sz w:val="24"/>
          <w:szCs w:val="24"/>
        </w:rPr>
        <w:tab/>
        <w:t xml:space="preserve">Lebrett MB, Smith MJ, Crosbie EJ, Bowes J, Byers HJ, Evans DG, Crosbie PAJ. Validation of lung cancer polygenic risk scores in a high-risk case-control cohort. </w:t>
      </w:r>
      <w:r w:rsidRPr="004647AE">
        <w:rPr>
          <w:rFonts w:ascii="Times New Roman" w:hAnsi="Times New Roman" w:cs="Times New Roman"/>
          <w:i/>
          <w:sz w:val="24"/>
          <w:szCs w:val="24"/>
        </w:rPr>
        <w:t xml:space="preserve">Genetics in medicine : official journal of the American College of Medical Genetics. </w:t>
      </w:r>
      <w:r w:rsidRPr="004647AE">
        <w:rPr>
          <w:rFonts w:ascii="Times New Roman" w:hAnsi="Times New Roman" w:cs="Times New Roman"/>
          <w:sz w:val="24"/>
          <w:szCs w:val="24"/>
        </w:rPr>
        <w:t>2023;25(8):100882.</w:t>
      </w:r>
    </w:p>
    <w:p w14:paraId="7B405CC7" w14:textId="77777777" w:rsidR="004647AE" w:rsidRPr="004647AE" w:rsidRDefault="004647AE" w:rsidP="002E557A">
      <w:pPr>
        <w:pStyle w:val="EndNoteBibliography"/>
        <w:ind w:left="720" w:hanging="720"/>
        <w:rPr>
          <w:rFonts w:ascii="Times New Roman" w:hAnsi="Times New Roman" w:cs="Times New Roman"/>
          <w:sz w:val="24"/>
          <w:szCs w:val="24"/>
        </w:rPr>
      </w:pPr>
      <w:r w:rsidRPr="004647AE">
        <w:rPr>
          <w:rFonts w:ascii="Times New Roman" w:hAnsi="Times New Roman" w:cs="Times New Roman"/>
          <w:sz w:val="24"/>
          <w:szCs w:val="24"/>
        </w:rPr>
        <w:t>5.</w:t>
      </w:r>
      <w:r w:rsidRPr="004647AE">
        <w:rPr>
          <w:rFonts w:ascii="Times New Roman" w:hAnsi="Times New Roman" w:cs="Times New Roman"/>
          <w:sz w:val="24"/>
          <w:szCs w:val="24"/>
        </w:rPr>
        <w:tab/>
        <w:t xml:space="preserve">McKay JD, Hung RJ, Han Y, Zong X, Carreras-Torres R, Christiani DC, Caporaso NE, Johansson M, Xiao X, Li Y, Byun J, Dunning A, Pooley KA, Qian DC, Ji X, Liu G, Timofeeva MN, Bojesen SE, Wu X, Le Marchand L, Albanes D, Bickeböller H, Aldrich MC, Bush WS, Tardon A, Rennert G, Teare MD, Field JK, Kiemeney LA, Lazarus P, Haugen A, Lam S, Schabath MB, Andrew AS, Shen H, Hong YC, Yuan JM, Bertazzi PA, Pesatori AC, Ye Y, Diao N, Su L, Zhang R, Brhane Y, Leighl N, Johansen JS, Mellemgaard A, Saliba W, Haiman CA, Wilkens LR, Fernandez-Somoano A, Fernandez-Tardon G, van der Heijden HFM, Kim JH, Dai J, Hu Z, Davies MPA, Marcus MW, Brunnström H, Manjer J, Melander O, Muller DC, Overvad K, Trichopoulou A, Tumino R, Doherty JA, Barnett MP, Chen C, Goodman GE, Cox A, Taylor F, Woll P, Brüske I, Wichmann HE, Manz J, Muley TR, Risch A, Rosenberger A, Grankvist K, Johansson M, Shepherd FA, Tsao MS, Arnold SM, Haura EB, Bolca C, Holcatova I, Janout V, Kontic M, Lissowska J, Mukeria A, Ognjanovic S, Orlowski TM, Scelo G, Swiatkowska B, Zaridze D, Bakke P, Skaug V, Zienolddiny S, Duell EJ, Butler LM, Koh WP, Gao YT, Houlston RS, McLaughlin J, Stevens VL, Joubert P, Lamontagne M, Nickle DC, Obeidat M, Timens W, Zhu B, Song L, Kachuri L, Artigas MS, Tobin MD, Wain LV, Rafnar T, Thorgeirsson TE, Reginsson GW, Stefansson K, Hancock DB, Bierut LJ, Spitz MR, Gaddis NC, Lutz SM, Gu F, Johnson EO, Kamal A, Pikielny C, Zhu D, Lindströem S, Jiang X, Tyndale RF, Chenevix-Trench G, Beesley J, Bossé Y, Chanock S, Brennan P, Landi MT, Amos CI. Large-scale association analysis identifies new lung cancer susceptibility loci and heterogeneity in genetic susceptibility across histological subtypes. </w:t>
      </w:r>
      <w:r w:rsidRPr="004647AE">
        <w:rPr>
          <w:rFonts w:ascii="Times New Roman" w:hAnsi="Times New Roman" w:cs="Times New Roman"/>
          <w:i/>
          <w:sz w:val="24"/>
          <w:szCs w:val="24"/>
        </w:rPr>
        <w:t xml:space="preserve">Nat Genet. </w:t>
      </w:r>
      <w:r w:rsidRPr="004647AE">
        <w:rPr>
          <w:rFonts w:ascii="Times New Roman" w:hAnsi="Times New Roman" w:cs="Times New Roman"/>
          <w:sz w:val="24"/>
          <w:szCs w:val="24"/>
        </w:rPr>
        <w:t>2017;49(7):1126-1132.</w:t>
      </w:r>
    </w:p>
    <w:p w14:paraId="6F34368D" w14:textId="77777777" w:rsidR="004647AE" w:rsidRPr="004647AE" w:rsidRDefault="004647AE">
      <w:pPr>
        <w:rPr>
          <w:rFonts w:ascii="Times New Roman" w:hAnsi="Times New Roman" w:cs="Times New Roman"/>
          <w:sz w:val="24"/>
          <w:szCs w:val="24"/>
        </w:rPr>
      </w:pPr>
    </w:p>
    <w:p w14:paraId="411DAD98" w14:textId="77777777" w:rsidR="00336FF2" w:rsidRPr="004647AE" w:rsidRDefault="00336FF2">
      <w:pPr>
        <w:rPr>
          <w:rFonts w:ascii="Times New Roman" w:hAnsi="Times New Roman" w:cs="Times New Roman"/>
          <w:sz w:val="24"/>
          <w:szCs w:val="24"/>
        </w:rPr>
      </w:pPr>
    </w:p>
    <w:sectPr w:rsidR="00336FF2" w:rsidRPr="004647AE" w:rsidSect="00464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yriadPro-BoldSemiCn">
    <w:altName w:val="微软雅黑"/>
    <w:panose1 w:val="00000000000000000000"/>
    <w:charset w:val="86"/>
    <w:family w:val="swiss"/>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S0MLA0sDCwMDOyNDBW0lEKTi0uzszPAykwrgUAUQHNgiwAAAA="/>
    <w:docVar w:name="EN.InstantFormat" w:val="&lt;ENInstantFormat&gt;&lt;Enabled&gt;1&lt;/Enabled&gt;&lt;ScanUnformatted&gt;1&lt;/ScanUnformatted&gt;&lt;ScanChanges&gt;1&lt;/ScanChanges&gt;&lt;Suspended&gt;1&lt;/Suspended&gt;&lt;/ENInstantFormat&gt;"/>
  </w:docVars>
  <w:rsids>
    <w:rsidRoot w:val="004647AE"/>
    <w:rsid w:val="00081A97"/>
    <w:rsid w:val="00336FF2"/>
    <w:rsid w:val="0044590C"/>
    <w:rsid w:val="004647AE"/>
    <w:rsid w:val="00643479"/>
    <w:rsid w:val="00780E1D"/>
    <w:rsid w:val="007F6EA5"/>
    <w:rsid w:val="009108EA"/>
    <w:rsid w:val="00954598"/>
    <w:rsid w:val="00A2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9D71"/>
  <w15:chartTrackingRefBased/>
  <w15:docId w15:val="{CF7DDAB3-B25B-4835-9E98-2C89DE0F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7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4647A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4647AE"/>
    <w:rPr>
      <w:rFonts w:ascii="等线" w:eastAsia="等线" w:hAnsi="等线"/>
      <w:noProof/>
      <w:sz w:val="20"/>
    </w:rPr>
  </w:style>
  <w:style w:type="paragraph" w:customStyle="1" w:styleId="EndNoteBibliography">
    <w:name w:val="EndNote Bibliography"/>
    <w:basedOn w:val="a"/>
    <w:link w:val="EndNoteBibliography0"/>
    <w:rsid w:val="004647AE"/>
    <w:rPr>
      <w:rFonts w:ascii="等线" w:eastAsia="等线" w:hAnsi="等线"/>
      <w:noProof/>
      <w:sz w:val="20"/>
    </w:rPr>
  </w:style>
  <w:style w:type="character" w:customStyle="1" w:styleId="EndNoteBibliography0">
    <w:name w:val="EndNote Bibliography 字符"/>
    <w:basedOn w:val="a0"/>
    <w:link w:val="EndNoteBibliography"/>
    <w:rsid w:val="004647AE"/>
    <w:rPr>
      <w:rFonts w:ascii="等线" w:eastAsia="等线" w:hAnsi="等线"/>
      <w:noProof/>
      <w:sz w:val="20"/>
    </w:rPr>
  </w:style>
  <w:style w:type="character" w:styleId="a3">
    <w:name w:val="Hyperlink"/>
    <w:basedOn w:val="a0"/>
    <w:uiPriority w:val="99"/>
    <w:unhideWhenUsed/>
    <w:rsid w:val="004647AE"/>
    <w:rPr>
      <w:color w:val="0000FF"/>
      <w:u w:val="single"/>
    </w:rPr>
  </w:style>
  <w:style w:type="character" w:styleId="a4">
    <w:name w:val="Unresolved Mention"/>
    <w:basedOn w:val="a0"/>
    <w:uiPriority w:val="99"/>
    <w:semiHidden/>
    <w:unhideWhenUsed/>
    <w:rsid w:val="004647AE"/>
    <w:rPr>
      <w:color w:val="605E5C"/>
      <w:shd w:val="clear" w:color="auto" w:fill="E1DFDD"/>
    </w:rPr>
  </w:style>
  <w:style w:type="paragraph" w:styleId="a5">
    <w:name w:val="header"/>
    <w:basedOn w:val="a"/>
    <w:link w:val="a6"/>
    <w:uiPriority w:val="99"/>
    <w:unhideWhenUsed/>
    <w:rsid w:val="004647AE"/>
    <w:pPr>
      <w:tabs>
        <w:tab w:val="center" w:pos="4153"/>
        <w:tab w:val="right" w:pos="8306"/>
      </w:tabs>
      <w:snapToGrid w:val="0"/>
      <w:jc w:val="center"/>
    </w:pPr>
    <w:rPr>
      <w:sz w:val="18"/>
      <w:szCs w:val="18"/>
    </w:rPr>
  </w:style>
  <w:style w:type="character" w:customStyle="1" w:styleId="a6">
    <w:name w:val="页眉 字符"/>
    <w:basedOn w:val="a0"/>
    <w:link w:val="a5"/>
    <w:uiPriority w:val="99"/>
    <w:rsid w:val="004647AE"/>
    <w:rPr>
      <w:sz w:val="18"/>
      <w:szCs w:val="18"/>
    </w:rPr>
  </w:style>
  <w:style w:type="paragraph" w:styleId="a7">
    <w:name w:val="footer"/>
    <w:basedOn w:val="a"/>
    <w:link w:val="a8"/>
    <w:uiPriority w:val="99"/>
    <w:unhideWhenUsed/>
    <w:rsid w:val="004647AE"/>
    <w:pPr>
      <w:tabs>
        <w:tab w:val="center" w:pos="4153"/>
        <w:tab w:val="right" w:pos="8306"/>
      </w:tabs>
      <w:snapToGrid w:val="0"/>
      <w:jc w:val="left"/>
    </w:pPr>
    <w:rPr>
      <w:sz w:val="18"/>
      <w:szCs w:val="18"/>
    </w:rPr>
  </w:style>
  <w:style w:type="character" w:customStyle="1" w:styleId="a8">
    <w:name w:val="页脚 字符"/>
    <w:basedOn w:val="a0"/>
    <w:link w:val="a7"/>
    <w:uiPriority w:val="99"/>
    <w:rsid w:val="00464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官连 庞</dc:creator>
  <cp:keywords/>
  <dc:description/>
  <cp:lastModifiedBy>官连 庞</cp:lastModifiedBy>
  <cp:revision>3</cp:revision>
  <dcterms:created xsi:type="dcterms:W3CDTF">2024-09-05T03:35:00Z</dcterms:created>
  <dcterms:modified xsi:type="dcterms:W3CDTF">2024-09-06T08:45:00Z</dcterms:modified>
</cp:coreProperties>
</file>