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员工薪酬明细表（2026 年度）</w:t>
      </w:r>
    </w:p>
    <w:p>
      <w:r>
        <w:t>本表汇总全公司员工的基础薪酬与职级信息，用于年度预算核算。数据来源于 HR 系统导出，口径为月度固定工资，不含奖金与补贴。</w:t>
      </w:r>
    </w:p>
    <w:p>
      <w:pPr>
        <w:pStyle w:val="Heading2"/>
      </w:pPr>
      <w:r>
        <w:t>一、明细数据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8"/>
              </w:rPr>
              <w:t>工号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部门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岗位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入职日期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职级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绩效等级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E0299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员工299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E0399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员工399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E0499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员工499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E0599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员工599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E0699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员工699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</w:tbl>
    <w:p>
      <w:pPr>
        <w:pStyle w:val="Heading2"/>
      </w:pPr>
      <w:r>
        <w:t>二、口径说明</w:t>
      </w:r>
    </w:p>
    <w:p>
      <w:r>
        <w:t>月薪为税前固定工资，绩效等级取最近一次季度考核结果。备注为空表示无需特殊说明。本表每季度更新一次，由人力资源部维护。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