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2E201">
      <w:pPr>
        <w:pStyle w:val="4"/>
        <w:rPr>
          <w:sz w:val="20"/>
          <w:highlight w:val="yellow"/>
        </w:rPr>
      </w:pPr>
    </w:p>
    <w:p w14:paraId="68ECBF7A">
      <w:pPr>
        <w:pStyle w:val="4"/>
        <w:spacing w:before="11"/>
        <w:rPr>
          <w:sz w:val="25"/>
        </w:rPr>
      </w:pPr>
    </w:p>
    <w:p w14:paraId="13030CA6">
      <w:pPr>
        <w:autoSpaceDE w:val="0"/>
        <w:autoSpaceDN w:val="0"/>
        <w:spacing w:before="89" w:after="0" w:line="240" w:lineRule="auto"/>
        <w:ind w:left="208" w:right="206" w:firstLine="0"/>
        <w:jc w:val="center"/>
        <w:rPr>
          <w:rFonts w:hint="eastAsia" w:ascii="Times New Roman" w:hAnsi="Times New Roman" w:eastAsia="Times New Roman" w:cs="Times New Roman"/>
          <w:b/>
          <w:kern w:val="0"/>
          <w:sz w:val="28"/>
          <w:szCs w:val="22"/>
          <w:lang w:val="en-US" w:eastAsia="zh-CN"/>
        </w:rPr>
      </w:pPr>
      <w:r>
        <w:rPr>
          <w:rFonts w:hint="eastAsia" w:ascii="Times New Roman" w:hAnsi="Times New Roman" w:eastAsia="Times New Roman" w:cs="Times New Roman"/>
          <w:b/>
          <w:kern w:val="0"/>
          <w:sz w:val="28"/>
          <w:szCs w:val="22"/>
          <w:lang w:val="en-US" w:eastAsia="zh-CN"/>
        </w:rPr>
        <w:t>A——非线性回归问题</w:t>
      </w:r>
    </w:p>
    <w:p w14:paraId="09AFFA9A">
      <w:pPr>
        <w:autoSpaceDE w:val="0"/>
        <w:autoSpaceDN w:val="0"/>
        <w:spacing w:before="89" w:after="0" w:line="240" w:lineRule="auto"/>
        <w:ind w:left="208" w:right="206" w:firstLine="0"/>
        <w:jc w:val="center"/>
        <w:rPr>
          <w:rFonts w:hint="eastAsia" w:ascii="Times New Roman" w:hAnsi="Times New Roman" w:eastAsia="Times New Roman" w:cs="Times New Roman"/>
          <w:b/>
          <w:kern w:val="0"/>
          <w:sz w:val="28"/>
          <w:szCs w:val="22"/>
          <w:lang w:val="en-US" w:eastAsia="zh-CN"/>
        </w:rPr>
      </w:pPr>
    </w:p>
    <w:p w14:paraId="5D31F5B3">
      <w:pPr>
        <w:pStyle w:val="4"/>
        <w:spacing w:before="1"/>
        <w:ind w:left="207" w:right="206"/>
        <w:jc w:val="center"/>
        <w:rPr>
          <w:rFonts w:hint="eastAsia" w:eastAsia="宋体"/>
          <w:lang w:eastAsia="zh-CN"/>
        </w:rPr>
      </w:pPr>
      <w:r>
        <w:rPr>
          <w:rFonts w:hint="eastAsia" w:eastAsia="宋体"/>
          <w:lang w:val="en-US" w:eastAsia="zh-CN"/>
        </w:rPr>
        <w:t>管睿</w:t>
      </w:r>
    </w:p>
    <w:p w14:paraId="18E5FDBF">
      <w:pPr>
        <w:pStyle w:val="4"/>
        <w:spacing w:before="70"/>
        <w:ind w:left="209" w:right="206"/>
        <w:jc w:val="center"/>
      </w:pPr>
      <w:r>
        <w:rPr>
          <w:rFonts w:hint="eastAsia"/>
          <w:color w:val="auto"/>
          <w:kern w:val="0"/>
          <w:u w:val="none"/>
          <w:lang w:val="en-US" w:eastAsia="zh-CN"/>
        </w:rPr>
        <w:fldChar w:fldCharType="begin"/>
      </w:r>
      <w:r>
        <w:rPr>
          <w:rFonts w:hint="eastAsia"/>
          <w:color w:val="auto"/>
          <w:kern w:val="0"/>
          <w:u w:val="none"/>
          <w:lang w:val="en-US" w:eastAsia="zh-CN"/>
        </w:rPr>
        <w:instrText xml:space="preserve"> HYPERLINK "mailto:23374318@buaa.edu.cn" </w:instrText>
      </w:r>
      <w:r>
        <w:rPr>
          <w:rFonts w:hint="eastAsia"/>
          <w:color w:val="auto"/>
          <w:kern w:val="0"/>
          <w:u w:val="none"/>
          <w:lang w:val="en-US" w:eastAsia="zh-CN"/>
        </w:rPr>
        <w:fldChar w:fldCharType="separate"/>
      </w:r>
      <w:r>
        <w:rPr>
          <w:rStyle w:val="10"/>
          <w:rFonts w:hint="eastAsia"/>
          <w:color w:val="auto"/>
          <w:kern w:val="0"/>
          <w:u w:val="none"/>
          <w:lang w:val="en-US" w:eastAsia="zh-CN"/>
        </w:rPr>
        <w:t>23374318@buaa.edu.cn</w:t>
      </w:r>
      <w:r>
        <w:rPr>
          <w:rFonts w:hint="eastAsia"/>
          <w:color w:val="auto"/>
          <w:kern w:val="0"/>
          <w:u w:val="none"/>
          <w:lang w:val="en-US" w:eastAsia="zh-CN"/>
        </w:rPr>
        <w:fldChar w:fldCharType="end"/>
      </w:r>
    </w:p>
    <w:p w14:paraId="678DCF58">
      <w:pPr>
        <w:pStyle w:val="4"/>
        <w:spacing w:before="4"/>
        <w:rPr>
          <w:sz w:val="24"/>
        </w:rPr>
      </w:pPr>
    </w:p>
    <w:p w14:paraId="355CDC1B">
      <w:pPr>
        <w:pStyle w:val="2"/>
        <w:rPr>
          <w:rFonts w:hint="eastAsia" w:eastAsia="宋体"/>
          <w:lang w:val="en-US" w:eastAsia="zh-CN"/>
        </w:rPr>
      </w:pPr>
      <w:r>
        <w:rPr>
          <w:rFonts w:hint="eastAsia" w:eastAsia="宋体"/>
          <w:lang w:val="en-US" w:eastAsia="zh-CN"/>
        </w:rPr>
        <w:t>摘要</w:t>
      </w:r>
    </w:p>
    <w:p w14:paraId="3F8B8B6E">
      <w:pPr>
        <w:pStyle w:val="4"/>
        <w:spacing w:before="5"/>
        <w:rPr>
          <w:b/>
          <w:sz w:val="41"/>
        </w:rPr>
      </w:pPr>
    </w:p>
    <w:p w14:paraId="49ED967D">
      <w:pPr>
        <w:pStyle w:val="4"/>
        <w:ind w:left="207" w:right="206"/>
        <w:jc w:val="center"/>
        <w:rPr>
          <w:sz w:val="22"/>
        </w:rPr>
      </w:pPr>
      <w:r>
        <w:t>This</w:t>
      </w:r>
      <w:r>
        <w:rPr>
          <w:spacing w:val="-1"/>
        </w:rPr>
        <w:t xml:space="preserve"> </w:t>
      </w:r>
      <w:r>
        <w:t>is a</w:t>
      </w:r>
      <w:r>
        <w:rPr>
          <w:spacing w:val="-1"/>
        </w:rPr>
        <w:t xml:space="preserve"> </w:t>
      </w:r>
      <w:r>
        <w:t>Report</w:t>
      </w:r>
      <w:r>
        <w:rPr>
          <w:spacing w:val="-1"/>
        </w:rPr>
        <w:t xml:space="preserve"> </w:t>
      </w:r>
      <w:r>
        <w:t>of</w:t>
      </w:r>
      <w:r>
        <w:rPr>
          <w:spacing w:val="-3"/>
        </w:rPr>
        <w:t xml:space="preserve"> </w:t>
      </w:r>
      <w:r>
        <w:t>Deep</w:t>
      </w:r>
      <w:r>
        <w:rPr>
          <w:spacing w:val="-3"/>
        </w:rPr>
        <w:t xml:space="preserve"> </w:t>
      </w:r>
      <w:r>
        <w:t>Learning for</w:t>
      </w:r>
      <w:r>
        <w:rPr>
          <w:spacing w:val="-1"/>
        </w:rPr>
        <w:t xml:space="preserve"> </w:t>
      </w:r>
      <w:r>
        <w:t>Natural</w:t>
      </w:r>
      <w:r>
        <w:rPr>
          <w:spacing w:val="-4"/>
        </w:rPr>
        <w:t xml:space="preserve"> </w:t>
      </w:r>
      <w:r>
        <w:t>Langauge</w:t>
      </w:r>
      <w:r>
        <w:rPr>
          <w:spacing w:val="-3"/>
        </w:rPr>
        <w:t xml:space="preserve"> </w:t>
      </w:r>
      <w:r>
        <w:t>Processing</w:t>
      </w:r>
    </w:p>
    <w:p w14:paraId="15F9D24A">
      <w:pPr>
        <w:pStyle w:val="4"/>
        <w:spacing w:before="5"/>
        <w:rPr>
          <w:sz w:val="24"/>
        </w:rPr>
      </w:pPr>
    </w:p>
    <w:p w14:paraId="2881148E">
      <w:pPr>
        <w:pStyle w:val="2"/>
        <w:ind w:left="204"/>
        <w:rPr>
          <w:rFonts w:hint="eastAsia" w:eastAsia="宋体"/>
          <w:lang w:eastAsia="zh-CN"/>
        </w:rPr>
      </w:pPr>
      <w:r>
        <w:rPr>
          <w:rFonts w:hint="eastAsia" w:eastAsia="宋体"/>
          <w:lang w:val="en-US" w:eastAsia="zh-CN"/>
        </w:rPr>
        <w:t>问题描述</w:t>
      </w:r>
    </w:p>
    <w:p w14:paraId="41AD7086">
      <w:pPr>
        <w:pStyle w:val="4"/>
        <w:spacing w:before="5"/>
        <w:rPr>
          <w:b/>
          <w:sz w:val="41"/>
        </w:rPr>
      </w:pPr>
    </w:p>
    <w:p w14:paraId="71117C94">
      <w:pPr>
        <w:pStyle w:val="4"/>
        <w:spacing w:before="1"/>
        <w:ind w:left="206" w:right="206"/>
        <w:jc w:val="center"/>
        <w:rPr>
          <w:rFonts w:hint="eastAsia" w:eastAsia="宋体"/>
          <w:lang w:val="en-US" w:eastAsia="zh-CN"/>
        </w:rPr>
      </w:pPr>
      <w:r>
        <w:rPr>
          <w:rFonts w:hint="eastAsia" w:eastAsia="宋体"/>
          <w:lang w:val="en-US" w:eastAsia="zh-CN"/>
        </w:rPr>
        <w:t>已知给定一组二维数据Data4Regression,包含训练数据和测试数据（各101个数据点），使用线性回归方法—最小二乘法，梯度下降法(GD)和牛顿法对数据分别进行线性拟合，并且在线性拟合效果不佳时采用更合适的模型对给定数据进行拟合。</w:t>
      </w:r>
    </w:p>
    <w:p w14:paraId="50403AA3">
      <w:pPr>
        <w:pStyle w:val="4"/>
        <w:rPr>
          <w:sz w:val="22"/>
        </w:rPr>
      </w:pPr>
    </w:p>
    <w:p w14:paraId="3A4610AC">
      <w:pPr>
        <w:pStyle w:val="2"/>
        <w:spacing w:before="152"/>
        <w:rPr>
          <w:rFonts w:hint="eastAsia" w:eastAsia="宋体"/>
          <w:lang w:val="en-US" w:eastAsia="zh-CN"/>
        </w:rPr>
      </w:pPr>
      <w:r>
        <w:rPr>
          <w:rFonts w:hint="eastAsia" w:eastAsia="宋体"/>
          <w:lang w:val="en-US" w:eastAsia="zh-CN"/>
        </w:rPr>
        <w:t>研究方法</w:t>
      </w:r>
    </w:p>
    <w:p w14:paraId="0ED15BF5">
      <w:pPr>
        <w:pStyle w:val="4"/>
        <w:spacing w:before="4"/>
        <w:rPr>
          <w:b/>
          <w:sz w:val="41"/>
        </w:rPr>
      </w:pPr>
    </w:p>
    <w:p w14:paraId="17A19785">
      <w:pPr>
        <w:pStyle w:val="4"/>
        <w:spacing w:before="1"/>
        <w:ind w:left="206" w:right="206"/>
        <w:jc w:val="center"/>
        <w:rPr>
          <w:rFonts w:hint="default" w:eastAsia="宋体"/>
          <w:lang w:val="en-US" w:eastAsia="zh-CN"/>
        </w:rPr>
      </w:pPr>
      <w:r>
        <w:rPr>
          <w:rFonts w:hint="eastAsia" w:eastAsia="宋体"/>
          <w:lang w:val="en-US" w:eastAsia="zh-CN"/>
        </w:rPr>
        <w:t xml:space="preserve">本文使用了线性回归的三种方法：最小二乘法，梯度下降法(GD)和牛顿法，以及非线性回归中的高斯过程回归法基于给定数据训练模型对数据进行拟合并测试。 </w:t>
      </w:r>
    </w:p>
    <w:p w14:paraId="01D02F62">
      <w:pPr>
        <w:pStyle w:val="4"/>
        <w:spacing w:before="7"/>
        <w:rPr>
          <w:sz w:val="31"/>
        </w:rPr>
      </w:pPr>
    </w:p>
    <w:p w14:paraId="4DC718F6">
      <w:pPr>
        <w:pStyle w:val="3"/>
        <w:spacing w:before="1"/>
        <w:ind w:left="207"/>
      </w:pPr>
      <w:r>
        <w:t>M1:</w:t>
      </w:r>
      <w:r>
        <w:rPr>
          <w:spacing w:val="-3"/>
        </w:rPr>
        <w:t xml:space="preserve"> </w:t>
      </w:r>
      <w:r>
        <w:rPr>
          <w:rFonts w:hint="eastAsia" w:eastAsia="宋体"/>
          <w:lang w:val="en-US" w:eastAsia="zh-CN"/>
        </w:rPr>
        <w:t>最小二乘法</w:t>
      </w:r>
    </w:p>
    <w:p w14:paraId="4CC26878">
      <w:pPr>
        <w:pStyle w:val="4"/>
        <w:spacing w:before="9"/>
        <w:rPr>
          <w:b/>
          <w:sz w:val="31"/>
        </w:rPr>
      </w:pPr>
    </w:p>
    <w:p w14:paraId="122CB67E">
      <w:pPr>
        <w:pStyle w:val="4"/>
        <w:spacing w:before="1"/>
        <w:ind w:left="206" w:right="206"/>
        <w:jc w:val="center"/>
        <w:rPr>
          <w:rFonts w:hint="eastAsia" w:eastAsia="宋体"/>
          <w:lang w:val="en-US" w:eastAsia="zh-CN"/>
        </w:rPr>
      </w:pPr>
      <w:r>
        <w:rPr>
          <w:rFonts w:hint="eastAsia" w:eastAsia="宋体"/>
          <w:lang w:val="en-US" w:eastAsia="zh-CN"/>
        </w:rPr>
        <w:t>最小二乘法通过最小化所有样本点到拟合直线的误差平方和来求解最佳参数。对于本文的一元线性回归，可以直接用解析公式计算斜率和截距：</w:t>
      </w:r>
    </w:p>
    <w:p w14:paraId="65ED7BBC">
      <w:pPr>
        <w:pStyle w:val="13"/>
        <w:rPr>
          <w:b/>
          <w:bCs/>
          <w:i w:val="0"/>
        </w:rPr>
      </w:pPr>
      <m:oMathPara>
        <m:oMath>
          <m:r>
            <m:rPr>
              <m:sty m:val="bi"/>
            </m:rPr>
            <w:rPr>
              <w:rFonts w:hint="default" w:ascii="Times New Roman" w:hAnsi="Times New Roman"/>
            </w:rPr>
            <m:t>w</m:t>
          </m:r>
          <m:r>
            <m:rPr>
              <m:sty m:val="b"/>
            </m:rPr>
            <w:rPr>
              <w:rFonts w:ascii="Times New Roman" w:hAnsi="Times New Roman"/>
            </w:rPr>
            <m:t>=</m:t>
          </m:r>
          <m:f>
            <m:fPr>
              <m:ctrlPr>
                <w:rPr>
                  <w:rFonts w:ascii="Cambria Math" w:hAnsi="Cambria Math"/>
                  <w:b/>
                  <w:bCs/>
                </w:rPr>
              </m:ctrlPr>
            </m:fPr>
            <m:num>
              <m:nary>
                <m:naryPr>
                  <m:chr m:val="∑"/>
                  <m:limLoc m:val="undOvr"/>
                  <m:ctrlPr>
                    <w:rPr>
                      <w:rFonts w:ascii="Cambria Math" w:hAnsi="Cambria Math"/>
                      <w:b/>
                      <w:bCs/>
                    </w:rPr>
                  </m:ctrlPr>
                </m:naryPr>
                <m:sub>
                  <m:r>
                    <m:rPr>
                      <m:sty m:val="bi"/>
                    </m:rPr>
                    <w:rPr>
                      <w:rFonts w:hint="default" w:ascii="Times New Roman" w:hAnsi="Times New Roman"/>
                    </w:rPr>
                    <m:t>i</m:t>
                  </m:r>
                  <m:r>
                    <m:rPr>
                      <m:sty m:val="b"/>
                    </m:rPr>
                    <w:rPr>
                      <w:rFonts w:ascii="Times New Roman" w:hAnsi="Times New Roman"/>
                    </w:rPr>
                    <m:t>=</m:t>
                  </m:r>
                  <m:r>
                    <m:rPr>
                      <m:sty m:val="bi"/>
                    </m:rPr>
                    <w:rPr>
                      <w:rFonts w:hint="default" w:ascii="Times New Roman" w:hAnsi="Times New Roman"/>
                    </w:rPr>
                    <m:t>1</m:t>
                  </m:r>
                  <m:ctrlPr>
                    <w:rPr>
                      <w:rFonts w:ascii="Cambria Math" w:hAnsi="Cambria Math"/>
                      <w:b/>
                      <w:bCs/>
                    </w:rPr>
                  </m:ctrlPr>
                </m:sub>
                <m:sup>
                  <m:r>
                    <m:rPr>
                      <m:sty m:val="bi"/>
                    </m:rPr>
                    <w:rPr>
                      <w:rFonts w:hint="default" w:ascii="Times New Roman" w:hAnsi="Times New Roman"/>
                    </w:rPr>
                    <m:t>m</m:t>
                  </m:r>
                  <m:ctrlPr>
                    <w:rPr>
                      <w:rFonts w:ascii="Cambria Math" w:hAnsi="Cambria Math"/>
                      <w:b/>
                      <w:bCs/>
                    </w:rPr>
                  </m:ctrlPr>
                </m:sup>
                <m:e>
                  <m:d>
                    <m:dPr>
                      <m:sepChr m:val=""/>
                      <m:ctrlPr>
                        <w:rPr>
                          <w:rFonts w:ascii="Cambria Math" w:hAnsi="Cambria Math"/>
                          <w:b/>
                          <w:bCs/>
                        </w:rPr>
                      </m:ctrlPr>
                    </m:dPr>
                    <m:e>
                      <m:sSub>
                        <m:sSubPr>
                          <m:ctrlPr>
                            <w:rPr>
                              <w:rFonts w:ascii="Cambria Math" w:hAnsi="Cambria Math"/>
                              <w:b/>
                              <w:bCs/>
                            </w:rPr>
                          </m:ctrlPr>
                        </m:sSubPr>
                        <m:e>
                          <m:r>
                            <m:rPr>
                              <m:sty m:val="bi"/>
                            </m:rPr>
                            <w:rPr>
                              <w:rFonts w:hint="default" w:ascii="Times New Roman" w:hAnsi="Times New Roman"/>
                            </w:rPr>
                            <m:t>x</m:t>
                          </m:r>
                          <m:ctrlPr>
                            <w:rPr>
                              <w:rFonts w:ascii="Cambria Math" w:hAnsi="Cambria Math"/>
                              <w:b/>
                              <w:bCs/>
                            </w:rPr>
                          </m:ctrlPr>
                        </m:e>
                        <m:sub>
                          <m:r>
                            <m:rPr>
                              <m:sty m:val="bi"/>
                            </m:rPr>
                            <w:rPr>
                              <w:rFonts w:hint="default" w:ascii="Times New Roman" w:hAnsi="Times New Roman"/>
                            </w:rPr>
                            <m:t>i</m:t>
                          </m:r>
                          <m:ctrlPr>
                            <w:rPr>
                              <w:rFonts w:ascii="Cambria Math" w:hAnsi="Cambria Math"/>
                              <w:b/>
                              <w:bCs/>
                            </w:rPr>
                          </m:ctrlPr>
                        </m:sub>
                      </m:sSub>
                      <m:r>
                        <m:rPr>
                          <m:sty m:val="b"/>
                        </m:rPr>
                        <w:rPr>
                          <w:rFonts w:ascii="Times New Roman" w:hAnsi="Times New Roman"/>
                        </w:rPr>
                        <m:t>−</m:t>
                      </m:r>
                      <m:bar>
                        <m:barPr>
                          <m:pos m:val="top"/>
                          <m:ctrlPr>
                            <w:rPr>
                              <w:rFonts w:ascii="Cambria Math" w:hAnsi="Cambria Math"/>
                              <w:b/>
                              <w:bCs/>
                            </w:rPr>
                          </m:ctrlPr>
                        </m:barPr>
                        <m:e>
                          <m:r>
                            <m:rPr>
                              <m:sty m:val="bi"/>
                            </m:rPr>
                            <w:rPr>
                              <w:rFonts w:hint="default" w:ascii="Times New Roman" w:hAnsi="Times New Roman"/>
                            </w:rPr>
                            <m:t>x</m:t>
                          </m:r>
                          <m:ctrlPr>
                            <w:rPr>
                              <w:rFonts w:ascii="Cambria Math" w:hAnsi="Cambria Math"/>
                              <w:b/>
                              <w:bCs/>
                            </w:rPr>
                          </m:ctrlPr>
                        </m:e>
                      </m:bar>
                      <m:ctrlPr>
                        <w:rPr>
                          <w:rFonts w:ascii="Cambria Math" w:hAnsi="Cambria Math"/>
                          <w:b/>
                          <w:bCs/>
                        </w:rPr>
                      </m:ctrlPr>
                    </m:e>
                  </m:d>
                  <m:ctrlPr>
                    <w:rPr>
                      <w:rFonts w:ascii="Cambria Math" w:hAnsi="Cambria Math"/>
                      <w:b/>
                      <w:bCs/>
                    </w:rPr>
                  </m:ctrlPr>
                </m:e>
              </m:nary>
              <m:d>
                <m:dPr>
                  <m:sepChr m:val=""/>
                  <m:ctrlPr>
                    <w:rPr>
                      <w:rFonts w:ascii="Cambria Math" w:hAnsi="Cambria Math"/>
                      <w:b/>
                      <w:bCs/>
                    </w:rPr>
                  </m:ctrlPr>
                </m:dPr>
                <m:e>
                  <m:sSub>
                    <m:sSubPr>
                      <m:ctrlPr>
                        <w:rPr>
                          <w:rFonts w:ascii="Cambria Math" w:hAnsi="Cambria Math"/>
                          <w:b/>
                          <w:bCs/>
                        </w:rPr>
                      </m:ctrlPr>
                    </m:sSubPr>
                    <m:e>
                      <m:r>
                        <m:rPr>
                          <m:sty m:val="bi"/>
                        </m:rPr>
                        <w:rPr>
                          <w:rFonts w:hint="default" w:ascii="Times New Roman" w:hAnsi="Times New Roman"/>
                        </w:rPr>
                        <m:t>y</m:t>
                      </m:r>
                      <m:ctrlPr>
                        <w:rPr>
                          <w:rFonts w:ascii="Cambria Math" w:hAnsi="Cambria Math"/>
                          <w:b/>
                          <w:bCs/>
                        </w:rPr>
                      </m:ctrlPr>
                    </m:e>
                    <m:sub>
                      <m:r>
                        <m:rPr>
                          <m:sty m:val="bi"/>
                        </m:rPr>
                        <w:rPr>
                          <w:rFonts w:hint="default" w:ascii="Times New Roman" w:hAnsi="Times New Roman"/>
                        </w:rPr>
                        <m:t>i</m:t>
                      </m:r>
                      <m:ctrlPr>
                        <w:rPr>
                          <w:rFonts w:ascii="Cambria Math" w:hAnsi="Cambria Math"/>
                          <w:b/>
                          <w:bCs/>
                        </w:rPr>
                      </m:ctrlPr>
                    </m:sub>
                  </m:sSub>
                  <m:r>
                    <m:rPr>
                      <m:sty m:val="b"/>
                    </m:rPr>
                    <w:rPr>
                      <w:rFonts w:ascii="Times New Roman" w:hAnsi="Times New Roman"/>
                    </w:rPr>
                    <m:t>−</m:t>
                  </m:r>
                  <m:bar>
                    <m:barPr>
                      <m:pos m:val="top"/>
                      <m:ctrlPr>
                        <w:rPr>
                          <w:rFonts w:ascii="Cambria Math" w:hAnsi="Cambria Math"/>
                          <w:b/>
                          <w:bCs/>
                        </w:rPr>
                      </m:ctrlPr>
                    </m:barPr>
                    <m:e>
                      <m:r>
                        <m:rPr>
                          <m:sty m:val="bi"/>
                        </m:rPr>
                        <w:rPr>
                          <w:rFonts w:hint="default" w:ascii="Times New Roman" w:hAnsi="Times New Roman"/>
                        </w:rPr>
                        <m:t>y</m:t>
                      </m:r>
                      <m:ctrlPr>
                        <w:rPr>
                          <w:rFonts w:ascii="Cambria Math" w:hAnsi="Cambria Math"/>
                          <w:b/>
                          <w:bCs/>
                        </w:rPr>
                      </m:ctrlPr>
                    </m:e>
                  </m:bar>
                  <m:ctrlPr>
                    <w:rPr>
                      <w:rFonts w:ascii="Cambria Math" w:hAnsi="Cambria Math"/>
                      <w:b/>
                      <w:bCs/>
                    </w:rPr>
                  </m:ctrlPr>
                </m:e>
              </m:d>
              <m:ctrlPr>
                <w:rPr>
                  <w:rFonts w:ascii="Cambria Math" w:hAnsi="Cambria Math"/>
                  <w:b/>
                  <w:bCs/>
                </w:rPr>
              </m:ctrlPr>
            </m:num>
            <m:den>
              <m:nary>
                <m:naryPr>
                  <m:chr m:val="∑"/>
                  <m:limLoc m:val="undOvr"/>
                  <m:ctrlPr>
                    <w:rPr>
                      <w:rFonts w:ascii="Cambria Math" w:hAnsi="Cambria Math"/>
                      <w:b/>
                      <w:bCs/>
                    </w:rPr>
                  </m:ctrlPr>
                </m:naryPr>
                <m:sub>
                  <m:r>
                    <m:rPr>
                      <m:sty m:val="bi"/>
                    </m:rPr>
                    <w:rPr>
                      <w:rFonts w:hint="default" w:ascii="Times New Roman" w:hAnsi="Times New Roman"/>
                    </w:rPr>
                    <m:t>i</m:t>
                  </m:r>
                  <m:r>
                    <m:rPr>
                      <m:sty m:val="b"/>
                    </m:rPr>
                    <w:rPr>
                      <w:rFonts w:ascii="Times New Roman" w:hAnsi="Times New Roman"/>
                    </w:rPr>
                    <m:t>=</m:t>
                  </m:r>
                  <m:r>
                    <m:rPr>
                      <m:sty m:val="bi"/>
                    </m:rPr>
                    <w:rPr>
                      <w:rFonts w:hint="default" w:ascii="Times New Roman" w:hAnsi="Times New Roman"/>
                    </w:rPr>
                    <m:t>1</m:t>
                  </m:r>
                  <m:ctrlPr>
                    <w:rPr>
                      <w:rFonts w:ascii="Cambria Math" w:hAnsi="Cambria Math"/>
                      <w:b/>
                      <w:bCs/>
                    </w:rPr>
                  </m:ctrlPr>
                </m:sub>
                <m:sup>
                  <m:r>
                    <m:rPr>
                      <m:sty m:val="bi"/>
                    </m:rPr>
                    <w:rPr>
                      <w:rFonts w:hint="default" w:ascii="Times New Roman" w:hAnsi="Times New Roman"/>
                    </w:rPr>
                    <m:t>m</m:t>
                  </m:r>
                  <m:ctrlPr>
                    <w:rPr>
                      <w:rFonts w:ascii="Cambria Math" w:hAnsi="Cambria Math"/>
                      <w:b/>
                      <w:bCs/>
                    </w:rPr>
                  </m:ctrlPr>
                </m:sup>
                <m:e>
                  <m:sSup>
                    <m:sSupPr>
                      <m:ctrlPr>
                        <w:rPr>
                          <w:rFonts w:ascii="Cambria Math" w:hAnsi="Cambria Math"/>
                          <w:b/>
                          <w:bCs/>
                        </w:rPr>
                      </m:ctrlPr>
                    </m:sSupPr>
                    <m:e>
                      <m:d>
                        <m:dPr>
                          <m:sepChr m:val=""/>
                          <m:ctrlPr>
                            <w:rPr>
                              <w:rFonts w:ascii="Cambria Math" w:hAnsi="Cambria Math"/>
                              <w:b/>
                              <w:bCs/>
                            </w:rPr>
                          </m:ctrlPr>
                        </m:dPr>
                        <m:e>
                          <m:sSub>
                            <m:sSubPr>
                              <m:ctrlPr>
                                <w:rPr>
                                  <w:rFonts w:ascii="Cambria Math" w:hAnsi="Cambria Math"/>
                                  <w:b/>
                                  <w:bCs/>
                                </w:rPr>
                              </m:ctrlPr>
                            </m:sSubPr>
                            <m:e>
                              <m:r>
                                <m:rPr>
                                  <m:sty m:val="bi"/>
                                </m:rPr>
                                <w:rPr>
                                  <w:rFonts w:hint="default" w:ascii="Times New Roman" w:hAnsi="Times New Roman"/>
                                </w:rPr>
                                <m:t>x</m:t>
                              </m:r>
                              <m:ctrlPr>
                                <w:rPr>
                                  <w:rFonts w:ascii="Cambria Math" w:hAnsi="Cambria Math"/>
                                  <w:b/>
                                  <w:bCs/>
                                </w:rPr>
                              </m:ctrlPr>
                            </m:e>
                            <m:sub>
                              <m:r>
                                <m:rPr>
                                  <m:sty m:val="bi"/>
                                </m:rPr>
                                <w:rPr>
                                  <w:rFonts w:hint="default" w:ascii="Times New Roman" w:hAnsi="Times New Roman"/>
                                </w:rPr>
                                <m:t>i</m:t>
                              </m:r>
                              <m:ctrlPr>
                                <w:rPr>
                                  <w:rFonts w:ascii="Cambria Math" w:hAnsi="Cambria Math"/>
                                  <w:b/>
                                  <w:bCs/>
                                </w:rPr>
                              </m:ctrlPr>
                            </m:sub>
                          </m:sSub>
                          <m:r>
                            <m:rPr>
                              <m:sty m:val="b"/>
                            </m:rPr>
                            <w:rPr>
                              <w:rFonts w:ascii="Times New Roman" w:hAnsi="Times New Roman"/>
                            </w:rPr>
                            <m:t>−</m:t>
                          </m:r>
                          <m:bar>
                            <m:barPr>
                              <m:pos m:val="top"/>
                              <m:ctrlPr>
                                <w:rPr>
                                  <w:rFonts w:ascii="Cambria Math" w:hAnsi="Cambria Math"/>
                                  <w:b/>
                                  <w:bCs/>
                                </w:rPr>
                              </m:ctrlPr>
                            </m:barPr>
                            <m:e>
                              <m:r>
                                <m:rPr>
                                  <m:sty m:val="bi"/>
                                </m:rPr>
                                <w:rPr>
                                  <w:rFonts w:hint="default" w:ascii="Times New Roman" w:hAnsi="Times New Roman"/>
                                </w:rPr>
                                <m:t>x</m:t>
                              </m:r>
                              <m:ctrlPr>
                                <w:rPr>
                                  <w:rFonts w:ascii="Cambria Math" w:hAnsi="Cambria Math"/>
                                  <w:b/>
                                  <w:bCs/>
                                </w:rPr>
                              </m:ctrlPr>
                            </m:e>
                          </m:bar>
                          <m:ctrlPr>
                            <w:rPr>
                              <w:rFonts w:ascii="Cambria Math" w:hAnsi="Cambria Math"/>
                              <w:b/>
                              <w:bCs/>
                            </w:rPr>
                          </m:ctrlPr>
                        </m:e>
                      </m:d>
                      <m:ctrlPr>
                        <w:rPr>
                          <w:rFonts w:ascii="Cambria Math" w:hAnsi="Cambria Math"/>
                          <w:b/>
                          <w:bCs/>
                        </w:rPr>
                      </m:ctrlPr>
                    </m:e>
                    <m:sup>
                      <m:r>
                        <m:rPr>
                          <m:sty m:val="bi"/>
                        </m:rPr>
                        <w:rPr>
                          <w:rFonts w:hint="default" w:ascii="Times New Roman" w:hAnsi="Times New Roman"/>
                        </w:rPr>
                        <m:t>2</m:t>
                      </m:r>
                      <m:ctrlPr>
                        <w:rPr>
                          <w:rFonts w:ascii="Cambria Math" w:hAnsi="Cambria Math"/>
                          <w:b/>
                          <w:bCs/>
                        </w:rPr>
                      </m:ctrlPr>
                    </m:sup>
                  </m:sSup>
                  <m:ctrlPr>
                    <w:rPr>
                      <w:rFonts w:ascii="Cambria Math" w:hAnsi="Cambria Math"/>
                      <w:b/>
                      <w:bCs/>
                    </w:rPr>
                  </m:ctrlPr>
                </m:e>
              </m:nary>
              <m:ctrlPr>
                <w:rPr>
                  <w:rFonts w:ascii="Cambria Math" w:hAnsi="Cambria Math"/>
                  <w:b/>
                  <w:bCs/>
                </w:rPr>
              </m:ctrlPr>
            </m:den>
          </m:f>
          <m:r>
            <m:rPr>
              <m:sty m:val="b"/>
            </m:rPr>
            <w:rPr>
              <w:rFonts w:ascii="Times New Roman" w:hAnsi="Times New Roman"/>
            </w:rPr>
            <m:t>,</m:t>
          </m:r>
          <m:r>
            <m:rPr>
              <m:sty m:val="bi"/>
            </m:rPr>
            <w:rPr>
              <w:rFonts w:hint="default" w:ascii="Times New Roman" w:hAnsi="Times New Roman"/>
            </w:rPr>
            <m:t> b</m:t>
          </m:r>
          <m:r>
            <m:rPr>
              <m:sty m:val="b"/>
            </m:rPr>
            <w:rPr>
              <w:rFonts w:ascii="Times New Roman" w:hAnsi="Times New Roman"/>
            </w:rPr>
            <m:t>=</m:t>
          </m:r>
          <m:bar>
            <m:barPr>
              <m:pos m:val="top"/>
              <m:ctrlPr>
                <w:rPr>
                  <w:rFonts w:ascii="Cambria Math" w:hAnsi="Cambria Math"/>
                  <w:b/>
                  <w:bCs/>
                </w:rPr>
              </m:ctrlPr>
            </m:barPr>
            <m:e>
              <m:r>
                <m:rPr>
                  <m:sty m:val="bi"/>
                </m:rPr>
                <w:rPr>
                  <w:rFonts w:hint="default" w:ascii="Times New Roman" w:hAnsi="Times New Roman"/>
                </w:rPr>
                <m:t>y</m:t>
              </m:r>
              <m:ctrlPr>
                <w:rPr>
                  <w:rFonts w:ascii="Cambria Math" w:hAnsi="Cambria Math"/>
                  <w:b/>
                  <w:bCs/>
                </w:rPr>
              </m:ctrlPr>
            </m:e>
          </m:bar>
          <m:r>
            <m:rPr>
              <m:sty m:val="b"/>
            </m:rPr>
            <w:rPr>
              <w:rFonts w:ascii="Times New Roman" w:hAnsi="Times New Roman"/>
            </w:rPr>
            <m:t>−</m:t>
          </m:r>
          <m:r>
            <m:rPr>
              <m:sty m:val="bi"/>
            </m:rPr>
            <w:rPr>
              <w:rFonts w:hint="default" w:ascii="Times New Roman" w:hAnsi="Times New Roman"/>
            </w:rPr>
            <m:t>w</m:t>
          </m:r>
          <m:bar>
            <m:barPr>
              <m:pos m:val="top"/>
              <m:ctrlPr>
                <w:rPr>
                  <w:rFonts w:ascii="Cambria Math" w:hAnsi="Cambria Math"/>
                  <w:b/>
                  <w:bCs/>
                </w:rPr>
              </m:ctrlPr>
            </m:barPr>
            <m:e>
              <m:r>
                <m:rPr>
                  <m:sty m:val="bi"/>
                </m:rPr>
                <w:rPr>
                  <w:rFonts w:hint="default" w:ascii="Times New Roman" w:hAnsi="Times New Roman"/>
                </w:rPr>
                <m:t>x</m:t>
              </m:r>
              <m:ctrlPr>
                <w:rPr>
                  <w:rFonts w:ascii="Cambria Math" w:hAnsi="Cambria Math"/>
                  <w:b/>
                  <w:bCs/>
                </w:rPr>
              </m:ctrlPr>
            </m:e>
          </m:bar>
        </m:oMath>
      </m:oMathPara>
    </w:p>
    <w:p w14:paraId="5BED76F6">
      <w:pPr>
        <w:pStyle w:val="4"/>
        <w:spacing w:before="1"/>
        <w:ind w:left="206" w:right="206"/>
        <w:jc w:val="center"/>
        <w:rPr>
          <w:rFonts w:hint="eastAsia" w:eastAsia="宋体"/>
          <w:lang w:val="en-US" w:eastAsia="zh-CN"/>
        </w:rPr>
      </w:pPr>
      <w:r>
        <w:rPr>
          <w:rFonts w:hint="eastAsia" w:eastAsia="宋体"/>
          <w:lang w:val="en-US" w:eastAsia="zh-CN"/>
        </w:rPr>
        <w:t>最小二乘法的优点是直接解析求解，一次计算即可得到最优参数，无需迭代。但在特征数量很大时，计算量会显著增大，且要求矩阵可逆</w:t>
      </w:r>
    </w:p>
    <w:p w14:paraId="221682C2">
      <w:pPr>
        <w:pStyle w:val="4"/>
        <w:spacing w:before="7"/>
        <w:rPr>
          <w:sz w:val="31"/>
        </w:rPr>
      </w:pPr>
    </w:p>
    <w:p w14:paraId="65764689">
      <w:pPr>
        <w:pStyle w:val="3"/>
      </w:pPr>
      <w:r>
        <w:t>M2:</w:t>
      </w:r>
      <w:r>
        <w:rPr>
          <w:spacing w:val="-3"/>
        </w:rPr>
        <w:t xml:space="preserve"> </w:t>
      </w:r>
      <w:r>
        <w:rPr>
          <w:rFonts w:hint="eastAsia" w:eastAsia="宋体"/>
          <w:lang w:val="en-US" w:eastAsia="zh-CN"/>
        </w:rPr>
        <w:t>梯度下降法(GD)</w:t>
      </w:r>
    </w:p>
    <w:p w14:paraId="0ABA767C">
      <w:pPr>
        <w:pStyle w:val="4"/>
        <w:ind w:left="206" w:right="206"/>
        <w:jc w:val="center"/>
        <w:rPr>
          <w:rFonts w:hint="eastAsia" w:ascii="Segoe UI" w:hAnsi="Segoe UI" w:eastAsia="宋体" w:cs="Segoe UI"/>
          <w:i w:val="0"/>
          <w:iCs w:val="0"/>
          <w:caps w:val="0"/>
          <w:color w:val="0F1115"/>
          <w:spacing w:val="0"/>
          <w:sz w:val="24"/>
          <w:szCs w:val="24"/>
          <w:shd w:val="clear" w:fill="FFFFFF"/>
          <w:lang w:eastAsia="zh-CN"/>
        </w:rPr>
      </w:pPr>
      <w:r>
        <w:t>梯度下降法是一种迭代优化算法，通过沿着损失函数梯度的负方向不断更新参数，逐步逼近最优解</w:t>
      </w:r>
      <w:r>
        <w:rPr>
          <w:rFonts w:hint="default"/>
        </w:rPr>
        <w:fldChar w:fldCharType="begin"/>
      </w:r>
      <w:r>
        <w:rPr>
          <w:rFonts w:hint="default"/>
        </w:rPr>
        <w:instrText xml:space="preserve"> HYPERLINK "https://blog.csdn.net/weixin_43283487/article/details/89031760" \t "https://chat.deepseek.com/a/chat/s/_blank" </w:instrText>
      </w:r>
      <w:r>
        <w:rPr>
          <w:rFonts w:hint="default"/>
        </w:rPr>
        <w:fldChar w:fldCharType="separate"/>
      </w:r>
      <w:r>
        <w:rPr>
          <w:rFonts w:hint="default"/>
        </w:rPr>
        <w:fldChar w:fldCharType="end"/>
      </w:r>
      <w:r>
        <w:rPr>
          <w:rFonts w:hint="default"/>
        </w:rPr>
        <w:t>。更新规则</w:t>
      </w:r>
      <w:r>
        <w:rPr>
          <w:rFonts w:hint="eastAsia"/>
          <w:lang w:eastAsia="zh-CN"/>
        </w:rPr>
        <w:t>：</w:t>
      </w:r>
    </w:p>
    <w:p w14:paraId="5EE67463">
      <w:pPr>
        <w:pStyle w:val="13"/>
        <w:rPr>
          <w:b/>
          <w:bCs/>
          <w:i w:val="0"/>
        </w:rPr>
      </w:pPr>
      <m:oMathPara>
        <m:oMath>
          <m:sSub>
            <m:sSubPr>
              <m:ctrlPr>
                <w:rPr>
                  <w:rFonts w:ascii="Cambria Math" w:hAnsi="Cambria Math"/>
                  <w:b/>
                  <w:bCs/>
                </w:rPr>
              </m:ctrlPr>
            </m:sSubPr>
            <m:e>
              <m:r>
                <m:rPr>
                  <m:sty m:val="bi"/>
                </m:rPr>
                <w:rPr>
                  <w:rFonts w:hint="default" w:ascii="Times New Roman" w:hAnsi="Times New Roman"/>
                </w:rPr>
                <m:t>θ</m:t>
              </m:r>
              <m:ctrlPr>
                <w:rPr>
                  <w:rFonts w:ascii="Cambria Math" w:hAnsi="Cambria Math"/>
                  <w:b/>
                  <w:bCs/>
                </w:rPr>
              </m:ctrlPr>
            </m:e>
            <m:sub>
              <m:r>
                <m:rPr>
                  <m:sty m:val="bi"/>
                </m:rPr>
                <w:rPr>
                  <w:rFonts w:hint="default" w:ascii="Times New Roman" w:hAnsi="Times New Roman"/>
                </w:rPr>
                <m:t>j</m:t>
              </m:r>
              <m:ctrlPr>
                <w:rPr>
                  <w:rFonts w:ascii="Cambria Math" w:hAnsi="Cambria Math"/>
                  <w:b/>
                  <w:bCs/>
                </w:rPr>
              </m:ctrlPr>
            </m:sub>
          </m:sSub>
          <m:box>
            <m:boxPr>
              <m:opEmu m:val="1"/>
              <m:ctrlPr>
                <w:rPr>
                  <w:rFonts w:ascii="Cambria Math" w:hAnsi="Cambria Math"/>
                  <w:b/>
                  <w:bCs/>
                </w:rPr>
              </m:ctrlPr>
            </m:boxPr>
            <m:e>
              <m:r>
                <m:rPr>
                  <m:sty m:val="b"/>
                </m:rPr>
                <w:rPr>
                  <w:rFonts w:ascii="Times New Roman" w:hAnsi="Times New Roman"/>
                </w:rPr>
                <m:t>:=</m:t>
              </m:r>
              <m:ctrlPr>
                <w:rPr>
                  <w:rFonts w:ascii="Cambria Math" w:hAnsi="Cambria Math"/>
                  <w:b/>
                  <w:bCs/>
                </w:rPr>
              </m:ctrlPr>
            </m:e>
          </m:box>
          <m:sSub>
            <m:sSubPr>
              <m:ctrlPr>
                <w:rPr>
                  <w:rFonts w:ascii="Cambria Math" w:hAnsi="Cambria Math"/>
                  <w:b/>
                  <w:bCs/>
                </w:rPr>
              </m:ctrlPr>
            </m:sSubPr>
            <m:e>
              <m:r>
                <m:rPr>
                  <m:sty m:val="bi"/>
                </m:rPr>
                <w:rPr>
                  <w:rFonts w:hint="default" w:ascii="Times New Roman" w:hAnsi="Times New Roman"/>
                </w:rPr>
                <m:t>θ</m:t>
              </m:r>
              <m:ctrlPr>
                <w:rPr>
                  <w:rFonts w:ascii="Cambria Math" w:hAnsi="Cambria Math"/>
                  <w:b/>
                  <w:bCs/>
                </w:rPr>
              </m:ctrlPr>
            </m:e>
            <m:sub>
              <m:r>
                <m:rPr>
                  <m:sty m:val="bi"/>
                </m:rPr>
                <w:rPr>
                  <w:rFonts w:hint="default" w:ascii="Times New Roman" w:hAnsi="Times New Roman"/>
                </w:rPr>
                <m:t>j</m:t>
              </m:r>
              <m:ctrlPr>
                <w:rPr>
                  <w:rFonts w:ascii="Cambria Math" w:hAnsi="Cambria Math"/>
                  <w:b/>
                  <w:bCs/>
                </w:rPr>
              </m:ctrlPr>
            </m:sub>
          </m:sSub>
          <m:r>
            <m:rPr>
              <m:sty m:val="b"/>
            </m:rPr>
            <w:rPr>
              <w:rFonts w:ascii="Times New Roman" w:hAnsi="Times New Roman"/>
            </w:rPr>
            <m:t>−</m:t>
          </m:r>
          <m:r>
            <m:rPr>
              <m:sty m:val="bi"/>
            </m:rPr>
            <w:rPr>
              <w:rFonts w:hint="default" w:ascii="Times New Roman" w:hAnsi="Times New Roman"/>
            </w:rPr>
            <m:t>α</m:t>
          </m:r>
          <m:r>
            <m:rPr>
              <m:sty m:val="b"/>
            </m:rPr>
            <w:rPr>
              <w:rFonts w:ascii="Times New Roman" w:hAnsi="Times New Roman"/>
            </w:rPr>
            <m:t>⋅</m:t>
          </m:r>
          <m:f>
            <m:fPr>
              <m:ctrlPr>
                <w:rPr>
                  <w:rFonts w:ascii="Cambria Math" w:hAnsi="Cambria Math"/>
                  <w:b/>
                  <w:bCs/>
                </w:rPr>
              </m:ctrlPr>
            </m:fPr>
            <m:num>
              <m:r>
                <m:rPr>
                  <m:sty m:val="b"/>
                </m:rPr>
                <w:rPr>
                  <w:rFonts w:hint="default" w:ascii="Times New Roman" w:hAnsi="Times New Roman"/>
                </w:rPr>
                <m:t>∂</m:t>
              </m:r>
              <m:r>
                <m:rPr>
                  <m:sty m:val="bi"/>
                </m:rPr>
                <w:rPr>
                  <w:rFonts w:hint="default" w:ascii="Times New Roman" w:hAnsi="Times New Roman"/>
                </w:rPr>
                <m:t>J</m:t>
              </m:r>
              <m:d>
                <m:dPr>
                  <m:sepChr m:val=""/>
                  <m:ctrlPr>
                    <w:rPr>
                      <w:rFonts w:ascii="Cambria Math" w:hAnsi="Cambria Math"/>
                      <w:b/>
                      <w:bCs/>
                    </w:rPr>
                  </m:ctrlPr>
                </m:dPr>
                <m:e>
                  <m:r>
                    <m:rPr>
                      <m:sty m:val="bi"/>
                    </m:rPr>
                    <w:rPr>
                      <w:rFonts w:hint="default" w:ascii="Times New Roman" w:hAnsi="Times New Roman"/>
                    </w:rPr>
                    <m:t>θ</m:t>
                  </m:r>
                  <m:ctrlPr>
                    <w:rPr>
                      <w:rFonts w:ascii="Cambria Math" w:hAnsi="Cambria Math"/>
                      <w:b/>
                      <w:bCs/>
                    </w:rPr>
                  </m:ctrlPr>
                </m:e>
              </m:d>
              <m:ctrlPr>
                <w:rPr>
                  <w:rFonts w:ascii="Cambria Math" w:hAnsi="Cambria Math"/>
                  <w:b/>
                  <w:bCs/>
                </w:rPr>
              </m:ctrlPr>
            </m:num>
            <m:den>
              <m:r>
                <m:rPr>
                  <m:sty m:val="b"/>
                </m:rPr>
                <w:rPr>
                  <w:rFonts w:hint="default" w:ascii="Times New Roman" w:hAnsi="Times New Roman"/>
                </w:rPr>
                <m:t>∂</m:t>
              </m:r>
              <m:sSub>
                <m:sSubPr>
                  <m:ctrlPr>
                    <w:rPr>
                      <w:rFonts w:ascii="Cambria Math" w:hAnsi="Cambria Math"/>
                      <w:b/>
                      <w:bCs/>
                    </w:rPr>
                  </m:ctrlPr>
                </m:sSubPr>
                <m:e>
                  <m:r>
                    <m:rPr>
                      <m:sty m:val="bi"/>
                    </m:rPr>
                    <w:rPr>
                      <w:rFonts w:hint="default" w:ascii="Times New Roman" w:hAnsi="Times New Roman"/>
                    </w:rPr>
                    <m:t>θ</m:t>
                  </m:r>
                  <m:ctrlPr>
                    <w:rPr>
                      <w:rFonts w:ascii="Cambria Math" w:hAnsi="Cambria Math"/>
                      <w:b/>
                      <w:bCs/>
                    </w:rPr>
                  </m:ctrlPr>
                </m:e>
                <m:sub>
                  <m:r>
                    <m:rPr>
                      <m:sty m:val="bi"/>
                    </m:rPr>
                    <w:rPr>
                      <w:rFonts w:hint="default" w:ascii="Times New Roman" w:hAnsi="Times New Roman"/>
                    </w:rPr>
                    <m:t>j</m:t>
                  </m:r>
                  <m:ctrlPr>
                    <w:rPr>
                      <w:rFonts w:ascii="Cambria Math" w:hAnsi="Cambria Math"/>
                      <w:b/>
                      <w:bCs/>
                    </w:rPr>
                  </m:ctrlPr>
                </m:sub>
              </m:sSub>
              <m:ctrlPr>
                <w:rPr>
                  <w:rFonts w:ascii="Cambria Math" w:hAnsi="Cambria Math"/>
                  <w:b/>
                  <w:bCs/>
                </w:rPr>
              </m:ctrlPr>
            </m:den>
          </m:f>
        </m:oMath>
      </m:oMathPara>
    </w:p>
    <w:p w14:paraId="0F60F5DA">
      <w:pPr>
        <w:pStyle w:val="4"/>
        <w:spacing w:before="1"/>
        <w:ind w:left="206" w:right="206"/>
        <w:jc w:val="center"/>
        <w:rPr>
          <w:rFonts w:hint="eastAsia" w:eastAsia="宋体"/>
          <w:lang w:val="en-US" w:eastAsia="zh-CN"/>
        </w:rPr>
      </w:pPr>
      <w:r>
        <w:rPr>
          <w:rFonts w:hint="eastAsia" w:eastAsia="宋体"/>
          <w:lang w:val="en-US" w:eastAsia="zh-CN"/>
        </w:rPr>
        <w:t>其中</w:t>
      </w:r>
      <w:r>
        <w:rPr>
          <w:rFonts w:hint="default" w:eastAsia="宋体"/>
          <w:lang w:val="en-US" w:eastAsia="zh-CN"/>
        </w:rPr>
        <w:t> </w:t>
      </w:r>
      <m:oMath>
        <m:r>
          <m:rPr/>
          <m:t>α</m:t>
        </m:r>
      </m:oMath>
      <w:r>
        <w:rPr>
          <w:rFonts w:hint="default" w:eastAsia="宋体"/>
          <w:lang w:val="en-US" w:eastAsia="zh-CN"/>
        </w:rPr>
        <w:t> 为学习率，控制每次更新的步长。步长太大可能导致错过最优点，太小则收敛缓慢</w:t>
      </w:r>
    </w:p>
    <w:p w14:paraId="08259758">
      <w:pPr>
        <w:pStyle w:val="4"/>
        <w:spacing w:before="1"/>
        <w:ind w:left="206" w:right="206"/>
        <w:jc w:val="center"/>
        <w:rPr>
          <w:rFonts w:hint="eastAsia" w:eastAsia="宋体"/>
          <w:lang w:val="en-US" w:eastAsia="zh-CN"/>
        </w:rPr>
      </w:pPr>
      <w:r>
        <w:rPr>
          <w:rFonts w:hint="eastAsia" w:eastAsia="宋体"/>
          <w:lang w:val="en-US" w:eastAsia="zh-CN"/>
        </w:rPr>
        <w:t>梯度下降适用于大规模数据集，但需要合理设置学习率和迭代次数，且可能陷入局部最优（线性回归的损失函数为凸函数，故可保证收敛到全局最优）</w:t>
      </w:r>
    </w:p>
    <w:p w14:paraId="2A508AD5">
      <w:pPr>
        <w:pStyle w:val="4"/>
        <w:spacing w:before="8"/>
        <w:rPr>
          <w:sz w:val="31"/>
        </w:rPr>
      </w:pPr>
    </w:p>
    <w:p w14:paraId="42C762AD">
      <w:pPr>
        <w:pStyle w:val="3"/>
        <w:rPr>
          <w:rFonts w:hint="eastAsia" w:eastAsia="宋体"/>
          <w:lang w:val="en-US" w:eastAsia="zh-CN"/>
        </w:rPr>
      </w:pPr>
      <w:r>
        <w:t>M3:</w:t>
      </w:r>
      <w:r>
        <w:rPr>
          <w:spacing w:val="-4"/>
        </w:rPr>
        <w:t xml:space="preserve"> </w:t>
      </w:r>
      <w:r>
        <w:rPr>
          <w:rFonts w:hint="eastAsia" w:eastAsia="宋体"/>
          <w:lang w:val="en-US" w:eastAsia="zh-CN"/>
        </w:rPr>
        <w:t>牛顿法</w:t>
      </w:r>
    </w:p>
    <w:p w14:paraId="13CBA150">
      <w:pPr>
        <w:pStyle w:val="4"/>
        <w:spacing w:before="10"/>
        <w:rPr>
          <w:b/>
          <w:sz w:val="31"/>
        </w:rPr>
      </w:pPr>
    </w:p>
    <w:p w14:paraId="03F3DF4E">
      <w:pPr>
        <w:pStyle w:val="4"/>
        <w:ind w:left="206" w:right="206"/>
        <w:jc w:val="center"/>
        <w:rPr>
          <w:rFonts w:hint="default" w:eastAsia="宋体"/>
          <w:lang w:val="en-US" w:eastAsia="zh-CN"/>
        </w:rPr>
      </w:pPr>
      <w:r>
        <w:rPr>
          <w:rFonts w:hint="eastAsia" w:eastAsia="宋体"/>
          <w:lang w:val="en-US" w:eastAsia="zh-CN"/>
        </w:rPr>
        <w:t>牛顿法（Newton-Raphson 方法）是一种迭代求解函数零点的数值方法，用于回归分析中求解参数估计值的问题</w:t>
      </w:r>
      <w:r>
        <w:rPr>
          <w:rFonts w:hint="default" w:eastAsia="宋体"/>
          <w:lang w:val="en-US" w:eastAsia="zh-CN"/>
        </w:rPr>
        <w:fldChar w:fldCharType="begin"/>
      </w:r>
      <w:r>
        <w:rPr>
          <w:rFonts w:hint="default" w:eastAsia="宋体"/>
          <w:lang w:val="en-US" w:eastAsia="zh-CN"/>
        </w:rPr>
        <w:instrText xml:space="preserve"> HYPERLINK "https://juejin.cn/s/python%E7%89%9B%E9%A1%BF%E8%BF%AD%E4%BB%A3%E6%B3%95%E5%9B%9E%E5%BD%92%E5%88%86%E6%9E%90" \t "https://chat.deepseek.com/a/chat/s/_blank" </w:instrText>
      </w:r>
      <w:r>
        <w:rPr>
          <w:rFonts w:hint="default" w:eastAsia="宋体"/>
          <w:lang w:val="en-US" w:eastAsia="zh-CN"/>
        </w:rPr>
        <w:fldChar w:fldCharType="separate"/>
      </w:r>
      <w:r>
        <w:rPr>
          <w:rFonts w:hint="default" w:eastAsia="宋体"/>
          <w:lang w:val="en-US" w:eastAsia="zh-CN"/>
        </w:rPr>
        <w:fldChar w:fldCharType="end"/>
      </w:r>
      <w:r>
        <w:rPr>
          <w:rFonts w:hint="default" w:eastAsia="宋体"/>
          <w:lang w:val="en-US" w:eastAsia="zh-CN"/>
        </w:rPr>
        <w:t>。其迭代更新规则为：</w:t>
      </w:r>
    </w:p>
    <w:p w14:paraId="3B27D9D0">
      <w:pPr>
        <w:pStyle w:val="13"/>
        <w:rPr>
          <w:b/>
          <w:bCs/>
        </w:rPr>
      </w:pPr>
      <m:oMathPara>
        <m:oMath>
          <m:r>
            <m:rPr>
              <m:sty m:val="bi"/>
            </m:rPr>
            <w:rPr>
              <w:rFonts w:hint="default" w:ascii="Times New Roman" w:hAnsi="Times New Roman"/>
            </w:rPr>
            <m:t>θ</m:t>
          </m:r>
          <m:box>
            <m:boxPr>
              <m:opEmu m:val="1"/>
              <m:ctrlPr>
                <w:rPr>
                  <w:rFonts w:ascii="Cambria Math" w:hAnsi="Cambria Math"/>
                  <w:b/>
                  <w:bCs/>
                </w:rPr>
              </m:ctrlPr>
            </m:boxPr>
            <m:e>
              <m:r>
                <m:rPr>
                  <m:sty m:val="b"/>
                </m:rPr>
                <w:rPr>
                  <w:rFonts w:ascii="Times New Roman" w:hAnsi="Times New Roman"/>
                </w:rPr>
                <m:t>:=</m:t>
              </m:r>
              <m:ctrlPr>
                <w:rPr>
                  <w:rFonts w:ascii="Cambria Math" w:hAnsi="Cambria Math"/>
                  <w:b/>
                  <w:bCs/>
                </w:rPr>
              </m:ctrlPr>
            </m:e>
          </m:box>
          <m:r>
            <m:rPr>
              <m:sty m:val="bi"/>
            </m:rPr>
            <w:rPr>
              <w:rFonts w:hint="default" w:ascii="Times New Roman" w:hAnsi="Times New Roman"/>
            </w:rPr>
            <m:t>θ</m:t>
          </m:r>
          <m:r>
            <m:rPr>
              <m:sty m:val="b"/>
            </m:rPr>
            <w:rPr>
              <w:rFonts w:ascii="Times New Roman" w:hAnsi="Times New Roman"/>
            </w:rPr>
            <m:t>−</m:t>
          </m:r>
          <m:sSup>
            <m:sSupPr>
              <m:ctrlPr>
                <w:rPr>
                  <w:rFonts w:ascii="Cambria Math" w:hAnsi="Cambria Math"/>
                  <w:b/>
                  <w:bCs/>
                </w:rPr>
              </m:ctrlPr>
            </m:sSupPr>
            <m:e>
              <m:r>
                <m:rPr>
                  <m:sty m:val="bi"/>
                </m:rPr>
                <w:rPr>
                  <w:rFonts w:hint="default" w:ascii="Times New Roman" w:hAnsi="Times New Roman"/>
                </w:rPr>
                <m:t>H</m:t>
              </m:r>
              <m:ctrlPr>
                <w:rPr>
                  <w:rFonts w:ascii="Cambria Math" w:hAnsi="Cambria Math"/>
                  <w:b/>
                  <w:bCs/>
                </w:rPr>
              </m:ctrlPr>
            </m:e>
            <m:sup>
              <m:r>
                <m:rPr>
                  <m:sty m:val="b"/>
                </m:rPr>
                <w:rPr>
                  <w:rFonts w:ascii="Times New Roman" w:hAnsi="Times New Roman"/>
                </w:rPr>
                <m:t>−</m:t>
              </m:r>
              <m:r>
                <m:rPr>
                  <m:sty m:val="bi"/>
                </m:rPr>
                <w:rPr>
                  <w:rFonts w:hint="default" w:ascii="Times New Roman" w:hAnsi="Times New Roman"/>
                </w:rPr>
                <m:t>1</m:t>
              </m:r>
              <m:ctrlPr>
                <w:rPr>
                  <w:rFonts w:ascii="Cambria Math" w:hAnsi="Cambria Math"/>
                  <w:b/>
                  <w:bCs/>
                </w:rPr>
              </m:ctrlPr>
            </m:sup>
          </m:sSup>
          <m:r>
            <m:rPr>
              <m:sty m:val="b"/>
            </m:rPr>
            <w:rPr>
              <w:rFonts w:hint="default" w:ascii="Times New Roman" w:hAnsi="Times New Roman"/>
            </w:rPr>
            <m:t>⋅∇</m:t>
          </m:r>
          <m:r>
            <m:rPr>
              <m:sty m:val="bi"/>
            </m:rPr>
            <w:rPr>
              <w:rFonts w:hint="default" w:ascii="Times New Roman" w:hAnsi="Times New Roman"/>
            </w:rPr>
            <m:t>J</m:t>
          </m:r>
          <m:d>
            <m:dPr>
              <m:sepChr m:val=""/>
              <m:ctrlPr>
                <w:rPr>
                  <w:rFonts w:ascii="Cambria Math" w:hAnsi="Cambria Math"/>
                  <w:b/>
                  <w:bCs/>
                </w:rPr>
              </m:ctrlPr>
            </m:dPr>
            <m:e>
              <m:r>
                <m:rPr>
                  <m:sty m:val="bi"/>
                </m:rPr>
                <w:rPr>
                  <w:rFonts w:hint="default" w:ascii="Times New Roman" w:hAnsi="Times New Roman"/>
                </w:rPr>
                <m:t>θ</m:t>
              </m:r>
              <m:ctrlPr>
                <w:rPr>
                  <w:rFonts w:ascii="Cambria Math" w:hAnsi="Cambria Math"/>
                  <w:b/>
                  <w:bCs/>
                </w:rPr>
              </m:ctrlPr>
            </m:e>
          </m:d>
        </m:oMath>
      </m:oMathPara>
    </w:p>
    <w:p w14:paraId="0EAC29C9">
      <w:pPr>
        <w:pStyle w:val="4"/>
        <w:ind w:left="206" w:right="206"/>
        <w:jc w:val="center"/>
        <w:rPr>
          <w:rFonts w:hint="eastAsia" w:eastAsia="宋体"/>
          <w:lang w:val="en-US" w:eastAsia="zh-CN"/>
        </w:rPr>
      </w:pPr>
      <w:r>
        <w:rPr>
          <w:rFonts w:hint="eastAsia" w:eastAsia="宋体"/>
          <w:lang w:val="en-US" w:eastAsia="zh-CN"/>
        </w:rPr>
        <w:t>其中</w:t>
      </w:r>
      <w:r>
        <w:rPr>
          <w:rFonts w:hint="default" w:eastAsia="宋体"/>
          <w:lang w:val="en-US" w:eastAsia="zh-CN"/>
        </w:rPr>
        <w:t> </w:t>
      </w:r>
      <m:oMath>
        <m:r>
          <m:rPr>
            <m:sty m:val="p"/>
          </m:rPr>
          <w:rPr>
            <w:rFonts w:hint="eastAsia" w:ascii="Times New Roman" w:hAnsi="Times New Roman" w:eastAsia="宋体"/>
            <w:lang w:val="en-US" w:eastAsia="zh-CN"/>
          </w:rPr>
          <m:t>H</m:t>
        </m:r>
      </m:oMath>
      <w:r>
        <w:rPr>
          <w:rFonts w:hint="default" w:eastAsia="宋体"/>
          <w:lang w:val="en-US" w:eastAsia="zh-CN"/>
        </w:rPr>
        <w:t>为海森矩阵（二阶偏导数矩阵），</w:t>
      </w:r>
      <m:oMath>
        <m:r>
          <m:rPr>
            <m:sty m:val="p"/>
          </m:rPr>
          <w:rPr>
            <w:rFonts w:hint="eastAsia" w:ascii="Times New Roman" w:hAnsi="Times New Roman" w:eastAsia="宋体"/>
            <w:lang w:val="en-US" w:eastAsia="zh-CN"/>
          </w:rPr>
          <m:t>∇J</m:t>
        </m:r>
      </m:oMath>
      <w:r>
        <w:rPr>
          <w:rFonts w:hint="default" w:eastAsia="宋体"/>
          <w:lang w:val="en-US" w:eastAsia="zh-CN"/>
        </w:rPr>
        <w:t> 为梯度向量。牛顿法不仅考虑了梯度方向，还利用了曲率信息（二阶导数），因此收敛速度通常比梯度下降法更快</w:t>
      </w:r>
      <w:r>
        <w:rPr>
          <w:rFonts w:hint="eastAsia" w:eastAsia="宋体"/>
          <w:lang w:val="en-US" w:eastAsia="zh-CN"/>
        </w:rPr>
        <w:t>。</w:t>
      </w:r>
    </w:p>
    <w:p w14:paraId="6649FFD0">
      <w:pPr>
        <w:pStyle w:val="4"/>
        <w:ind w:left="206" w:right="206"/>
        <w:jc w:val="center"/>
        <w:rPr>
          <w:rFonts w:hint="eastAsia" w:eastAsia="宋体"/>
          <w:lang w:val="en-US" w:eastAsia="zh-CN"/>
        </w:rPr>
      </w:pPr>
      <w:r>
        <w:rPr>
          <w:rFonts w:hint="eastAsia" w:eastAsia="宋体"/>
          <w:lang w:val="en-US" w:eastAsia="zh-CN"/>
        </w:rPr>
        <w:t>牛顿法的缺点在于每次迭代都需要计算海森矩阵的逆矩阵，计算复杂度较高，不适用于高维特征的大规模数据。</w:t>
      </w:r>
    </w:p>
    <w:p w14:paraId="7C5E5328">
      <w:pPr>
        <w:pStyle w:val="4"/>
        <w:ind w:left="206" w:right="206"/>
        <w:jc w:val="center"/>
        <w:rPr>
          <w:rFonts w:hint="default" w:eastAsia="宋体"/>
          <w:lang w:val="en-US" w:eastAsia="zh-CN"/>
        </w:rPr>
      </w:pPr>
      <w:r>
        <w:rPr>
          <w:rFonts w:hint="default" w:eastAsia="宋体"/>
          <w:lang w:val="en-US" w:eastAsia="zh-CN"/>
        </w:rPr>
        <w:fldChar w:fldCharType="begin"/>
      </w:r>
      <w:r>
        <w:rPr>
          <w:rFonts w:hint="default" w:eastAsia="宋体"/>
          <w:lang w:val="en-US" w:eastAsia="zh-CN"/>
        </w:rPr>
        <w:instrText xml:space="preserve"> HYPERLINK "https://zhuanlan.zhihu.com/p/387620025" \t "https://chat.deepseek.com/a/chat/s/_blank" </w:instrText>
      </w:r>
      <w:r>
        <w:rPr>
          <w:rFonts w:hint="default" w:eastAsia="宋体"/>
          <w:lang w:val="en-US" w:eastAsia="zh-CN"/>
        </w:rPr>
        <w:fldChar w:fldCharType="separate"/>
      </w:r>
      <w:r>
        <w:rPr>
          <w:rFonts w:hint="default" w:eastAsia="宋体"/>
          <w:lang w:val="en-US" w:eastAsia="zh-CN"/>
        </w:rPr>
        <w:fldChar w:fldCharType="end"/>
      </w:r>
    </w:p>
    <w:p w14:paraId="2CD09A0E">
      <w:pPr>
        <w:pStyle w:val="3"/>
        <w:rPr>
          <w:spacing w:val="-4"/>
        </w:rPr>
      </w:pPr>
      <w:r>
        <w:rPr>
          <w:spacing w:val="-4"/>
        </w:rPr>
        <w:t>M</w:t>
      </w:r>
      <w:r>
        <w:rPr>
          <w:rFonts w:hint="eastAsia" w:eastAsia="宋体"/>
          <w:spacing w:val="-4"/>
          <w:lang w:val="en-US" w:eastAsia="zh-CN"/>
        </w:rPr>
        <w:t>4</w:t>
      </w:r>
      <w:r>
        <w:rPr>
          <w:spacing w:val="-4"/>
        </w:rPr>
        <w:t xml:space="preserve">: </w:t>
      </w:r>
      <w:r>
        <w:rPr>
          <w:rFonts w:hint="eastAsia"/>
          <w:spacing w:val="-4"/>
          <w:lang w:val="en-US" w:eastAsia="zh-CN"/>
        </w:rPr>
        <w:t>高斯过程回归</w:t>
      </w:r>
    </w:p>
    <w:p w14:paraId="084EC0BA">
      <w:pPr>
        <w:pStyle w:val="4"/>
        <w:ind w:left="206" w:right="206"/>
        <w:jc w:val="center"/>
        <w:rPr>
          <w:rFonts w:hint="eastAsia" w:eastAsia="宋体"/>
          <w:lang w:val="en-US" w:eastAsia="zh-CN"/>
        </w:rPr>
      </w:pPr>
      <w:r>
        <w:rPr>
          <w:rFonts w:hint="eastAsia" w:eastAsia="宋体"/>
          <w:lang w:val="en-US" w:eastAsia="zh-CN"/>
        </w:rPr>
        <w:t>高斯过程回归是一种基于贝叶斯框架的非参数概率机器学习模型。与传统的参数化回归（如线性回归、多项式拟合）不同，GPR 不对函数形式做硬性假设，而是通过在函数空间上定义高斯过程先验来捕捉数据的内在规律。</w:t>
      </w:r>
    </w:p>
    <w:p w14:paraId="168C9813">
      <w:pPr>
        <w:pStyle w:val="4"/>
        <w:ind w:left="206" w:right="206"/>
        <w:jc w:val="center"/>
        <w:rPr>
          <w:rFonts w:hint="default" w:eastAsia="宋体"/>
          <w:lang w:val="en-US" w:eastAsia="zh-CN"/>
        </w:rPr>
      </w:pPr>
      <w:r>
        <w:rPr>
          <w:rFonts w:hint="eastAsia" w:eastAsia="宋体"/>
          <w:lang w:val="en-US" w:eastAsia="zh-CN"/>
        </w:rPr>
        <w:t>核心思想</w:t>
      </w:r>
      <w:r>
        <w:rPr>
          <w:rFonts w:hint="default" w:eastAsia="宋体"/>
          <w:lang w:val="en-US" w:eastAsia="zh-CN"/>
        </w:rPr>
        <w:t>：假设目标函数 </w:t>
      </w:r>
      <w:r>
        <w:rPr>
          <w:rFonts w:hint="eastAsia" w:eastAsia="宋体"/>
          <w:lang w:val="en-US" w:eastAsia="zh-CN"/>
        </w:rPr>
        <w:t>f(x)</w:t>
      </w:r>
      <w:r>
        <w:rPr>
          <w:rFonts w:hint="default" w:eastAsia="宋体"/>
          <w:lang w:val="en-US" w:eastAsia="zh-CN"/>
        </w:rPr>
        <w:t> 服从高斯过程，即任意有限个输入点对应的函数值构成一个联合高斯分布。该分布由均值函数 </w:t>
      </w:r>
      <w:r>
        <w:rPr>
          <w:rFonts w:hint="eastAsia" w:eastAsia="宋体"/>
          <w:lang w:val="en-US" w:eastAsia="zh-CN"/>
        </w:rPr>
        <w:t>m(x)</w:t>
      </w:r>
      <w:r>
        <w:rPr>
          <w:rFonts w:hint="default" w:eastAsia="宋体"/>
          <w:lang w:val="en-US" w:eastAsia="zh-CN"/>
        </w:rPr>
        <w:t>和协方差函数（核函数）</w:t>
      </w:r>
      <w:r>
        <w:rPr>
          <w:rFonts w:hint="eastAsia" w:eastAsia="宋体"/>
          <w:lang w:val="en-US" w:eastAsia="zh-CN"/>
        </w:rPr>
        <w:t>k(x,x</w:t>
      </w:r>
      <w:r>
        <w:rPr>
          <w:rFonts w:hint="default" w:eastAsia="宋体"/>
          <w:lang w:val="en-US" w:eastAsia="zh-CN"/>
        </w:rPr>
        <w:t>’</w:t>
      </w:r>
      <w:r>
        <w:rPr>
          <w:rFonts w:hint="eastAsia" w:eastAsia="宋体"/>
          <w:lang w:val="en-US" w:eastAsia="zh-CN"/>
        </w:rPr>
        <w:t>)</w:t>
      </w:r>
      <w:r>
        <w:rPr>
          <w:rFonts w:hint="default" w:eastAsia="宋体"/>
          <w:lang w:val="en-US" w:eastAsia="zh-CN"/>
        </w:rPr>
        <w:t>完全决定：</w:t>
      </w:r>
    </w:p>
    <w:p w14:paraId="4A81CC41">
      <w:pPr>
        <w:pStyle w:val="4"/>
        <w:ind w:left="206" w:right="206"/>
        <w:jc w:val="center"/>
        <w:rPr>
          <w:rFonts w:hint="default" w:eastAsia="宋体"/>
          <w:b/>
          <w:bCs/>
          <w:lang w:val="en-US" w:eastAsia="zh-CN"/>
        </w:rPr>
      </w:pPr>
      <w:r>
        <w:rPr>
          <w:rFonts w:hint="eastAsia" w:eastAsia="宋体"/>
          <w:b/>
          <w:bCs/>
          <w:lang w:val="en-US" w:eastAsia="zh-CN"/>
        </w:rPr>
        <w:t>f(x)~GP(m(x),k(x,x</w:t>
      </w:r>
      <w:r>
        <w:rPr>
          <w:rFonts w:hint="default" w:eastAsia="宋体"/>
          <w:b/>
          <w:bCs/>
          <w:lang w:val="en-US" w:eastAsia="zh-CN"/>
        </w:rPr>
        <w:t>’</w:t>
      </w:r>
      <w:r>
        <w:rPr>
          <w:rFonts w:hint="eastAsia" w:eastAsia="宋体"/>
          <w:b/>
          <w:bCs/>
          <w:lang w:val="en-US" w:eastAsia="zh-CN"/>
        </w:rPr>
        <w:t>))</w:t>
      </w:r>
    </w:p>
    <w:p w14:paraId="191EDBBB">
      <w:pPr>
        <w:pStyle w:val="4"/>
        <w:ind w:left="206" w:right="206"/>
        <w:jc w:val="center"/>
        <w:rPr>
          <w:rFonts w:hint="default" w:eastAsia="宋体"/>
          <w:lang w:val="en-US" w:eastAsia="zh-CN"/>
        </w:rPr>
      </w:pPr>
      <w:r>
        <w:rPr>
          <w:rFonts w:hint="eastAsia" w:eastAsia="宋体"/>
          <w:lang w:val="en-US" w:eastAsia="zh-CN"/>
        </w:rPr>
        <w:t>给定训练数据</w:t>
      </w:r>
      <w:r>
        <w:rPr>
          <w:rFonts w:hint="default" w:eastAsia="宋体"/>
          <w:lang w:val="en-US" w:eastAsia="zh-CN"/>
        </w:rPr>
        <w:t> </w:t>
      </w:r>
      <w:r>
        <w:rPr>
          <w:rFonts w:hint="eastAsia" w:eastAsia="宋体"/>
          <w:lang w:val="en-US" w:eastAsia="zh-CN"/>
        </w:rPr>
        <w:t>{</w:t>
      </w:r>
      <w:r>
        <w:rPr>
          <w:rFonts w:hint="default" w:eastAsia="宋体"/>
          <w:lang w:val="en-US" w:eastAsia="zh-CN"/>
        </w:rPr>
        <w:t>(xi,yi)}</w:t>
      </w:r>
      <w:r>
        <w:rPr>
          <w:rFonts w:hint="eastAsia" w:eastAsia="宋体"/>
          <w:lang w:val="en-US" w:eastAsia="zh-CN"/>
        </w:rPr>
        <w:t>,</w:t>
      </w:r>
      <w:r>
        <w:rPr>
          <w:rFonts w:hint="default" w:eastAsia="宋体"/>
          <w:lang w:val="en-US" w:eastAsia="zh-CN"/>
        </w:rPr>
        <w:t>GPR 利用贝叶斯推理得到预测点的后验分布，从而输出预测均值（点估计）和预测方差（不确定性度量）。</w:t>
      </w:r>
    </w:p>
    <w:p w14:paraId="367F8DCA">
      <w:pPr>
        <w:pStyle w:val="4"/>
        <w:ind w:left="206" w:right="206"/>
        <w:jc w:val="center"/>
        <w:rPr>
          <w:rFonts w:hint="eastAsia" w:eastAsia="宋体"/>
          <w:lang w:val="en-US" w:eastAsia="zh-CN"/>
        </w:rPr>
      </w:pPr>
    </w:p>
    <w:p w14:paraId="3F4720BA">
      <w:pPr>
        <w:pStyle w:val="4"/>
        <w:ind w:left="206" w:right="206"/>
        <w:jc w:val="center"/>
        <w:rPr>
          <w:rFonts w:hint="eastAsia" w:eastAsia="宋体"/>
          <w:lang w:val="en-US" w:eastAsia="zh-CN"/>
        </w:rPr>
      </w:pPr>
      <w:r>
        <w:rPr>
          <w:rFonts w:hint="eastAsia" w:eastAsia="宋体"/>
          <w:lang w:val="en-US" w:eastAsia="zh-CN"/>
        </w:rPr>
        <w:t>选择高斯过程回归对该数据进行拟合的原因主要为以下两点：</w:t>
      </w:r>
    </w:p>
    <w:p w14:paraId="24F803F3">
      <w:pPr>
        <w:pStyle w:val="4"/>
        <w:numPr>
          <w:ilvl w:val="0"/>
          <w:numId w:val="1"/>
        </w:numPr>
        <w:ind w:left="425" w:leftChars="0" w:right="206" w:hanging="425" w:firstLineChars="0"/>
        <w:jc w:val="center"/>
        <w:rPr>
          <w:rFonts w:hint="eastAsia" w:eastAsia="宋体"/>
          <w:lang w:val="en-US" w:eastAsia="zh-CN"/>
        </w:rPr>
      </w:pPr>
      <w:r>
        <w:rPr>
          <w:rFonts w:hint="eastAsia" w:eastAsia="宋体"/>
          <w:lang w:val="en-US" w:eastAsia="zh-CN"/>
        </w:rPr>
        <w:t>非参数灵活性：通过核函数设计可逼近任意连续函数，尤其适合具有周期性、趋势、局部波动等多尺度特征的数据。</w:t>
      </w:r>
    </w:p>
    <w:p w14:paraId="4AC12809">
      <w:pPr>
        <w:pStyle w:val="4"/>
        <w:numPr>
          <w:ilvl w:val="0"/>
          <w:numId w:val="1"/>
        </w:numPr>
        <w:ind w:left="425" w:leftChars="0" w:right="206" w:hanging="425" w:firstLineChars="0"/>
        <w:jc w:val="center"/>
        <w:rPr>
          <w:rFonts w:hint="default" w:eastAsia="宋体"/>
          <w:lang w:val="en-US" w:eastAsia="zh-CN"/>
        </w:rPr>
      </w:pPr>
      <w:r>
        <w:rPr>
          <w:rFonts w:hint="default" w:eastAsia="宋体"/>
          <w:lang w:val="en-US" w:eastAsia="zh-CN"/>
        </w:rPr>
        <w:t>小样本友好</w:t>
      </w:r>
      <w:r>
        <w:rPr>
          <w:rFonts w:hint="eastAsia" w:eastAsia="宋体"/>
          <w:lang w:val="en-US" w:eastAsia="zh-CN"/>
        </w:rPr>
        <w:t>：在数据量适中（几百以内）时表现优异，且提供平滑插值</w:t>
      </w:r>
    </w:p>
    <w:p w14:paraId="29FF3FE0">
      <w:pPr>
        <w:pStyle w:val="4"/>
        <w:spacing w:before="3"/>
        <w:rPr>
          <w:rFonts w:hint="default" w:eastAsia="宋体"/>
          <w:sz w:val="19"/>
          <w:lang w:val="en-US" w:eastAsia="zh-CN"/>
        </w:rPr>
      </w:pPr>
    </w:p>
    <w:p w14:paraId="640AA58E">
      <w:pPr>
        <w:pStyle w:val="2"/>
        <w:ind w:left="205"/>
        <w:rPr>
          <w:rFonts w:hint="default" w:eastAsia="宋体"/>
          <w:lang w:val="en-US" w:eastAsia="zh-CN"/>
        </w:rPr>
      </w:pPr>
      <w:r>
        <w:rPr>
          <w:rFonts w:hint="eastAsia" w:eastAsia="宋体"/>
          <w:lang w:val="en-US" w:eastAsia="zh-CN"/>
        </w:rPr>
        <w:t>实验探究</w:t>
      </w:r>
    </w:p>
    <w:p w14:paraId="08308EF1">
      <w:pPr>
        <w:pStyle w:val="4"/>
        <w:numPr>
          <w:ilvl w:val="0"/>
          <w:numId w:val="2"/>
        </w:numPr>
        <w:spacing w:before="164"/>
        <w:ind w:left="0" w:leftChars="0" w:right="206" w:firstLine="420" w:firstLineChars="0"/>
        <w:jc w:val="center"/>
      </w:pPr>
      <w:r>
        <w:rPr>
          <w:rFonts w:hint="eastAsia" w:eastAsia="宋体"/>
          <w:lang w:val="en-US" w:eastAsia="zh-CN"/>
        </w:rPr>
        <w:t>线性模型</w:t>
      </w:r>
    </w:p>
    <w:p w14:paraId="65B9CAD2">
      <w:pPr>
        <w:pStyle w:val="4"/>
        <w:ind w:left="206" w:right="206"/>
        <w:jc w:val="center"/>
        <w:rPr>
          <w:rFonts w:hint="eastAsia" w:eastAsia="宋体"/>
          <w:lang w:val="en-US" w:eastAsia="zh-CN"/>
        </w:rPr>
      </w:pPr>
      <w:r>
        <w:rPr>
          <w:rFonts w:hint="eastAsia" w:eastAsia="宋体"/>
          <w:lang w:val="en-US" w:eastAsia="zh-CN"/>
        </w:rPr>
        <w:t>设模型参数为y = w x + b，通过编写python程序分别使用最小二乘法，梯度下降法(GD)和牛顿法对参数w和b进行拟合，拟合结果如下：</w:t>
      </w:r>
    </w:p>
    <w:p w14:paraId="6CDD77AA">
      <w:pPr>
        <w:pStyle w:val="4"/>
        <w:ind w:left="206" w:right="206"/>
        <w:jc w:val="center"/>
        <w:rPr>
          <w:rFonts w:hint="eastAsia" w:eastAsia="宋体"/>
          <w:lang w:val="en-US" w:eastAsia="zh-CN"/>
        </w:rPr>
      </w:pPr>
    </w:p>
    <w:p w14:paraId="6030B560">
      <w:pPr>
        <w:pStyle w:val="4"/>
        <w:ind w:left="206" w:right="206"/>
        <w:jc w:val="center"/>
        <w:rPr>
          <w:rFonts w:hint="eastAsia" w:eastAsia="宋体"/>
          <w:lang w:val="en-US" w:eastAsia="zh-CN"/>
        </w:rPr>
      </w:pPr>
    </w:p>
    <w:p w14:paraId="29DF7216">
      <w:pPr>
        <w:pStyle w:val="4"/>
        <w:ind w:left="206" w:right="206"/>
        <w:jc w:val="center"/>
        <w:rPr>
          <w:rFonts w:hint="eastAsia" w:eastAsia="宋体"/>
          <w:lang w:val="en-US" w:eastAsia="zh-CN"/>
        </w:rPr>
      </w:pPr>
    </w:p>
    <w:p w14:paraId="4820EE5A">
      <w:pPr>
        <w:rPr>
          <w:rFonts w:hint="eastAsia"/>
          <w:lang w:val="en-US" w:eastAsia="zh-CN"/>
        </w:rPr>
      </w:pPr>
      <w:r>
        <w:t>Table</w:t>
      </w:r>
      <w:r>
        <w:rPr>
          <w:spacing w:val="-3"/>
        </w:rPr>
        <w:t xml:space="preserve"> </w:t>
      </w:r>
      <w:r>
        <w:rPr>
          <w:rFonts w:hint="eastAsia"/>
          <w:lang w:val="en-US" w:eastAsia="zh-CN"/>
        </w:rPr>
        <w:t>1</w:t>
      </w:r>
      <w:r>
        <w:t>:</w:t>
      </w:r>
      <w:r>
        <w:rPr>
          <w:spacing w:val="-3"/>
        </w:rPr>
        <w:t xml:space="preserve"> </w:t>
      </w:r>
      <w:r>
        <w:rPr>
          <w:rFonts w:hint="eastAsia"/>
          <w:spacing w:val="-3"/>
          <w:lang w:val="en-US" w:eastAsia="zh-CN"/>
        </w:rPr>
        <w:t>线性</w:t>
      </w:r>
      <w:r>
        <w:rPr>
          <w:rFonts w:hint="eastAsia"/>
          <w:lang w:val="en-US" w:eastAsia="zh-CN"/>
        </w:rPr>
        <w:t>模型参数</w:t>
      </w:r>
    </w:p>
    <w:p w14:paraId="1A11C733">
      <w:pPr>
        <w:rPr>
          <w:rFonts w:hint="eastAsia"/>
          <w:lang w:val="en-US" w:eastAsia="zh-CN"/>
        </w:rPr>
      </w:pPr>
    </w:p>
    <w:tbl>
      <w:tblPr>
        <w:tblStyle w:val="7"/>
        <w:tblW w:w="8057" w:type="dxa"/>
        <w:tblInd w:w="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36"/>
        <w:gridCol w:w="2894"/>
        <w:gridCol w:w="2327"/>
      </w:tblGrid>
      <w:tr w14:paraId="38E00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836" w:type="dxa"/>
          </w:tcPr>
          <w:p w14:paraId="76874802">
            <w:pPr>
              <w:pStyle w:val="12"/>
              <w:spacing w:before="36"/>
              <w:ind w:left="556" w:right="550"/>
              <w:jc w:val="center"/>
              <w:rPr>
                <w:sz w:val="21"/>
              </w:rPr>
            </w:pPr>
            <w:r>
              <w:rPr>
                <w:rFonts w:hint="eastAsia"/>
                <w:lang w:val="en-US" w:eastAsia="zh-CN"/>
              </w:rPr>
              <w:t>模型参数</w:t>
            </w:r>
          </w:p>
        </w:tc>
        <w:tc>
          <w:tcPr>
            <w:tcW w:w="2894" w:type="dxa"/>
          </w:tcPr>
          <w:p w14:paraId="791D3391">
            <w:pPr>
              <w:pStyle w:val="12"/>
              <w:spacing w:before="36"/>
              <w:ind w:left="556" w:right="547"/>
              <w:jc w:val="center"/>
              <w:rPr>
                <w:rFonts w:hint="eastAsia" w:eastAsia="宋体"/>
                <w:sz w:val="20"/>
                <w:lang w:val="en-US" w:eastAsia="zh-CN"/>
              </w:rPr>
            </w:pPr>
            <w:r>
              <w:rPr>
                <w:rFonts w:hint="eastAsia" w:eastAsia="宋体"/>
                <w:lang w:val="en-US" w:eastAsia="zh-CN"/>
              </w:rPr>
              <w:t>w</w:t>
            </w:r>
          </w:p>
        </w:tc>
        <w:tc>
          <w:tcPr>
            <w:tcW w:w="2327" w:type="dxa"/>
          </w:tcPr>
          <w:p w14:paraId="2AA31ABC">
            <w:pPr>
              <w:pStyle w:val="12"/>
              <w:jc w:val="center"/>
              <w:rPr>
                <w:rFonts w:hint="eastAsia" w:eastAsia="宋体"/>
                <w:sz w:val="20"/>
                <w:lang w:val="en-US" w:eastAsia="zh-CN"/>
              </w:rPr>
            </w:pPr>
            <w:r>
              <w:rPr>
                <w:rFonts w:hint="eastAsia" w:eastAsia="宋体"/>
                <w:sz w:val="20"/>
                <w:lang w:val="en-US" w:eastAsia="zh-CN"/>
              </w:rPr>
              <w:t>b</w:t>
            </w:r>
          </w:p>
        </w:tc>
      </w:tr>
      <w:tr w14:paraId="36957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836" w:type="dxa"/>
          </w:tcPr>
          <w:p w14:paraId="64F2FBAC">
            <w:pPr>
              <w:pStyle w:val="12"/>
              <w:spacing w:before="36"/>
              <w:ind w:left="556" w:right="547"/>
              <w:jc w:val="center"/>
              <w:rPr>
                <w:sz w:val="21"/>
              </w:rPr>
            </w:pPr>
            <w:r>
              <w:rPr>
                <w:rFonts w:hint="eastAsia" w:eastAsia="宋体"/>
                <w:lang w:val="en-US" w:eastAsia="zh-CN"/>
              </w:rPr>
              <w:t>最小二乘法</w:t>
            </w:r>
          </w:p>
        </w:tc>
        <w:tc>
          <w:tcPr>
            <w:tcW w:w="2894" w:type="dxa"/>
          </w:tcPr>
          <w:p w14:paraId="552D6D56">
            <w:pPr>
              <w:pStyle w:val="12"/>
              <w:jc w:val="center"/>
              <w:rPr>
                <w:sz w:val="20"/>
              </w:rPr>
            </w:pPr>
            <w:r>
              <w:rPr>
                <w:rFonts w:hint="eastAsia"/>
                <w:sz w:val="20"/>
              </w:rPr>
              <w:t>0.108947</w:t>
            </w:r>
          </w:p>
        </w:tc>
        <w:tc>
          <w:tcPr>
            <w:tcW w:w="2327" w:type="dxa"/>
          </w:tcPr>
          <w:p w14:paraId="661CF17C">
            <w:pPr>
              <w:pStyle w:val="12"/>
              <w:jc w:val="center"/>
              <w:rPr>
                <w:sz w:val="20"/>
              </w:rPr>
            </w:pPr>
            <w:r>
              <w:rPr>
                <w:rFonts w:hint="eastAsia"/>
                <w:sz w:val="20"/>
              </w:rPr>
              <w:t>-0.648747</w:t>
            </w:r>
          </w:p>
        </w:tc>
      </w:tr>
      <w:tr w14:paraId="0F5FB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836" w:type="dxa"/>
          </w:tcPr>
          <w:p w14:paraId="35B7FB96">
            <w:pPr>
              <w:pStyle w:val="12"/>
              <w:spacing w:before="36"/>
              <w:ind w:left="556" w:right="547"/>
              <w:jc w:val="center"/>
              <w:rPr>
                <w:sz w:val="21"/>
              </w:rPr>
            </w:pPr>
            <w:r>
              <w:rPr>
                <w:rFonts w:hint="eastAsia" w:eastAsia="宋体"/>
                <w:lang w:val="en-US" w:eastAsia="zh-CN"/>
              </w:rPr>
              <w:t>梯度下降法</w:t>
            </w:r>
          </w:p>
        </w:tc>
        <w:tc>
          <w:tcPr>
            <w:tcW w:w="2894" w:type="dxa"/>
          </w:tcPr>
          <w:p w14:paraId="52DCCC71">
            <w:pPr>
              <w:pStyle w:val="12"/>
              <w:jc w:val="center"/>
              <w:rPr>
                <w:sz w:val="20"/>
              </w:rPr>
            </w:pPr>
            <w:r>
              <w:rPr>
                <w:rFonts w:hint="eastAsia"/>
                <w:sz w:val="20"/>
              </w:rPr>
              <w:t>0.100799</w:t>
            </w:r>
          </w:p>
        </w:tc>
        <w:tc>
          <w:tcPr>
            <w:tcW w:w="2327" w:type="dxa"/>
          </w:tcPr>
          <w:p w14:paraId="5150ABFA">
            <w:pPr>
              <w:pStyle w:val="12"/>
              <w:jc w:val="center"/>
              <w:rPr>
                <w:sz w:val="20"/>
              </w:rPr>
            </w:pPr>
            <w:r>
              <w:rPr>
                <w:rFonts w:hint="eastAsia"/>
                <w:sz w:val="20"/>
              </w:rPr>
              <w:t>-0.594554</w:t>
            </w:r>
          </w:p>
        </w:tc>
      </w:tr>
      <w:tr w14:paraId="21098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836" w:type="dxa"/>
          </w:tcPr>
          <w:p w14:paraId="584FE17A">
            <w:pPr>
              <w:pStyle w:val="12"/>
              <w:spacing w:before="39"/>
              <w:ind w:left="556" w:right="547"/>
              <w:jc w:val="center"/>
              <w:rPr>
                <w:sz w:val="21"/>
              </w:rPr>
            </w:pPr>
            <w:r>
              <w:rPr>
                <w:rFonts w:hint="eastAsia" w:eastAsia="宋体"/>
                <w:lang w:val="en-US" w:eastAsia="zh-CN"/>
              </w:rPr>
              <w:t>牛顿法</w:t>
            </w:r>
          </w:p>
        </w:tc>
        <w:tc>
          <w:tcPr>
            <w:tcW w:w="2894" w:type="dxa"/>
          </w:tcPr>
          <w:p w14:paraId="095B68F4">
            <w:pPr>
              <w:pStyle w:val="12"/>
              <w:jc w:val="center"/>
              <w:rPr>
                <w:sz w:val="20"/>
              </w:rPr>
            </w:pPr>
            <w:r>
              <w:rPr>
                <w:rFonts w:hint="eastAsia"/>
                <w:sz w:val="20"/>
              </w:rPr>
              <w:t>0.108947</w:t>
            </w:r>
          </w:p>
        </w:tc>
        <w:tc>
          <w:tcPr>
            <w:tcW w:w="2327" w:type="dxa"/>
          </w:tcPr>
          <w:p w14:paraId="39A7B127">
            <w:pPr>
              <w:pStyle w:val="12"/>
              <w:jc w:val="center"/>
              <w:rPr>
                <w:sz w:val="20"/>
              </w:rPr>
            </w:pPr>
            <w:r>
              <w:rPr>
                <w:rFonts w:hint="eastAsia"/>
                <w:sz w:val="20"/>
              </w:rPr>
              <w:t>-0.648747</w:t>
            </w:r>
          </w:p>
        </w:tc>
      </w:tr>
    </w:tbl>
    <w:p w14:paraId="114CD4CC">
      <w:pPr>
        <w:rPr>
          <w:rFonts w:hint="eastAsia"/>
          <w:lang w:eastAsia="zh-CN"/>
        </w:rPr>
      </w:pPr>
    </w:p>
    <w:p w14:paraId="4F5F589E">
      <w:pPr>
        <w:rPr>
          <w:rFonts w:hint="default"/>
          <w:lang w:val="en-US" w:eastAsia="zh-CN"/>
        </w:rPr>
      </w:pPr>
      <w:r>
        <w:t>Table</w:t>
      </w:r>
      <w:r>
        <w:rPr>
          <w:spacing w:val="-3"/>
        </w:rPr>
        <w:t xml:space="preserve"> </w:t>
      </w:r>
      <w:r>
        <w:rPr>
          <w:rFonts w:hint="eastAsia"/>
          <w:lang w:val="en-US" w:eastAsia="zh-CN"/>
        </w:rPr>
        <w:t>2</w:t>
      </w:r>
      <w:r>
        <w:t>:</w:t>
      </w:r>
      <w:r>
        <w:rPr>
          <w:spacing w:val="-3"/>
        </w:rPr>
        <w:t xml:space="preserve"> </w:t>
      </w:r>
      <w:r>
        <w:rPr>
          <w:rFonts w:hint="eastAsia"/>
          <w:spacing w:val="-3"/>
          <w:lang w:val="en-US" w:eastAsia="zh-CN"/>
        </w:rPr>
        <w:t>线性</w:t>
      </w:r>
      <w:r>
        <w:rPr>
          <w:rFonts w:hint="eastAsia"/>
          <w:lang w:val="en-US" w:eastAsia="zh-CN"/>
        </w:rPr>
        <w:t>误差结果</w:t>
      </w:r>
    </w:p>
    <w:p w14:paraId="4A163BEF">
      <w:pPr>
        <w:rPr>
          <w:rFonts w:hint="eastAsia"/>
          <w:lang w:val="en-US" w:eastAsia="zh-CN"/>
        </w:rPr>
      </w:pPr>
    </w:p>
    <w:tbl>
      <w:tblPr>
        <w:tblStyle w:val="7"/>
        <w:tblW w:w="8048" w:type="dxa"/>
        <w:tblInd w:w="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36"/>
        <w:gridCol w:w="2885"/>
        <w:gridCol w:w="2327"/>
      </w:tblGrid>
      <w:tr w14:paraId="27791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836" w:type="dxa"/>
          </w:tcPr>
          <w:p w14:paraId="5351AC12">
            <w:pPr>
              <w:pStyle w:val="12"/>
              <w:spacing w:before="36"/>
              <w:ind w:left="556" w:right="550"/>
              <w:jc w:val="center"/>
              <w:rPr>
                <w:sz w:val="21"/>
              </w:rPr>
            </w:pPr>
            <w:r>
              <w:rPr>
                <w:rFonts w:hint="eastAsia"/>
                <w:lang w:val="en-US" w:eastAsia="zh-CN"/>
              </w:rPr>
              <w:t>误差</w:t>
            </w:r>
          </w:p>
        </w:tc>
        <w:tc>
          <w:tcPr>
            <w:tcW w:w="2885" w:type="dxa"/>
          </w:tcPr>
          <w:p w14:paraId="1E662D2D">
            <w:pPr>
              <w:pStyle w:val="12"/>
              <w:spacing w:before="36"/>
              <w:ind w:left="556" w:right="547"/>
              <w:jc w:val="center"/>
              <w:rPr>
                <w:rFonts w:hint="eastAsia" w:eastAsia="宋体"/>
                <w:sz w:val="20"/>
                <w:lang w:val="en-US" w:eastAsia="zh-CN"/>
              </w:rPr>
            </w:pPr>
            <w:r>
              <w:rPr>
                <w:rFonts w:hint="eastAsia" w:eastAsia="宋体"/>
                <w:lang w:val="en-US" w:eastAsia="zh-CN"/>
              </w:rPr>
              <w:t>训练误差 (MSE)</w:t>
            </w:r>
          </w:p>
        </w:tc>
        <w:tc>
          <w:tcPr>
            <w:tcW w:w="2327" w:type="dxa"/>
          </w:tcPr>
          <w:p w14:paraId="06645367">
            <w:pPr>
              <w:pStyle w:val="12"/>
              <w:jc w:val="center"/>
              <w:rPr>
                <w:rFonts w:hint="eastAsia" w:eastAsia="宋体"/>
                <w:sz w:val="20"/>
                <w:lang w:val="en-US" w:eastAsia="zh-CN"/>
              </w:rPr>
            </w:pPr>
            <w:r>
              <w:rPr>
                <w:rFonts w:hint="eastAsia" w:eastAsia="宋体"/>
                <w:sz w:val="20"/>
                <w:lang w:val="en-US" w:eastAsia="zh-CN"/>
              </w:rPr>
              <w:t>测试误差 (MSE)</w:t>
            </w:r>
          </w:p>
        </w:tc>
      </w:tr>
      <w:tr w14:paraId="7D06A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836" w:type="dxa"/>
          </w:tcPr>
          <w:p w14:paraId="3BBBEB27">
            <w:pPr>
              <w:pStyle w:val="12"/>
              <w:spacing w:before="36"/>
              <w:ind w:left="556" w:right="547"/>
              <w:jc w:val="center"/>
              <w:rPr>
                <w:sz w:val="21"/>
              </w:rPr>
            </w:pPr>
            <w:r>
              <w:rPr>
                <w:rFonts w:hint="eastAsia" w:eastAsia="宋体"/>
                <w:lang w:val="en-US" w:eastAsia="zh-CN"/>
              </w:rPr>
              <w:t>最小二乘法</w:t>
            </w:r>
          </w:p>
        </w:tc>
        <w:tc>
          <w:tcPr>
            <w:tcW w:w="2885" w:type="dxa"/>
          </w:tcPr>
          <w:p w14:paraId="586B0E0F">
            <w:pPr>
              <w:pStyle w:val="12"/>
              <w:jc w:val="center"/>
              <w:rPr>
                <w:sz w:val="20"/>
              </w:rPr>
            </w:pPr>
            <w:r>
              <w:rPr>
                <w:rFonts w:hint="eastAsia"/>
                <w:sz w:val="20"/>
              </w:rPr>
              <w:t xml:space="preserve"> 0.61340243</w:t>
            </w:r>
          </w:p>
        </w:tc>
        <w:tc>
          <w:tcPr>
            <w:tcW w:w="2327" w:type="dxa"/>
          </w:tcPr>
          <w:p w14:paraId="116F81A9">
            <w:pPr>
              <w:pStyle w:val="12"/>
              <w:jc w:val="center"/>
              <w:rPr>
                <w:sz w:val="20"/>
              </w:rPr>
            </w:pPr>
            <w:r>
              <w:rPr>
                <w:rFonts w:hint="eastAsia"/>
                <w:sz w:val="20"/>
              </w:rPr>
              <w:t>0.59504339</w:t>
            </w:r>
          </w:p>
        </w:tc>
      </w:tr>
      <w:tr w14:paraId="3C89B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836" w:type="dxa"/>
          </w:tcPr>
          <w:p w14:paraId="575B13CB">
            <w:pPr>
              <w:pStyle w:val="12"/>
              <w:spacing w:before="36"/>
              <w:ind w:left="556" w:right="547"/>
              <w:jc w:val="center"/>
              <w:rPr>
                <w:sz w:val="21"/>
              </w:rPr>
            </w:pPr>
            <w:r>
              <w:rPr>
                <w:rFonts w:hint="eastAsia" w:eastAsia="宋体"/>
                <w:lang w:val="en-US" w:eastAsia="zh-CN"/>
              </w:rPr>
              <w:t>梯度下降法</w:t>
            </w:r>
          </w:p>
        </w:tc>
        <w:tc>
          <w:tcPr>
            <w:tcW w:w="2885" w:type="dxa"/>
          </w:tcPr>
          <w:p w14:paraId="5FACFA4C">
            <w:pPr>
              <w:pStyle w:val="12"/>
              <w:jc w:val="center"/>
              <w:rPr>
                <w:sz w:val="20"/>
              </w:rPr>
            </w:pPr>
            <w:r>
              <w:rPr>
                <w:rFonts w:hint="eastAsia"/>
                <w:sz w:val="20"/>
              </w:rPr>
              <w:t>0.61414783</w:t>
            </w:r>
          </w:p>
        </w:tc>
        <w:tc>
          <w:tcPr>
            <w:tcW w:w="2327" w:type="dxa"/>
          </w:tcPr>
          <w:p w14:paraId="17739D2A">
            <w:pPr>
              <w:pStyle w:val="12"/>
              <w:jc w:val="center"/>
              <w:rPr>
                <w:sz w:val="20"/>
              </w:rPr>
            </w:pPr>
            <w:r>
              <w:rPr>
                <w:rFonts w:hint="eastAsia"/>
                <w:sz w:val="20"/>
              </w:rPr>
              <w:t>0.59341166</w:t>
            </w:r>
          </w:p>
        </w:tc>
      </w:tr>
      <w:tr w14:paraId="09F89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836" w:type="dxa"/>
          </w:tcPr>
          <w:p w14:paraId="0C8BE416">
            <w:pPr>
              <w:pStyle w:val="12"/>
              <w:spacing w:before="39"/>
              <w:ind w:left="556" w:right="547"/>
              <w:jc w:val="center"/>
              <w:rPr>
                <w:sz w:val="21"/>
              </w:rPr>
            </w:pPr>
            <w:r>
              <w:rPr>
                <w:rFonts w:hint="eastAsia" w:eastAsia="宋体"/>
                <w:lang w:val="en-US" w:eastAsia="zh-CN"/>
              </w:rPr>
              <w:t>牛顿法</w:t>
            </w:r>
          </w:p>
        </w:tc>
        <w:tc>
          <w:tcPr>
            <w:tcW w:w="2885" w:type="dxa"/>
          </w:tcPr>
          <w:p w14:paraId="38902C7B">
            <w:pPr>
              <w:pStyle w:val="12"/>
              <w:jc w:val="center"/>
              <w:rPr>
                <w:sz w:val="20"/>
              </w:rPr>
            </w:pPr>
            <w:r>
              <w:rPr>
                <w:rFonts w:hint="eastAsia"/>
                <w:sz w:val="20"/>
              </w:rPr>
              <w:t xml:space="preserve"> 0.61340243</w:t>
            </w:r>
          </w:p>
        </w:tc>
        <w:tc>
          <w:tcPr>
            <w:tcW w:w="2327" w:type="dxa"/>
          </w:tcPr>
          <w:p w14:paraId="49A82F88">
            <w:pPr>
              <w:pStyle w:val="12"/>
              <w:jc w:val="center"/>
              <w:rPr>
                <w:sz w:val="20"/>
              </w:rPr>
            </w:pPr>
            <w:r>
              <w:rPr>
                <w:rFonts w:hint="eastAsia"/>
                <w:sz w:val="20"/>
              </w:rPr>
              <w:t xml:space="preserve"> 0.59504339</w:t>
            </w:r>
          </w:p>
        </w:tc>
      </w:tr>
    </w:tbl>
    <w:p w14:paraId="27F6094B">
      <w:pPr>
        <w:pStyle w:val="4"/>
        <w:ind w:left="206" w:right="206"/>
        <w:jc w:val="center"/>
        <w:rPr>
          <w:rFonts w:hint="default" w:eastAsia="宋体"/>
          <w:lang w:val="en-US" w:eastAsia="zh-CN"/>
        </w:rPr>
      </w:pPr>
    </w:p>
    <w:p w14:paraId="5D34F931">
      <w:pPr>
        <w:pStyle w:val="12"/>
        <w:spacing w:before="36"/>
        <w:ind w:left="556" w:right="547"/>
        <w:jc w:val="center"/>
        <w:rPr>
          <w:rFonts w:hint="default" w:eastAsia="宋体"/>
          <w:lang w:val="en-US" w:eastAsia="zh-CN"/>
        </w:rPr>
      </w:pPr>
      <w:r>
        <w:rPr>
          <w:rFonts w:hint="default" w:eastAsia="宋体"/>
          <w:lang w:val="en-US" w:eastAsia="zh-CN"/>
        </w:rPr>
        <w:drawing>
          <wp:inline distT="0" distB="0" distL="114300" distR="114300">
            <wp:extent cx="4777740" cy="2867025"/>
            <wp:effectExtent l="0" t="0" r="3810" b="9525"/>
            <wp:docPr id="2" name="图片 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1"/>
                    <pic:cNvPicPr>
                      <a:picLocks noChangeAspect="1"/>
                    </pic:cNvPicPr>
                  </pic:nvPicPr>
                  <pic:blipFill>
                    <a:blip r:embed="rId4"/>
                    <a:stretch>
                      <a:fillRect/>
                    </a:stretch>
                  </pic:blipFill>
                  <pic:spPr>
                    <a:xfrm>
                      <a:off x="0" y="0"/>
                      <a:ext cx="4777740" cy="2867025"/>
                    </a:xfrm>
                    <a:prstGeom prst="rect">
                      <a:avLst/>
                    </a:prstGeom>
                  </pic:spPr>
                </pic:pic>
              </a:graphicData>
            </a:graphic>
          </wp:inline>
        </w:drawing>
      </w:r>
    </w:p>
    <w:p w14:paraId="33316D4F">
      <w:pPr>
        <w:pStyle w:val="4"/>
        <w:spacing w:before="146"/>
        <w:ind w:left="207" w:right="206"/>
        <w:jc w:val="center"/>
      </w:pPr>
    </w:p>
    <w:p w14:paraId="6C89CC5C">
      <w:pPr>
        <w:pStyle w:val="4"/>
        <w:spacing w:before="146"/>
        <w:ind w:left="207" w:right="206"/>
        <w:jc w:val="center"/>
        <w:rPr>
          <w:rFonts w:hint="eastAsia" w:eastAsia="等线"/>
          <w:lang w:val="en-US" w:eastAsia="zh-CN"/>
        </w:rPr>
      </w:pPr>
      <w:r>
        <w:t>Figure</w:t>
      </w:r>
      <w:r>
        <w:rPr>
          <w:spacing w:val="-2"/>
        </w:rPr>
        <w:t xml:space="preserve"> </w:t>
      </w:r>
      <w:r>
        <w:rPr>
          <w:rFonts w:hint="eastAsia" w:eastAsia="宋体"/>
          <w:spacing w:val="-2"/>
          <w:lang w:val="en-US" w:eastAsia="zh-CN"/>
        </w:rPr>
        <w:t>1</w:t>
      </w:r>
      <w:r>
        <w:rPr>
          <w:rFonts w:hint="eastAsia" w:ascii="等线" w:eastAsia="等线"/>
        </w:rPr>
        <w:t>：</w:t>
      </w:r>
      <w:r>
        <w:rPr>
          <w:rFonts w:hint="eastAsia" w:ascii="等线" w:eastAsia="等线"/>
          <w:lang w:val="en-US" w:eastAsia="zh-CN"/>
        </w:rPr>
        <w:t>三种</w:t>
      </w:r>
      <w:r>
        <w:rPr>
          <w:rFonts w:hint="eastAsia" w:eastAsia="等线"/>
          <w:lang w:val="en-US" w:eastAsia="zh-CN"/>
        </w:rPr>
        <w:t>线性模型结果</w:t>
      </w:r>
    </w:p>
    <w:p w14:paraId="283D50E1">
      <w:pPr>
        <w:pStyle w:val="4"/>
        <w:spacing w:before="146"/>
        <w:ind w:left="207" w:right="206"/>
        <w:jc w:val="center"/>
        <w:rPr>
          <w:rFonts w:hint="eastAsia" w:eastAsia="等线"/>
          <w:lang w:val="en-US" w:eastAsia="zh-CN"/>
        </w:rPr>
      </w:pPr>
    </w:p>
    <w:p w14:paraId="05C977F6">
      <w:pPr>
        <w:pStyle w:val="4"/>
        <w:spacing w:before="1"/>
        <w:ind w:left="206" w:right="206"/>
        <w:jc w:val="center"/>
        <w:rPr>
          <w:rFonts w:hint="eastAsia" w:eastAsia="宋体"/>
          <w:lang w:val="en-US" w:eastAsia="zh-CN"/>
        </w:rPr>
      </w:pPr>
      <w:r>
        <w:rPr>
          <w:rFonts w:hint="eastAsia" w:eastAsia="宋体"/>
          <w:lang w:val="en-US" w:eastAsia="zh-CN"/>
        </w:rPr>
        <w:t>通过对误差结果进行观察分析，不难知道三种线性回归方法均无法恰当拟合这组数据，即模型欠拟合。</w:t>
      </w:r>
    </w:p>
    <w:p w14:paraId="0C68225A">
      <w:pPr>
        <w:pStyle w:val="4"/>
        <w:spacing w:before="1"/>
        <w:ind w:left="206" w:right="206"/>
        <w:jc w:val="center"/>
        <w:rPr>
          <w:rFonts w:hint="default" w:eastAsia="宋体"/>
          <w:lang w:val="en-US" w:eastAsia="zh-CN"/>
        </w:rPr>
      </w:pPr>
    </w:p>
    <w:p w14:paraId="47CA0728">
      <w:pPr>
        <w:pStyle w:val="4"/>
        <w:numPr>
          <w:ilvl w:val="0"/>
          <w:numId w:val="2"/>
        </w:numPr>
        <w:spacing w:before="164"/>
        <w:ind w:left="0" w:leftChars="0" w:right="206" w:firstLine="420" w:firstLineChars="0"/>
        <w:jc w:val="center"/>
      </w:pPr>
      <w:r>
        <w:rPr>
          <w:rFonts w:hint="eastAsia" w:eastAsia="宋体"/>
          <w:lang w:val="en-US" w:eastAsia="zh-CN"/>
        </w:rPr>
        <w:t>高斯过程回归</w:t>
      </w:r>
    </w:p>
    <w:p w14:paraId="7CBA0188">
      <w:pPr>
        <w:pStyle w:val="4"/>
        <w:spacing w:before="1"/>
        <w:ind w:left="206" w:right="206"/>
        <w:jc w:val="center"/>
        <w:rPr>
          <w:rFonts w:hint="eastAsia" w:eastAsia="宋体"/>
          <w:lang w:val="en-US" w:eastAsia="zh-CN"/>
        </w:rPr>
      </w:pPr>
      <w:r>
        <w:rPr>
          <w:rFonts w:hint="eastAsia" w:eastAsia="宋体"/>
          <w:lang w:val="en-US" w:eastAsia="zh-CN"/>
        </w:rPr>
        <w:t>基于给定数据的特征分析：</w:t>
      </w:r>
    </w:p>
    <w:p w14:paraId="69A2449D">
      <w:pPr>
        <w:pStyle w:val="4"/>
        <w:numPr>
          <w:ilvl w:val="0"/>
          <w:numId w:val="3"/>
        </w:numPr>
        <w:spacing w:before="1"/>
        <w:ind w:left="1685" w:leftChars="0" w:right="206" w:hanging="425" w:firstLineChars="0"/>
        <w:jc w:val="left"/>
        <w:rPr>
          <w:rFonts w:hint="default" w:eastAsia="宋体"/>
          <w:lang w:val="en-US" w:eastAsia="zh-CN"/>
        </w:rPr>
      </w:pPr>
      <w:r>
        <w:rPr>
          <w:rFonts w:hint="eastAsia" w:eastAsia="宋体"/>
          <w:lang w:val="en-US" w:eastAsia="zh-CN"/>
        </w:rPr>
        <w:t>周期性：观察y随x的变化—约每2.5~3.0单位出现波峰/波谷</w:t>
      </w:r>
    </w:p>
    <w:p w14:paraId="01F47C4B">
      <w:pPr>
        <w:pStyle w:val="4"/>
        <w:numPr>
          <w:ilvl w:val="0"/>
          <w:numId w:val="3"/>
        </w:numPr>
        <w:spacing w:before="1"/>
        <w:ind w:left="1685" w:leftChars="0" w:right="206" w:hanging="425" w:firstLineChars="0"/>
        <w:jc w:val="left"/>
        <w:rPr>
          <w:rFonts w:hint="eastAsia" w:eastAsia="宋体"/>
          <w:lang w:val="en-US" w:eastAsia="zh-CN"/>
        </w:rPr>
      </w:pPr>
      <w:r>
        <w:rPr>
          <w:rFonts w:hint="eastAsia" w:eastAsia="宋体"/>
          <w:lang w:val="en-US" w:eastAsia="zh-CN"/>
        </w:rPr>
        <w:t>线性：y随x总体的线性上升趋势</w:t>
      </w:r>
    </w:p>
    <w:p w14:paraId="2D73073B">
      <w:pPr>
        <w:pStyle w:val="4"/>
        <w:numPr>
          <w:ilvl w:val="0"/>
          <w:numId w:val="3"/>
        </w:numPr>
        <w:spacing w:before="1"/>
        <w:ind w:left="1685" w:leftChars="0" w:right="206" w:hanging="425" w:firstLineChars="0"/>
        <w:jc w:val="left"/>
        <w:rPr>
          <w:rFonts w:hint="eastAsia" w:eastAsia="宋体"/>
          <w:lang w:val="en-US" w:eastAsia="zh-CN"/>
        </w:rPr>
      </w:pPr>
      <w:r>
        <w:rPr>
          <w:rFonts w:hint="eastAsia" w:eastAsia="宋体"/>
          <w:lang w:val="en-US" w:eastAsia="zh-CN"/>
        </w:rPr>
        <w:t>局部性：x∈[8,10]时y的非线性上升趋势</w:t>
      </w:r>
    </w:p>
    <w:p w14:paraId="5BEC8515">
      <w:pPr>
        <w:pStyle w:val="4"/>
        <w:numPr>
          <w:ilvl w:val="0"/>
          <w:numId w:val="3"/>
        </w:numPr>
        <w:spacing w:before="1"/>
        <w:ind w:left="1685" w:leftChars="0" w:right="206" w:hanging="425" w:firstLineChars="0"/>
        <w:jc w:val="left"/>
        <w:rPr>
          <w:rFonts w:hint="eastAsia" w:eastAsia="宋体"/>
          <w:lang w:val="en-US" w:eastAsia="zh-CN"/>
        </w:rPr>
      </w:pPr>
      <w:r>
        <w:rPr>
          <w:rFonts w:hint="eastAsia" w:eastAsia="宋体"/>
          <w:lang w:val="en-US" w:eastAsia="zh-CN"/>
        </w:rPr>
        <w:t>噪声：相邻点波动较大</w:t>
      </w:r>
    </w:p>
    <w:p w14:paraId="392A2EBB">
      <w:pPr>
        <w:pStyle w:val="4"/>
        <w:spacing w:before="1"/>
        <w:ind w:left="206" w:right="206"/>
        <w:jc w:val="center"/>
        <w:rPr>
          <w:rFonts w:hint="eastAsia" w:eastAsia="宋体"/>
          <w:lang w:val="en-US" w:eastAsia="zh-CN"/>
        </w:rPr>
      </w:pPr>
      <w:r>
        <w:rPr>
          <w:rFonts w:hint="eastAsia" w:eastAsia="宋体"/>
          <w:lang w:val="en-US" w:eastAsia="zh-CN"/>
        </w:rPr>
        <w:t>由此，我们设计了特殊的核函数kernel：</w:t>
      </w:r>
    </w:p>
    <w:p w14:paraId="0D4443CC">
      <w:pPr>
        <w:pStyle w:val="4"/>
        <w:spacing w:before="1"/>
        <w:ind w:left="206" w:right="206"/>
        <w:jc w:val="center"/>
        <w:rPr>
          <w:rFonts w:hint="eastAsia" w:eastAsia="宋体"/>
          <w:lang w:val="en-US" w:eastAsia="zh-CN"/>
        </w:rPr>
      </w:pPr>
    </w:p>
    <w:p w14:paraId="07819141">
      <w:pPr>
        <w:pStyle w:val="4"/>
        <w:spacing w:before="1"/>
        <w:ind w:left="206" w:right="206"/>
        <w:jc w:val="center"/>
        <w:rPr>
          <w:rFonts w:hint="eastAsia" w:eastAsia="宋体"/>
          <w:lang w:val="en-US" w:eastAsia="zh-CN"/>
        </w:rPr>
      </w:pPr>
      <w:r>
        <w:rPr>
          <w:rFonts w:hint="eastAsia" w:eastAsia="宋体"/>
          <w:lang w:val="en-US" w:eastAsia="zh-CN"/>
        </w:rPr>
        <w:t xml:space="preserve">K = </w:t>
      </w:r>
      <m:oMath>
        <m:sSub>
          <m:sSubPr>
            <m:ctrlPr>
              <w:rPr>
                <w:rFonts w:hint="eastAsia" w:ascii="Cambria Math" w:hAnsi="Cambria Math" w:eastAsia="宋体"/>
                <w:lang w:val="en-US" w:eastAsia="zh-CN"/>
              </w:rPr>
            </m:ctrlPr>
          </m:sSubPr>
          <m:e>
            <m:r>
              <m:rPr>
                <m:sty m:val="p"/>
              </m:rPr>
              <w:rPr>
                <w:rFonts w:hint="default" w:ascii="Times New Roman" w:hAnsi="Times New Roman" w:eastAsia="宋体"/>
                <w:lang w:val="en-US" w:eastAsia="zh-CN"/>
              </w:rPr>
              <m:t>C</m:t>
            </m:r>
            <m:ctrlPr>
              <w:rPr>
                <w:rFonts w:hint="eastAsia" w:ascii="Cambria Math" w:hAnsi="Cambria Math" w:eastAsia="宋体"/>
                <w:lang w:val="en-US" w:eastAsia="zh-CN"/>
              </w:rPr>
            </m:ctrlPr>
          </m:e>
          <m:sub>
            <m:r>
              <m:rPr>
                <m:sty m:val="p"/>
              </m:rPr>
              <w:rPr>
                <w:rFonts w:hint="default" w:ascii="Times New Roman" w:hAnsi="Times New Roman" w:eastAsia="宋体"/>
                <w:lang w:val="en-US" w:eastAsia="zh-CN"/>
              </w:rPr>
              <m:t>1</m:t>
            </m:r>
            <m:ctrlPr>
              <w:rPr>
                <w:rFonts w:hint="eastAsia" w:ascii="Cambria Math" w:hAnsi="Cambria Math" w:eastAsia="宋体"/>
                <w:lang w:val="en-US" w:eastAsia="zh-CN"/>
              </w:rPr>
            </m:ctrlPr>
          </m:sub>
        </m:sSub>
      </m:oMath>
      <w:r>
        <w:rPr>
          <w:rFonts w:hint="eastAsia" w:eastAsia="宋体"/>
          <w:lang w:val="en-US" w:eastAsia="zh-CN"/>
        </w:rPr>
        <w:t xml:space="preserve">ExpSineSquared + </w:t>
      </w:r>
      <m:oMath>
        <m:sSub>
          <m:sSubPr>
            <m:ctrlPr>
              <w:rPr>
                <w:rFonts w:hint="eastAsia" w:ascii="Cambria Math" w:hAnsi="Cambria Math" w:eastAsia="宋体"/>
                <w:lang w:val="en-US" w:eastAsia="zh-CN"/>
              </w:rPr>
            </m:ctrlPr>
          </m:sSubPr>
          <m:e>
            <m:r>
              <m:rPr>
                <m:sty m:val="p"/>
              </m:rPr>
              <w:rPr>
                <w:rFonts w:hint="default" w:ascii="Times New Roman" w:hAnsi="Times New Roman" w:eastAsia="宋体"/>
                <w:lang w:val="en-US" w:eastAsia="zh-CN"/>
              </w:rPr>
              <m:t>C</m:t>
            </m:r>
            <m:ctrlPr>
              <w:rPr>
                <w:rFonts w:hint="eastAsia" w:ascii="Cambria Math" w:hAnsi="Cambria Math" w:eastAsia="宋体"/>
                <w:lang w:val="en-US" w:eastAsia="zh-CN"/>
              </w:rPr>
            </m:ctrlPr>
          </m:e>
          <m:sub>
            <m:r>
              <m:rPr>
                <m:sty m:val="p"/>
              </m:rPr>
              <w:rPr>
                <w:rFonts w:hint="default" w:ascii="Cambria Math" w:hAnsi="Cambria Math" w:eastAsia="宋体"/>
                <w:lang w:val="en-US" w:eastAsia="zh-CN"/>
              </w:rPr>
              <m:t>2</m:t>
            </m:r>
            <m:ctrlPr>
              <w:rPr>
                <w:rFonts w:hint="eastAsia" w:ascii="Cambria Math" w:hAnsi="Cambria Math" w:eastAsia="宋体"/>
                <w:lang w:val="en-US" w:eastAsia="zh-CN"/>
              </w:rPr>
            </m:ctrlPr>
          </m:sub>
        </m:sSub>
      </m:oMath>
      <w:r>
        <w:rPr>
          <w:rFonts w:hint="eastAsia" w:eastAsia="宋体"/>
          <w:lang w:val="en-US" w:eastAsia="zh-CN"/>
        </w:rPr>
        <w:t xml:space="preserve">RBF + </w:t>
      </w:r>
      <m:oMath>
        <m:sSub>
          <m:sSubPr>
            <m:ctrlPr>
              <w:rPr>
                <w:rFonts w:hint="eastAsia" w:ascii="Cambria Math" w:hAnsi="Cambria Math" w:eastAsia="宋体"/>
                <w:lang w:val="en-US" w:eastAsia="zh-CN"/>
              </w:rPr>
            </m:ctrlPr>
          </m:sSubPr>
          <m:e>
            <m:r>
              <m:rPr>
                <m:sty m:val="p"/>
              </m:rPr>
              <w:rPr>
                <w:rFonts w:hint="default" w:ascii="Times New Roman" w:hAnsi="Times New Roman" w:eastAsia="宋体"/>
                <w:lang w:val="en-US" w:eastAsia="zh-CN"/>
              </w:rPr>
              <m:t>C</m:t>
            </m:r>
            <m:ctrlPr>
              <w:rPr>
                <w:rFonts w:hint="eastAsia" w:ascii="Cambria Math" w:hAnsi="Cambria Math" w:eastAsia="宋体"/>
                <w:lang w:val="en-US" w:eastAsia="zh-CN"/>
              </w:rPr>
            </m:ctrlPr>
          </m:e>
          <m:sub>
            <m:r>
              <m:rPr>
                <m:sty m:val="p"/>
              </m:rPr>
              <w:rPr>
                <w:rFonts w:hint="default" w:ascii="Times New Roman" w:hAnsi="Times New Roman" w:eastAsia="宋体"/>
                <w:lang w:val="en-US" w:eastAsia="zh-CN"/>
              </w:rPr>
              <m:t>3</m:t>
            </m:r>
            <m:ctrlPr>
              <w:rPr>
                <w:rFonts w:hint="eastAsia" w:ascii="Cambria Math" w:hAnsi="Cambria Math" w:eastAsia="宋体"/>
                <w:lang w:val="en-US" w:eastAsia="zh-CN"/>
              </w:rPr>
            </m:ctrlPr>
          </m:sub>
        </m:sSub>
      </m:oMath>
      <w:r>
        <w:rPr>
          <w:rFonts w:hint="eastAsia" w:eastAsia="宋体"/>
          <w:lang w:val="en-US" w:eastAsia="zh-CN"/>
        </w:rPr>
        <w:t xml:space="preserve">DotProduct + WhiteKernel </w:t>
      </w:r>
    </w:p>
    <w:p w14:paraId="67D09C8C">
      <w:pPr>
        <w:pStyle w:val="4"/>
        <w:spacing w:before="1"/>
        <w:ind w:left="206" w:right="206"/>
        <w:jc w:val="center"/>
        <w:rPr>
          <w:rFonts w:hint="eastAsia" w:eastAsia="宋体"/>
          <w:lang w:val="en-US" w:eastAsia="zh-CN"/>
        </w:rPr>
      </w:pPr>
    </w:p>
    <w:p w14:paraId="4BE504CE">
      <w:pPr>
        <w:pStyle w:val="4"/>
        <w:spacing w:before="1"/>
        <w:ind w:left="206" w:right="206"/>
        <w:jc w:val="center"/>
        <w:rPr>
          <w:rFonts w:ascii="Segoe UI" w:hAnsi="Segoe UI" w:eastAsia="Segoe UI" w:cs="Segoe UI"/>
          <w:i w:val="0"/>
          <w:iCs w:val="0"/>
          <w:caps w:val="0"/>
          <w:color w:val="0F1115"/>
          <w:spacing w:val="0"/>
          <w:sz w:val="24"/>
          <w:szCs w:val="24"/>
          <w:shd w:val="clear" w:fill="FFFFFF"/>
        </w:rPr>
      </w:pPr>
      <w:r>
        <w:rPr>
          <w:rFonts w:hint="eastAsia" w:eastAsia="宋体"/>
          <w:b/>
          <w:bCs/>
          <w:lang w:val="en-US" w:eastAsia="zh-CN"/>
        </w:rPr>
        <w:t>ExpSineSquared</w:t>
      </w:r>
      <w:r>
        <w:rPr>
          <w:rFonts w:hint="eastAsia" w:eastAsia="宋体"/>
          <w:lang w:val="en-US" w:eastAsia="zh-CN"/>
        </w:rPr>
        <w:t>（周期核）：</w:t>
      </w:r>
      <w:r>
        <w:rPr>
          <w:rFonts w:ascii="Segoe UI" w:hAnsi="Segoe UI" w:eastAsia="Segoe UI" w:cs="Segoe UI"/>
          <w:i w:val="0"/>
          <w:iCs w:val="0"/>
          <w:caps w:val="0"/>
          <w:color w:val="0F1115"/>
          <w:spacing w:val="0"/>
          <w:sz w:val="24"/>
          <w:szCs w:val="24"/>
          <w:shd w:val="clear" w:fill="FFFFFF"/>
        </w:rPr>
        <w:t>用于建模周期性模式</w:t>
      </w:r>
    </w:p>
    <w:p w14:paraId="584B9708">
      <w:pPr>
        <w:pStyle w:val="4"/>
        <w:spacing w:before="1"/>
        <w:ind w:left="206" w:right="206"/>
        <w:jc w:val="center"/>
        <w:rPr>
          <w:rFonts w:hint="default" w:eastAsia="宋体"/>
          <w:lang w:val="en-US" w:eastAsia="zh-CN"/>
        </w:rPr>
      </w:pPr>
      <w:r>
        <w:rPr>
          <w:rFonts w:hint="eastAsia" w:eastAsia="宋体"/>
          <w:b/>
          <w:bCs/>
          <w:lang w:val="en-US" w:eastAsia="zh-CN"/>
        </w:rPr>
        <w:t>DotProduct</w:t>
      </w:r>
      <w:r>
        <w:rPr>
          <w:rFonts w:hint="eastAsia" w:eastAsia="宋体"/>
          <w:lang w:val="en-US" w:eastAsia="zh-CN"/>
        </w:rPr>
        <w:t>（线性趋势核）</w:t>
      </w:r>
      <w:r>
        <w:rPr>
          <w:rFonts w:hint="default" w:eastAsia="宋体"/>
          <w:lang w:val="en-US" w:eastAsia="zh-CN"/>
        </w:rPr>
        <w:t>：</w:t>
      </w:r>
      <w:r>
        <w:rPr>
          <w:rFonts w:hint="eastAsia" w:eastAsia="宋体"/>
          <w:lang w:val="en-US" w:eastAsia="zh-CN"/>
        </w:rPr>
        <w:t>模拟全局线性趋势</w:t>
      </w:r>
    </w:p>
    <w:p w14:paraId="17DBD952">
      <w:pPr>
        <w:pStyle w:val="4"/>
        <w:spacing w:before="1"/>
        <w:ind w:left="206" w:right="206"/>
        <w:jc w:val="center"/>
        <w:rPr>
          <w:rFonts w:hint="eastAsia" w:eastAsia="宋体"/>
          <w:lang w:val="en-US" w:eastAsia="zh-CN"/>
        </w:rPr>
      </w:pPr>
      <w:r>
        <w:rPr>
          <w:rFonts w:hint="eastAsia" w:eastAsia="宋体"/>
          <w:b/>
          <w:bCs/>
          <w:lang w:val="en-US" w:eastAsia="zh-CN"/>
        </w:rPr>
        <w:t>RBF</w:t>
      </w:r>
      <w:r>
        <w:rPr>
          <w:rFonts w:hint="eastAsia" w:eastAsia="宋体"/>
          <w:lang w:val="en-US" w:eastAsia="zh-CN"/>
        </w:rPr>
        <w:t>（径向基核）：捕捉局部平滑变化</w:t>
      </w:r>
    </w:p>
    <w:p w14:paraId="1F75934B">
      <w:pPr>
        <w:pStyle w:val="4"/>
        <w:spacing w:before="1"/>
        <w:ind w:left="206" w:right="206"/>
        <w:jc w:val="center"/>
        <w:rPr>
          <w:rFonts w:hint="eastAsia" w:eastAsia="宋体"/>
          <w:lang w:val="en-US" w:eastAsia="zh-CN"/>
        </w:rPr>
      </w:pPr>
      <w:r>
        <w:rPr>
          <w:rFonts w:hint="eastAsia" w:eastAsia="宋体"/>
          <w:b/>
          <w:bCs/>
          <w:lang w:val="en-US" w:eastAsia="zh-CN"/>
        </w:rPr>
        <w:t>WhiteKernel</w:t>
      </w:r>
      <w:r>
        <w:rPr>
          <w:rFonts w:hint="eastAsia" w:eastAsia="宋体"/>
          <w:lang w:val="en-US" w:eastAsia="zh-CN"/>
        </w:rPr>
        <w:t>（白噪声核）</w:t>
      </w:r>
      <w:r>
        <w:rPr>
          <w:rFonts w:hint="default" w:eastAsia="宋体"/>
          <w:lang w:val="en-US" w:eastAsia="zh-CN"/>
        </w:rPr>
        <w:t>：</w:t>
      </w:r>
      <w:r>
        <w:rPr>
          <w:rFonts w:hint="eastAsia" w:eastAsia="宋体"/>
          <w:lang w:val="en-US" w:eastAsia="zh-CN"/>
        </w:rPr>
        <w:t>吸收数据中的独立噪声，提高数值稳定性。</w:t>
      </w:r>
    </w:p>
    <w:p w14:paraId="71A4A126">
      <w:pPr>
        <w:pStyle w:val="4"/>
        <w:spacing w:before="1"/>
        <w:ind w:left="206" w:right="206"/>
        <w:jc w:val="center"/>
        <w:rPr>
          <w:rFonts w:hint="eastAsia" w:eastAsia="宋体"/>
          <w:lang w:val="en-US" w:eastAsia="zh-CN"/>
        </w:rPr>
      </w:pPr>
    </w:p>
    <w:p w14:paraId="5F428C5A">
      <w:pPr>
        <w:pStyle w:val="4"/>
        <w:spacing w:before="1"/>
        <w:ind w:left="206" w:right="206"/>
        <w:jc w:val="center"/>
        <w:rPr>
          <w:rFonts w:hint="eastAsia" w:eastAsia="宋体"/>
          <w:lang w:val="en-US" w:eastAsia="zh-CN"/>
        </w:rPr>
      </w:pPr>
      <w:r>
        <w:rPr>
          <w:rFonts w:hint="eastAsia" w:eastAsia="宋体"/>
          <w:lang w:val="en-US" w:eastAsia="zh-CN"/>
        </w:rPr>
        <w:t>使用此核函数对训练集进行高斯回归得到如下拟合结果：</w:t>
      </w:r>
    </w:p>
    <w:p w14:paraId="21CF7B21">
      <w:pPr>
        <w:pStyle w:val="4"/>
        <w:spacing w:before="1"/>
        <w:ind w:left="206" w:right="206"/>
        <w:jc w:val="center"/>
        <w:rPr>
          <w:rFonts w:hint="default" w:eastAsia="宋体"/>
          <w:lang w:val="en-US" w:eastAsia="zh-CN"/>
        </w:rPr>
      </w:pPr>
      <w:r>
        <w:rPr>
          <w:rFonts w:hint="default" w:eastAsia="宋体"/>
          <w:lang w:val="en-US" w:eastAsia="zh-CN"/>
        </w:rPr>
        <w:t>训练集</w:t>
      </w:r>
      <w:r>
        <w:rPr>
          <w:rFonts w:hint="eastAsia" w:eastAsia="宋体"/>
          <w:lang w:val="en-US" w:eastAsia="zh-CN"/>
        </w:rPr>
        <w:t>误差</w:t>
      </w:r>
      <w:r>
        <w:rPr>
          <w:rFonts w:hint="default" w:eastAsia="宋体"/>
          <w:lang w:val="en-US" w:eastAsia="zh-CN"/>
        </w:rPr>
        <w:t>: R²=0.7570, MSE=0.1736</w:t>
      </w:r>
    </w:p>
    <w:p w14:paraId="5047349D">
      <w:pPr>
        <w:pStyle w:val="4"/>
        <w:spacing w:before="1"/>
        <w:ind w:left="206" w:right="206"/>
        <w:jc w:val="center"/>
        <w:rPr>
          <w:rFonts w:hint="default" w:eastAsia="宋体"/>
          <w:lang w:val="en-US" w:eastAsia="zh-CN"/>
        </w:rPr>
      </w:pPr>
      <w:r>
        <w:rPr>
          <w:rFonts w:hint="default" w:eastAsia="宋体"/>
          <w:lang w:val="en-US" w:eastAsia="zh-CN"/>
        </w:rPr>
        <w:t xml:space="preserve">   测试集</w:t>
      </w:r>
      <w:r>
        <w:rPr>
          <w:rFonts w:hint="eastAsia" w:eastAsia="宋体"/>
          <w:lang w:val="en-US" w:eastAsia="zh-CN"/>
        </w:rPr>
        <w:t>误差</w:t>
      </w:r>
      <w:r>
        <w:rPr>
          <w:rFonts w:hint="default" w:eastAsia="宋体"/>
          <w:lang w:val="en-US" w:eastAsia="zh-CN"/>
        </w:rPr>
        <w:t>: R²=0.6323, MSE=0.2523, MAE=0.4036</w:t>
      </w:r>
    </w:p>
    <w:p w14:paraId="25006986">
      <w:pPr>
        <w:pStyle w:val="4"/>
        <w:spacing w:before="1"/>
        <w:ind w:left="206" w:right="206"/>
        <w:jc w:val="center"/>
        <w:rPr>
          <w:rFonts w:hint="default" w:eastAsia="宋体"/>
          <w:lang w:val="en-US" w:eastAsia="zh-CN"/>
        </w:rPr>
      </w:pPr>
      <w:r>
        <w:rPr>
          <w:rFonts w:hint="default" w:eastAsia="宋体"/>
          <w:lang w:val="en-US" w:eastAsia="zh-CN"/>
        </w:rPr>
        <w:t xml:space="preserve">   </w:t>
      </w:r>
      <w:r>
        <w:rPr>
          <w:rFonts w:hint="eastAsia" w:eastAsia="宋体"/>
          <w:lang w:val="en-US" w:eastAsia="zh-CN"/>
        </w:rPr>
        <w:t>残差</w:t>
      </w:r>
      <w:r>
        <w:rPr>
          <w:rFonts w:hint="default" w:eastAsia="宋体"/>
          <w:lang w:val="en-US" w:eastAsia="zh-CN"/>
        </w:rPr>
        <w:t>均值: 0.0856, 标准差: 0.4950</w:t>
      </w:r>
    </w:p>
    <w:p w14:paraId="6C7A5724">
      <w:pPr>
        <w:pStyle w:val="4"/>
        <w:spacing w:before="1"/>
        <w:ind w:left="206" w:right="206"/>
        <w:jc w:val="center"/>
        <w:rPr>
          <w:rFonts w:hint="default" w:eastAsia="宋体"/>
          <w:lang w:val="en-US" w:eastAsia="zh-CN"/>
        </w:rPr>
      </w:pPr>
      <w:r>
        <w:rPr>
          <w:rFonts w:hint="default" w:eastAsia="宋体"/>
          <w:lang w:val="en-US" w:eastAsia="zh-CN"/>
        </w:rPr>
        <w:t xml:space="preserve">  </w:t>
      </w:r>
      <w:r>
        <w:rPr>
          <w:rFonts w:hint="default" w:eastAsia="宋体"/>
          <w:lang w:val="en-US" w:eastAsia="zh-CN"/>
        </w:rPr>
        <w:drawing>
          <wp:inline distT="0" distB="0" distL="114300" distR="114300">
            <wp:extent cx="5273675" cy="3749040"/>
            <wp:effectExtent l="0" t="0" r="3175" b="3810"/>
            <wp:docPr id="3" name="图片 3" descr="gp_regression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p_regression_results"/>
                    <pic:cNvPicPr>
                      <a:picLocks noChangeAspect="1"/>
                    </pic:cNvPicPr>
                  </pic:nvPicPr>
                  <pic:blipFill>
                    <a:blip r:embed="rId5"/>
                    <a:stretch>
                      <a:fillRect/>
                    </a:stretch>
                  </pic:blipFill>
                  <pic:spPr>
                    <a:xfrm>
                      <a:off x="0" y="0"/>
                      <a:ext cx="5273675" cy="3749040"/>
                    </a:xfrm>
                    <a:prstGeom prst="rect">
                      <a:avLst/>
                    </a:prstGeom>
                  </pic:spPr>
                </pic:pic>
              </a:graphicData>
            </a:graphic>
          </wp:inline>
        </w:drawing>
      </w:r>
    </w:p>
    <w:p w14:paraId="4EF1838A">
      <w:pPr>
        <w:pStyle w:val="4"/>
        <w:spacing w:before="146"/>
        <w:ind w:left="207" w:right="206"/>
        <w:jc w:val="center"/>
        <w:rPr>
          <w:rFonts w:hint="default" w:eastAsia="等线"/>
          <w:lang w:val="en-US" w:eastAsia="zh-CN"/>
        </w:rPr>
      </w:pPr>
      <w:r>
        <w:t>Figure</w:t>
      </w:r>
      <w:r>
        <w:rPr>
          <w:spacing w:val="-2"/>
        </w:rPr>
        <w:t xml:space="preserve"> </w:t>
      </w:r>
      <w:r>
        <w:rPr>
          <w:rFonts w:hint="eastAsia" w:eastAsia="宋体"/>
          <w:lang w:val="en-US" w:eastAsia="zh-CN"/>
        </w:rPr>
        <w:t>2</w:t>
      </w:r>
      <w:r>
        <w:rPr>
          <w:rFonts w:hint="eastAsia" w:ascii="等线" w:eastAsia="等线"/>
        </w:rPr>
        <w:t>：</w:t>
      </w:r>
      <w:r>
        <w:rPr>
          <w:rFonts w:hint="eastAsia" w:eastAsia="等线"/>
          <w:lang w:val="en-US" w:eastAsia="zh-CN"/>
        </w:rPr>
        <w:t>a.模型拟合图（左上）b.测试集预测性能（右上）c.残差分布（左下）d.预测不确定性（右下）</w:t>
      </w:r>
    </w:p>
    <w:p w14:paraId="13CD7985">
      <w:pPr>
        <w:pStyle w:val="4"/>
        <w:rPr>
          <w:sz w:val="24"/>
        </w:rPr>
      </w:pPr>
    </w:p>
    <w:p w14:paraId="7F20F8E7">
      <w:pPr>
        <w:pStyle w:val="4"/>
        <w:spacing w:before="1"/>
        <w:ind w:left="206" w:right="206"/>
        <w:jc w:val="center"/>
        <w:rPr>
          <w:rFonts w:hint="eastAsia" w:eastAsia="宋体"/>
          <w:lang w:val="en-US" w:eastAsia="zh-CN"/>
        </w:rPr>
      </w:pPr>
      <w:r>
        <w:rPr>
          <w:rFonts w:hint="eastAsia" w:eastAsia="宋体"/>
          <w:lang w:val="en-US" w:eastAsia="zh-CN"/>
        </w:rPr>
        <w:t>实验结果解析：</w:t>
      </w:r>
    </w:p>
    <w:p w14:paraId="6C1AC166">
      <w:pPr>
        <w:rPr>
          <w:rFonts w:hint="eastAsia"/>
          <w:spacing w:val="-3"/>
          <w:lang w:val="en-US" w:eastAsia="zh-CN"/>
        </w:rPr>
      </w:pPr>
      <w:r>
        <w:t>Table</w:t>
      </w:r>
      <w:r>
        <w:rPr>
          <w:spacing w:val="-3"/>
        </w:rPr>
        <w:t xml:space="preserve"> </w:t>
      </w:r>
      <w:r>
        <w:rPr>
          <w:rFonts w:hint="eastAsia"/>
          <w:lang w:val="en-US" w:eastAsia="zh-CN"/>
        </w:rPr>
        <w:t>3</w:t>
      </w:r>
      <w:r>
        <w:t>:</w:t>
      </w:r>
      <w:r>
        <w:rPr>
          <w:spacing w:val="-3"/>
        </w:rPr>
        <w:t xml:space="preserve"> </w:t>
      </w:r>
      <w:r>
        <w:rPr>
          <w:rFonts w:hint="eastAsia"/>
          <w:spacing w:val="-3"/>
          <w:lang w:val="en-US" w:eastAsia="zh-CN"/>
        </w:rPr>
        <w:t>高斯回归结果解析</w:t>
      </w:r>
    </w:p>
    <w:p w14:paraId="2193DB92">
      <w:pPr>
        <w:rPr>
          <w:rFonts w:hint="default"/>
          <w:spacing w:val="-3"/>
          <w:lang w:val="en-US" w:eastAsia="zh-CN"/>
        </w:rPr>
      </w:pPr>
    </w:p>
    <w:tbl>
      <w:tblPr>
        <w:tblStyle w:val="7"/>
        <w:tblW w:w="9006" w:type="dxa"/>
        <w:tblInd w:w="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5"/>
        <w:gridCol w:w="1582"/>
        <w:gridCol w:w="5199"/>
      </w:tblGrid>
      <w:tr w14:paraId="6937E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225" w:type="dxa"/>
          </w:tcPr>
          <w:p w14:paraId="39B5F10B">
            <w:pPr>
              <w:pStyle w:val="12"/>
              <w:spacing w:before="36"/>
              <w:ind w:left="556" w:right="550"/>
              <w:jc w:val="center"/>
              <w:rPr>
                <w:sz w:val="21"/>
              </w:rPr>
            </w:pPr>
            <w:r>
              <w:rPr>
                <w:rFonts w:hint="eastAsia"/>
                <w:lang w:val="en-US" w:eastAsia="zh-CN"/>
              </w:rPr>
              <w:t>指标</w:t>
            </w:r>
          </w:p>
        </w:tc>
        <w:tc>
          <w:tcPr>
            <w:tcW w:w="1582" w:type="dxa"/>
          </w:tcPr>
          <w:p w14:paraId="2B26EF97">
            <w:pPr>
              <w:pStyle w:val="12"/>
              <w:spacing w:before="36"/>
              <w:ind w:left="556" w:right="547"/>
              <w:jc w:val="center"/>
              <w:rPr>
                <w:rFonts w:hint="eastAsia" w:eastAsia="宋体"/>
                <w:sz w:val="20"/>
                <w:lang w:val="en-US" w:eastAsia="zh-CN"/>
              </w:rPr>
            </w:pPr>
            <w:r>
              <w:rPr>
                <w:rFonts w:hint="eastAsia" w:eastAsia="宋体"/>
                <w:lang w:val="en-US" w:eastAsia="zh-CN"/>
              </w:rPr>
              <w:t>数值</w:t>
            </w:r>
          </w:p>
        </w:tc>
        <w:tc>
          <w:tcPr>
            <w:tcW w:w="5199" w:type="dxa"/>
          </w:tcPr>
          <w:p w14:paraId="5CB9B21E">
            <w:pPr>
              <w:pStyle w:val="12"/>
              <w:jc w:val="center"/>
              <w:rPr>
                <w:rFonts w:hint="eastAsia" w:eastAsia="宋体"/>
                <w:sz w:val="20"/>
                <w:lang w:val="en-US" w:eastAsia="zh-CN"/>
              </w:rPr>
            </w:pPr>
            <w:r>
              <w:rPr>
                <w:rFonts w:hint="eastAsia" w:eastAsia="宋体"/>
                <w:sz w:val="20"/>
                <w:lang w:val="en-US" w:eastAsia="zh-CN"/>
              </w:rPr>
              <w:t>含义</w:t>
            </w:r>
          </w:p>
        </w:tc>
      </w:tr>
      <w:tr w14:paraId="1F4EA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225" w:type="dxa"/>
          </w:tcPr>
          <w:p w14:paraId="4186844B">
            <w:pPr>
              <w:pStyle w:val="12"/>
              <w:spacing w:before="36"/>
              <w:ind w:left="556" w:right="547"/>
              <w:jc w:val="center"/>
              <w:rPr>
                <w:sz w:val="21"/>
              </w:rPr>
            </w:pPr>
            <w:r>
              <w:rPr>
                <w:rFonts w:hint="default" w:eastAsia="宋体"/>
                <w:lang w:val="en-US" w:eastAsia="zh-CN"/>
              </w:rPr>
              <w:t>训练集R²</w:t>
            </w:r>
          </w:p>
        </w:tc>
        <w:tc>
          <w:tcPr>
            <w:tcW w:w="1582" w:type="dxa"/>
          </w:tcPr>
          <w:p w14:paraId="3FEFF3D6">
            <w:pPr>
              <w:pStyle w:val="12"/>
              <w:jc w:val="center"/>
              <w:rPr>
                <w:sz w:val="20"/>
              </w:rPr>
            </w:pPr>
            <w:r>
              <w:rPr>
                <w:rFonts w:hint="default" w:eastAsia="宋体"/>
                <w:lang w:val="en-US" w:eastAsia="zh-CN"/>
              </w:rPr>
              <w:t>0.7570</w:t>
            </w:r>
          </w:p>
        </w:tc>
        <w:tc>
          <w:tcPr>
            <w:tcW w:w="5199" w:type="dxa"/>
          </w:tcPr>
          <w:p w14:paraId="217C59F1">
            <w:pPr>
              <w:pStyle w:val="12"/>
              <w:jc w:val="center"/>
              <w:rPr>
                <w:sz w:val="20"/>
              </w:rPr>
            </w:pPr>
            <w:r>
              <w:rPr>
                <w:rFonts w:hint="eastAsia"/>
                <w:sz w:val="20"/>
              </w:rPr>
              <w:t>模型在训练数据上解释了约 75.7% 的方差。说明模型学到了数据的主要规律（周期性），但未达到 0.9+ 的极高拟合度，表明模型未过拟合</w:t>
            </w:r>
          </w:p>
        </w:tc>
      </w:tr>
      <w:tr w14:paraId="3BAC4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225" w:type="dxa"/>
          </w:tcPr>
          <w:p w14:paraId="51A621EF">
            <w:pPr>
              <w:pStyle w:val="12"/>
              <w:spacing w:before="36"/>
              <w:ind w:left="556" w:right="547"/>
              <w:jc w:val="center"/>
              <w:rPr>
                <w:sz w:val="21"/>
              </w:rPr>
            </w:pPr>
            <w:r>
              <w:rPr>
                <w:rFonts w:hint="default" w:eastAsia="宋体"/>
                <w:lang w:val="en-US" w:eastAsia="zh-CN"/>
              </w:rPr>
              <w:t>测试集R²</w:t>
            </w:r>
          </w:p>
        </w:tc>
        <w:tc>
          <w:tcPr>
            <w:tcW w:w="1582" w:type="dxa"/>
          </w:tcPr>
          <w:p w14:paraId="35E61D53">
            <w:pPr>
              <w:pStyle w:val="12"/>
              <w:jc w:val="center"/>
              <w:rPr>
                <w:sz w:val="20"/>
              </w:rPr>
            </w:pPr>
            <w:r>
              <w:rPr>
                <w:rFonts w:hint="eastAsia"/>
                <w:sz w:val="20"/>
              </w:rPr>
              <w:t>0.6323</w:t>
            </w:r>
          </w:p>
        </w:tc>
        <w:tc>
          <w:tcPr>
            <w:tcW w:w="5199" w:type="dxa"/>
          </w:tcPr>
          <w:p w14:paraId="2C22D56E">
            <w:pPr>
              <w:pStyle w:val="12"/>
              <w:jc w:val="left"/>
              <w:rPr>
                <w:sz w:val="20"/>
              </w:rPr>
            </w:pPr>
            <w:r>
              <w:rPr>
                <w:rFonts w:hint="eastAsia"/>
                <w:sz w:val="20"/>
              </w:rPr>
              <w:t>模型在未见过的测试数据上解释了约 63.2% 的方差。相比训练集下降了约 0.12，属于正常的泛化误差。考虑到数据本身的高噪声特性（从散点图可见），这是一个相当稳健的结果。</w:t>
            </w:r>
          </w:p>
        </w:tc>
      </w:tr>
      <w:tr w14:paraId="077D6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225" w:type="dxa"/>
          </w:tcPr>
          <w:p w14:paraId="034214B3">
            <w:pPr>
              <w:pStyle w:val="12"/>
              <w:spacing w:before="39"/>
              <w:ind w:left="556" w:right="547"/>
              <w:jc w:val="center"/>
              <w:rPr>
                <w:sz w:val="21"/>
              </w:rPr>
            </w:pPr>
            <w:r>
              <w:rPr>
                <w:rFonts w:hint="default" w:eastAsia="宋体"/>
                <w:lang w:val="en-US" w:eastAsia="zh-CN"/>
              </w:rPr>
              <w:t>测试集MAE</w:t>
            </w:r>
          </w:p>
        </w:tc>
        <w:tc>
          <w:tcPr>
            <w:tcW w:w="1582" w:type="dxa"/>
          </w:tcPr>
          <w:p w14:paraId="43195F3D">
            <w:pPr>
              <w:pStyle w:val="4"/>
              <w:spacing w:before="1"/>
              <w:ind w:left="206" w:right="206"/>
              <w:jc w:val="center"/>
              <w:rPr>
                <w:sz w:val="20"/>
              </w:rPr>
            </w:pPr>
            <w:r>
              <w:rPr>
                <w:rFonts w:hint="eastAsia"/>
                <w:sz w:val="20"/>
              </w:rPr>
              <w:t xml:space="preserve"> </w:t>
            </w:r>
            <w:r>
              <w:rPr>
                <w:rFonts w:hint="default" w:eastAsia="宋体"/>
                <w:lang w:val="en-US" w:eastAsia="zh-CN"/>
              </w:rPr>
              <w:t>0.4036</w:t>
            </w:r>
          </w:p>
        </w:tc>
        <w:tc>
          <w:tcPr>
            <w:tcW w:w="5199" w:type="dxa"/>
          </w:tcPr>
          <w:p w14:paraId="230F1445">
            <w:pPr>
              <w:pStyle w:val="12"/>
              <w:jc w:val="left"/>
              <w:rPr>
                <w:sz w:val="20"/>
              </w:rPr>
            </w:pPr>
            <w:r>
              <w:rPr>
                <w:rFonts w:hint="eastAsia"/>
                <w:sz w:val="20"/>
              </w:rPr>
              <w:t>平均绝对误差约为 0.4。结合 y 的范围（约 -2 到 2），平均预测偏差在 20% 左右，对于高噪声非线性数据是可以接受的。</w:t>
            </w:r>
          </w:p>
        </w:tc>
      </w:tr>
      <w:tr w14:paraId="6D63B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225" w:type="dxa"/>
          </w:tcPr>
          <w:p w14:paraId="4AA85C2E">
            <w:pPr>
              <w:pStyle w:val="12"/>
              <w:spacing w:before="39"/>
              <w:ind w:left="556" w:right="547"/>
              <w:jc w:val="center"/>
              <w:rPr>
                <w:rFonts w:hint="eastAsia" w:eastAsia="宋体"/>
                <w:lang w:val="en-US" w:eastAsia="zh-CN"/>
              </w:rPr>
            </w:pPr>
            <w:r>
              <w:rPr>
                <w:rFonts w:hint="eastAsia" w:eastAsia="宋体"/>
                <w:lang w:val="en-US" w:eastAsia="zh-CN"/>
              </w:rPr>
              <w:t>残差均值</w:t>
            </w:r>
          </w:p>
        </w:tc>
        <w:tc>
          <w:tcPr>
            <w:tcW w:w="1582" w:type="dxa"/>
          </w:tcPr>
          <w:p w14:paraId="2D0311E8">
            <w:pPr>
              <w:pStyle w:val="12"/>
              <w:jc w:val="center"/>
              <w:rPr>
                <w:rFonts w:hint="eastAsia"/>
                <w:sz w:val="20"/>
              </w:rPr>
            </w:pPr>
            <w:r>
              <w:rPr>
                <w:rFonts w:hint="default" w:eastAsia="宋体"/>
                <w:lang w:val="en-US" w:eastAsia="zh-CN"/>
              </w:rPr>
              <w:t>0.0856</w:t>
            </w:r>
          </w:p>
        </w:tc>
        <w:tc>
          <w:tcPr>
            <w:tcW w:w="5199" w:type="dxa"/>
          </w:tcPr>
          <w:p w14:paraId="5F856890">
            <w:pPr>
              <w:pStyle w:val="12"/>
              <w:jc w:val="left"/>
              <w:rPr>
                <w:rFonts w:hint="eastAsia"/>
                <w:sz w:val="20"/>
              </w:rPr>
            </w:pPr>
            <w:r>
              <w:rPr>
                <w:rFonts w:hint="eastAsia"/>
                <w:sz w:val="20"/>
              </w:rPr>
              <w:t>非常接近</w:t>
            </w:r>
            <w:r>
              <w:rPr>
                <w:rFonts w:hint="eastAsia"/>
                <w:b/>
                <w:bCs/>
                <w:sz w:val="20"/>
              </w:rPr>
              <w:t>0</w:t>
            </w:r>
            <w:r>
              <w:rPr>
                <w:rFonts w:hint="eastAsia"/>
                <w:sz w:val="20"/>
              </w:rPr>
              <w:t>。说明模型是</w:t>
            </w:r>
            <w:r>
              <w:rPr>
                <w:rFonts w:hint="eastAsia"/>
                <w:b/>
                <w:bCs/>
                <w:sz w:val="20"/>
              </w:rPr>
              <w:t>无偏估计</w:t>
            </w:r>
            <w:r>
              <w:rPr>
                <w:rFonts w:hint="eastAsia"/>
                <w:sz w:val="20"/>
              </w:rPr>
              <w:t>（Unbiased），没有系统性的高估或低估。</w:t>
            </w:r>
          </w:p>
        </w:tc>
      </w:tr>
      <w:tr w14:paraId="71933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225" w:type="dxa"/>
          </w:tcPr>
          <w:p w14:paraId="34F19396">
            <w:pPr>
              <w:pStyle w:val="12"/>
              <w:spacing w:before="39"/>
              <w:ind w:left="556" w:right="547"/>
              <w:jc w:val="center"/>
              <w:rPr>
                <w:rFonts w:hint="eastAsia" w:eastAsia="宋体"/>
                <w:lang w:val="en-US" w:eastAsia="zh-CN"/>
              </w:rPr>
            </w:pPr>
            <w:r>
              <w:rPr>
                <w:rFonts w:hint="eastAsia" w:eastAsia="宋体"/>
                <w:lang w:val="en-US" w:eastAsia="zh-CN"/>
              </w:rPr>
              <w:t>残差标准差</w:t>
            </w:r>
          </w:p>
        </w:tc>
        <w:tc>
          <w:tcPr>
            <w:tcW w:w="1582" w:type="dxa"/>
          </w:tcPr>
          <w:p w14:paraId="34A94B3E">
            <w:pPr>
              <w:pStyle w:val="4"/>
              <w:spacing w:before="1"/>
              <w:ind w:left="206" w:right="206"/>
              <w:jc w:val="center"/>
              <w:rPr>
                <w:rFonts w:hint="eastAsia"/>
                <w:sz w:val="20"/>
              </w:rPr>
            </w:pPr>
            <w:r>
              <w:rPr>
                <w:rFonts w:hint="default" w:eastAsia="宋体"/>
                <w:lang w:val="en-US" w:eastAsia="zh-CN"/>
              </w:rPr>
              <w:t>0.4950</w:t>
            </w:r>
          </w:p>
        </w:tc>
        <w:tc>
          <w:tcPr>
            <w:tcW w:w="5199" w:type="dxa"/>
          </w:tcPr>
          <w:p w14:paraId="10B70557">
            <w:pPr>
              <w:pStyle w:val="12"/>
              <w:jc w:val="left"/>
              <w:rPr>
                <w:rFonts w:hint="eastAsia"/>
                <w:sz w:val="20"/>
              </w:rPr>
            </w:pPr>
            <w:r>
              <w:rPr>
                <w:rFonts w:hint="eastAsia"/>
              </w:rPr>
              <w:t>反映了真实预测误差的离散程度</w:t>
            </w:r>
          </w:p>
        </w:tc>
      </w:tr>
      <w:tr w14:paraId="0A6BD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225" w:type="dxa"/>
          </w:tcPr>
          <w:p w14:paraId="54C5CDDB">
            <w:pPr>
              <w:pStyle w:val="12"/>
              <w:spacing w:before="39"/>
              <w:ind w:left="556" w:right="547"/>
              <w:jc w:val="center"/>
              <w:rPr>
                <w:rFonts w:hint="eastAsia" w:eastAsia="宋体"/>
                <w:lang w:val="en-US" w:eastAsia="zh-CN"/>
              </w:rPr>
            </w:pPr>
            <w:r>
              <w:rPr>
                <w:rFonts w:hint="eastAsia" w:eastAsia="宋体"/>
                <w:lang w:val="en-US" w:eastAsia="zh-CN"/>
              </w:rPr>
              <w:t>平均预测σ</w:t>
            </w:r>
          </w:p>
        </w:tc>
        <w:tc>
          <w:tcPr>
            <w:tcW w:w="1582" w:type="dxa"/>
          </w:tcPr>
          <w:p w14:paraId="5A07CAAD">
            <w:pPr>
              <w:pStyle w:val="12"/>
              <w:jc w:val="center"/>
              <w:rPr>
                <w:rFonts w:hint="default" w:eastAsia="宋体"/>
                <w:sz w:val="20"/>
                <w:lang w:val="en-US" w:eastAsia="zh-CN"/>
              </w:rPr>
            </w:pPr>
            <w:r>
              <w:rPr>
                <w:rFonts w:hint="eastAsia" w:eastAsia="宋体"/>
                <w:sz w:val="20"/>
                <w:lang w:val="en-US" w:eastAsia="zh-CN"/>
              </w:rPr>
              <w:t>0.4781</w:t>
            </w:r>
          </w:p>
        </w:tc>
        <w:tc>
          <w:tcPr>
            <w:tcW w:w="5199" w:type="dxa"/>
          </w:tcPr>
          <w:p w14:paraId="624283CC">
            <w:pPr>
              <w:pStyle w:val="12"/>
              <w:jc w:val="left"/>
              <w:rPr>
                <w:rFonts w:hint="eastAsia"/>
                <w:sz w:val="20"/>
              </w:rPr>
            </w:pPr>
            <w:r>
              <w:rPr>
                <w:rFonts w:hint="eastAsia"/>
                <w:sz w:val="20"/>
              </w:rPr>
              <w:t>模型对自己“有多不确定”的估计。关键发现：残差标准差(0.495) ≈平均预测σ(0.478)。 这说明模型的不确定性校准（Calibration）非常好，它清楚地知道自己哪里准、哪里不准。</w:t>
            </w:r>
          </w:p>
        </w:tc>
      </w:tr>
      <w:tr w14:paraId="1434A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225" w:type="dxa"/>
          </w:tcPr>
          <w:p w14:paraId="0B8BA6F3">
            <w:pPr>
              <w:pStyle w:val="12"/>
              <w:spacing w:before="39"/>
              <w:ind w:left="556" w:right="547"/>
              <w:jc w:val="center"/>
              <w:rPr>
                <w:rFonts w:hint="default" w:eastAsia="宋体"/>
                <w:lang w:val="en-US" w:eastAsia="zh-CN"/>
              </w:rPr>
            </w:pPr>
            <w:r>
              <w:rPr>
                <w:rFonts w:hint="eastAsia" w:eastAsia="宋体"/>
                <w:lang w:val="en-US" w:eastAsia="zh-CN"/>
              </w:rPr>
              <w:t>图3.a</w:t>
            </w:r>
          </w:p>
        </w:tc>
        <w:tc>
          <w:tcPr>
            <w:tcW w:w="1582" w:type="dxa"/>
          </w:tcPr>
          <w:p w14:paraId="1B953720">
            <w:pPr>
              <w:pStyle w:val="12"/>
              <w:jc w:val="center"/>
              <w:rPr>
                <w:rFonts w:hint="eastAsia" w:eastAsia="宋体"/>
                <w:sz w:val="20"/>
                <w:lang w:val="en-US" w:eastAsia="zh-CN"/>
              </w:rPr>
            </w:pPr>
          </w:p>
        </w:tc>
        <w:tc>
          <w:tcPr>
            <w:tcW w:w="5199" w:type="dxa"/>
          </w:tcPr>
          <w:p w14:paraId="0F3518DA">
            <w:pPr>
              <w:pStyle w:val="12"/>
              <w:jc w:val="left"/>
              <w:rPr>
                <w:rFonts w:hint="eastAsia" w:eastAsia="宋体"/>
                <w:sz w:val="20"/>
                <w:lang w:eastAsia="zh-CN"/>
              </w:rPr>
            </w:pPr>
            <w:r>
              <w:rPr>
                <w:rFonts w:hint="eastAsia"/>
                <w:sz w:val="20"/>
              </w:rPr>
              <w:t>红色实线（预测均值）完美捕捉了数据的</w:t>
            </w:r>
            <w:r>
              <w:rPr>
                <w:rFonts w:hint="default"/>
                <w:sz w:val="20"/>
              </w:rPr>
              <w:t>类正弦振荡特征（约 3 个完整周期）</w:t>
            </w:r>
            <w:r>
              <w:rPr>
                <w:rFonts w:hint="eastAsia"/>
                <w:sz w:val="20"/>
                <w:lang w:eastAsia="zh-CN"/>
              </w:rPr>
              <w:t>，</w:t>
            </w:r>
            <w:r>
              <w:rPr>
                <w:rFonts w:hint="eastAsia"/>
                <w:sz w:val="20"/>
              </w:rPr>
              <w:t>这验证</w:t>
            </w:r>
            <w:r>
              <w:rPr>
                <w:rFonts w:hint="eastAsia" w:eastAsia="宋体"/>
                <w:sz w:val="20"/>
                <w:lang w:val="en-US" w:eastAsia="zh-CN"/>
              </w:rPr>
              <w:t>了</w:t>
            </w:r>
            <w:r>
              <w:rPr>
                <w:rFonts w:hint="eastAsia"/>
                <w:sz w:val="20"/>
              </w:rPr>
              <w:t>ExpSineSquared</w:t>
            </w:r>
            <w:r>
              <w:rPr>
                <w:rFonts w:hint="default"/>
                <w:sz w:val="20"/>
              </w:rPr>
              <w:t xml:space="preserve"> 核函数的有效性</w:t>
            </w:r>
            <w:r>
              <w:rPr>
                <w:rFonts w:hint="eastAsia" w:eastAsia="宋体"/>
                <w:sz w:val="20"/>
                <w:lang w:eastAsia="zh-CN"/>
              </w:rPr>
              <w:t>。</w:t>
            </w:r>
          </w:p>
          <w:p w14:paraId="5C517A83">
            <w:pPr>
              <w:pStyle w:val="12"/>
              <w:jc w:val="left"/>
              <w:rPr>
                <w:rFonts w:hint="eastAsia" w:eastAsia="宋体"/>
                <w:sz w:val="20"/>
                <w:lang w:eastAsia="zh-CN"/>
              </w:rPr>
            </w:pPr>
            <w:r>
              <w:rPr>
                <w:rFonts w:hint="eastAsia"/>
                <w:sz w:val="20"/>
              </w:rPr>
              <w:t>绝大多数测试点（橙色/紫色点）都落在了 95% 置信区间内</w:t>
            </w:r>
            <w:r>
              <w:rPr>
                <w:rFonts w:hint="default"/>
                <w:sz w:val="20"/>
              </w:rPr>
              <w:t>，说明模型可靠性高</w:t>
            </w:r>
          </w:p>
        </w:tc>
      </w:tr>
    </w:tbl>
    <w:p w14:paraId="7A8FDAFC">
      <w:pPr>
        <w:pStyle w:val="4"/>
        <w:spacing w:before="1"/>
        <w:ind w:left="206" w:right="206"/>
        <w:jc w:val="center"/>
        <w:rPr>
          <w:rFonts w:hint="default" w:eastAsia="宋体"/>
          <w:lang w:val="en-US" w:eastAsia="zh-CN"/>
        </w:rPr>
      </w:pPr>
    </w:p>
    <w:p w14:paraId="4E1E53B1"/>
    <w:p w14:paraId="1B4C85BA">
      <w:pPr>
        <w:pStyle w:val="4"/>
        <w:rPr>
          <w:sz w:val="24"/>
        </w:rPr>
      </w:pPr>
    </w:p>
    <w:p w14:paraId="703C9284">
      <w:pPr>
        <w:pStyle w:val="2"/>
        <w:spacing w:before="161"/>
        <w:rPr>
          <w:rFonts w:hint="eastAsia" w:eastAsia="宋体"/>
          <w:lang w:val="en-US" w:eastAsia="zh-CN"/>
        </w:rPr>
      </w:pPr>
      <w:r>
        <w:rPr>
          <w:rFonts w:hint="eastAsia" w:eastAsia="宋体"/>
          <w:lang w:val="en-US" w:eastAsia="zh-CN"/>
        </w:rPr>
        <w:t>结论</w:t>
      </w:r>
    </w:p>
    <w:p w14:paraId="0983858C">
      <w:pPr>
        <w:pStyle w:val="4"/>
        <w:spacing w:before="5"/>
        <w:rPr>
          <w:b/>
          <w:sz w:val="41"/>
        </w:rPr>
      </w:pPr>
    </w:p>
    <w:p w14:paraId="516A1B04">
      <w:pPr>
        <w:pStyle w:val="4"/>
        <w:spacing w:before="1"/>
        <w:ind w:left="206" w:right="206"/>
        <w:jc w:val="center"/>
        <w:rPr>
          <w:rFonts w:hint="eastAsia" w:eastAsia="宋体"/>
          <w:lang w:val="en-US" w:eastAsia="zh-CN"/>
        </w:rPr>
      </w:pPr>
      <w:r>
        <w:rPr>
          <w:rFonts w:hint="eastAsia" w:eastAsia="宋体"/>
          <w:lang w:val="en-US" w:eastAsia="zh-CN"/>
        </w:rPr>
        <w:t>通过对三种线性回归方法和高斯过程回归的实验，实验结果表明：</w:t>
      </w:r>
    </w:p>
    <w:p w14:paraId="04528336">
      <w:pPr>
        <w:pStyle w:val="4"/>
        <w:spacing w:before="1"/>
        <w:ind w:left="206" w:right="206"/>
        <w:jc w:val="center"/>
        <w:rPr>
          <w:rFonts w:hint="eastAsia" w:eastAsia="宋体"/>
          <w:lang w:val="en-US" w:eastAsia="zh-CN"/>
        </w:rPr>
      </w:pPr>
      <w:r>
        <w:rPr>
          <w:rFonts w:hint="eastAsia" w:eastAsia="宋体"/>
          <w:lang w:val="en-US" w:eastAsia="zh-CN"/>
        </w:rPr>
        <w:t>面对非线性数据时，线性回归模型无法得到较好的拟合，这是由于线性回归方法自带的系统性偏差，无法通过优化得到较为符合非线性数据的模型。</w:t>
      </w:r>
    </w:p>
    <w:p w14:paraId="28B7CA23">
      <w:pPr>
        <w:pStyle w:val="4"/>
        <w:spacing w:before="1"/>
        <w:ind w:left="206" w:right="206"/>
        <w:jc w:val="center"/>
        <w:rPr>
          <w:rFonts w:hint="default" w:eastAsia="宋体"/>
          <w:sz w:val="22"/>
          <w:lang w:val="en-US" w:eastAsia="zh-CN"/>
        </w:rPr>
      </w:pPr>
      <w:r>
        <w:rPr>
          <w:rFonts w:hint="eastAsia" w:eastAsia="宋体"/>
          <w:lang w:val="en-US" w:eastAsia="zh-CN"/>
        </w:rPr>
        <w:t>而面对本次给定非线性数据时，高斯过程回归取到了较好的拟合效果，远远优于上述3个线性回归模型，这也得益于高斯过程回归的优点适配该数据的复杂函数、小样本、高噪声特性。</w:t>
      </w:r>
      <w:bookmarkStart w:id="0" w:name="_GoBack"/>
      <w:bookmarkEnd w:id="0"/>
    </w:p>
    <w:p w14:paraId="2A8FF731">
      <w:pPr>
        <w:pStyle w:val="4"/>
        <w:spacing w:before="3"/>
        <w:rPr>
          <w:sz w:val="18"/>
        </w:rPr>
      </w:pPr>
    </w:p>
    <w:p w14:paraId="09B49721">
      <w:pPr>
        <w:pStyle w:val="2"/>
        <w:spacing w:before="1"/>
        <w:ind w:left="207"/>
        <w:rPr>
          <w:rFonts w:hint="eastAsia" w:eastAsia="宋体"/>
          <w:lang w:val="en-US" w:eastAsia="zh-CN"/>
        </w:rPr>
      </w:pPr>
      <w:r>
        <w:rPr>
          <w:rFonts w:hint="eastAsia" w:eastAsia="宋体"/>
          <w:lang w:val="en-US" w:eastAsia="zh-CN"/>
        </w:rPr>
        <w:t>参考文献</w:t>
      </w:r>
    </w:p>
    <w:p w14:paraId="4DA6348D">
      <w:pPr>
        <w:pStyle w:val="4"/>
        <w:spacing w:before="2"/>
        <w:rPr>
          <w:b/>
          <w:sz w:val="38"/>
        </w:rPr>
      </w:pPr>
    </w:p>
    <w:p w14:paraId="3CB2EF88">
      <w:pPr>
        <w:pStyle w:val="4"/>
        <w:spacing w:line="264" w:lineRule="auto"/>
        <w:ind w:left="120"/>
        <w:rPr>
          <w:rFonts w:hint="default"/>
          <w:kern w:val="0"/>
          <w:lang w:val="en-US" w:eastAsia="zh-CN"/>
        </w:rPr>
      </w:pPr>
      <w:r>
        <w:t>[</w:t>
      </w:r>
      <w:r>
        <w:rPr>
          <w:rFonts w:hint="eastAsia"/>
        </w:rPr>
        <w:t>1]何志昆,刘光斌,赵曦晶,等.高斯过程回归方法综述[J].控制与决策,2013,28(08):1121-1129+1137.DOI:10.13195/j.kzyjc.2013.08.018.</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403E0A"/>
    <w:multiLevelType w:val="singleLevel"/>
    <w:tmpl w:val="E2403E0A"/>
    <w:lvl w:ilvl="0" w:tentative="0">
      <w:start w:val="1"/>
      <w:numFmt w:val="lowerLetter"/>
      <w:lvlText w:val="%1."/>
      <w:lvlJc w:val="left"/>
      <w:pPr>
        <w:tabs>
          <w:tab w:val="left" w:pos="1260"/>
        </w:tabs>
        <w:ind w:left="1685" w:hanging="425"/>
      </w:pPr>
      <w:rPr>
        <w:rFonts w:hint="default"/>
      </w:rPr>
    </w:lvl>
  </w:abstractNum>
  <w:abstractNum w:abstractNumId="1">
    <w:nsid w:val="F3027C7B"/>
    <w:multiLevelType w:val="singleLevel"/>
    <w:tmpl w:val="F3027C7B"/>
    <w:lvl w:ilvl="0" w:tentative="0">
      <w:start w:val="1"/>
      <w:numFmt w:val="chineseCounting"/>
      <w:suff w:val="nothing"/>
      <w:lvlText w:val="（%1）"/>
      <w:lvlJc w:val="left"/>
      <w:pPr>
        <w:ind w:left="0" w:firstLine="420"/>
      </w:pPr>
      <w:rPr>
        <w:rFonts w:hint="eastAsia"/>
      </w:rPr>
    </w:lvl>
  </w:abstractNum>
  <w:abstractNum w:abstractNumId="2">
    <w:nsid w:val="3AC70CAC"/>
    <w:multiLevelType w:val="singleLevel"/>
    <w:tmpl w:val="3AC70CAC"/>
    <w:lvl w:ilvl="0" w:tentative="0">
      <w:start w:val="1"/>
      <w:numFmt w:val="lowerLetter"/>
      <w:lvlText w:val="%1."/>
      <w:lvlJc w:val="left"/>
      <w:pPr>
        <w:ind w:left="425" w:hanging="425"/>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342D61"/>
    <w:rsid w:val="116D71F8"/>
    <w:rsid w:val="419E1B58"/>
    <w:rsid w:val="49ED69D6"/>
    <w:rsid w:val="7B342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qFormat/>
    <w:uiPriority w:val="1"/>
    <w:pPr>
      <w:ind w:left="206" w:right="206"/>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205" w:right="206"/>
      <w:jc w:val="center"/>
      <w:outlineLvl w:val="2"/>
    </w:pPr>
    <w:rPr>
      <w:rFonts w:ascii="Times New Roman" w:hAnsi="Times New Roman" w:eastAsia="Times New Roman" w:cs="Times New Roman"/>
      <w:b/>
      <w:bCs/>
      <w:sz w:val="24"/>
      <w:szCs w:val="24"/>
      <w:lang w:val="en-US" w:eastAsia="en-US"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1"/>
      <w:szCs w:val="21"/>
      <w:lang w:val="en-US" w:eastAsia="en-US" w:bidi="ar-SA"/>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 w:type="paragraph" w:customStyle="1" w:styleId="12">
    <w:name w:val="Table Paragraph"/>
    <w:basedOn w:val="1"/>
    <w:qFormat/>
    <w:uiPriority w:val="1"/>
    <w:rPr>
      <w:rFonts w:ascii="Times New Roman" w:hAnsi="Times New Roman" w:eastAsia="Times New Roman" w:cs="Times New Roman"/>
      <w:lang w:val="en-US" w:eastAsia="en-US" w:bidi="ar-SA"/>
    </w:rPr>
  </w:style>
  <w:style w:type="paragraph" w:customStyle="1" w:styleId="13">
    <w:name w:val="First Paragraph"/>
    <w:basedOn w:val="4"/>
    <w:next w:val="4"/>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2042</Words>
  <Characters>2767</Characters>
  <Lines>0</Lines>
  <Paragraphs>0</Paragraphs>
  <TotalTime>8</TotalTime>
  <ScaleCrop>false</ScaleCrop>
  <LinksUpToDate>false</LinksUpToDate>
  <CharactersWithSpaces>2890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2026-04-02T13:31:00Z</dcterms:created>
  <dc:creator>DBAA</dc:creator>
  <cp:lastModifiedBy>DBAA</cp:lastModifiedBy>
  <dcterms:modified xsi:type="dcterms:W3CDTF">2026-04-02T15:57:15Z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A64CFC051FD1437FACB8BCFB272284EA_11</vt:lpwstr>
  </property>
  <property fmtid="{D5CDD505-2E9C-101B-9397-08002B2CF9AE}" pid="4" name="KSOTemplateDocerSaveRecord">
    <vt:lpwstr>eyJoZGlkIjoiOTkwNWI0MDViYWI2YTYwYzRlY2I5MzMyM2Y3ZjY1MjMiLCJ1c2VySWQiOiIxNDM2Mjc2MzI3In0=</vt:lpwstr>
  </property>
</Properties>
</file>