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2E201">
      <w:pPr>
        <w:pStyle w:val="4"/>
        <w:rPr>
          <w:sz w:val="20"/>
          <w:highlight w:val="yellow"/>
        </w:rPr>
      </w:pPr>
    </w:p>
    <w:p w14:paraId="68ECBF7A">
      <w:pPr>
        <w:pStyle w:val="4"/>
        <w:spacing w:before="11"/>
        <w:rPr>
          <w:sz w:val="25"/>
        </w:rPr>
      </w:pPr>
    </w:p>
    <w:p w14:paraId="13030CA6">
      <w:pPr>
        <w:autoSpaceDE w:val="0"/>
        <w:autoSpaceDN w:val="0"/>
        <w:spacing w:before="89" w:after="0" w:line="240" w:lineRule="auto"/>
        <w:ind w:left="208" w:right="206" w:firstLine="0"/>
        <w:jc w:val="center"/>
        <w:rPr>
          <w:rFonts w:hint="default" w:ascii="Times New Roman" w:hAnsi="Times New Roman" w:eastAsia="Times New Roman" w:cs="Times New Roman"/>
          <w:b/>
          <w:kern w:val="0"/>
          <w:sz w:val="28"/>
          <w:szCs w:val="22"/>
          <w:lang w:val="en-US" w:eastAsia="zh-CN"/>
        </w:rPr>
      </w:pPr>
      <w:r>
        <w:rPr>
          <w:rFonts w:hint="eastAsia" w:ascii="Times New Roman" w:hAnsi="Times New Roman" w:eastAsia="Times New Roman" w:cs="Times New Roman"/>
          <w:b/>
          <w:kern w:val="0"/>
          <w:sz w:val="28"/>
          <w:szCs w:val="22"/>
          <w:lang w:val="en-US" w:eastAsia="zh-CN"/>
        </w:rPr>
        <w:t>D——Transformer</w:t>
      </w:r>
    </w:p>
    <w:p w14:paraId="09AFFA9A">
      <w:pPr>
        <w:autoSpaceDE w:val="0"/>
        <w:autoSpaceDN w:val="0"/>
        <w:spacing w:before="89" w:after="0" w:line="240" w:lineRule="auto"/>
        <w:ind w:left="208" w:right="206" w:firstLine="0"/>
        <w:jc w:val="center"/>
        <w:rPr>
          <w:rFonts w:hint="eastAsia" w:ascii="Times New Roman" w:hAnsi="Times New Roman" w:eastAsia="Times New Roman" w:cs="Times New Roman"/>
          <w:b/>
          <w:kern w:val="0"/>
          <w:sz w:val="28"/>
          <w:szCs w:val="22"/>
          <w:lang w:val="en-US" w:eastAsia="zh-CN"/>
        </w:rPr>
      </w:pPr>
    </w:p>
    <w:p w14:paraId="5D31F5B3">
      <w:pPr>
        <w:pStyle w:val="4"/>
        <w:spacing w:before="1"/>
        <w:ind w:left="207" w:right="206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val="en-US" w:eastAsia="zh-CN"/>
        </w:rPr>
        <w:t>管睿</w:t>
      </w:r>
    </w:p>
    <w:p w14:paraId="18E5FDBF">
      <w:pPr>
        <w:pStyle w:val="4"/>
        <w:spacing w:before="70"/>
        <w:ind w:left="209" w:right="206"/>
        <w:jc w:val="center"/>
      </w:pPr>
      <w:r>
        <w:rPr>
          <w:rFonts w:hint="eastAsia"/>
          <w:color w:val="auto"/>
          <w:kern w:val="0"/>
          <w:u w:val="none"/>
          <w:lang w:val="en-US" w:eastAsia="zh-CN"/>
        </w:rPr>
        <w:fldChar w:fldCharType="begin"/>
      </w:r>
      <w:r>
        <w:rPr>
          <w:rFonts w:hint="eastAsia"/>
          <w:color w:val="auto"/>
          <w:kern w:val="0"/>
          <w:u w:val="none"/>
          <w:lang w:val="en-US" w:eastAsia="zh-CN"/>
        </w:rPr>
        <w:instrText xml:space="preserve"> HYPERLINK "mailto:23374318@buaa.edu.cn" </w:instrText>
      </w:r>
      <w:r>
        <w:rPr>
          <w:rFonts w:hint="eastAsia"/>
          <w:color w:val="auto"/>
          <w:kern w:val="0"/>
          <w:u w:val="none"/>
          <w:lang w:val="en-US" w:eastAsia="zh-CN"/>
        </w:rPr>
        <w:fldChar w:fldCharType="separate"/>
      </w:r>
      <w:r>
        <w:rPr>
          <w:rStyle w:val="11"/>
          <w:rFonts w:hint="eastAsia"/>
          <w:color w:val="auto"/>
          <w:kern w:val="0"/>
          <w:u w:val="none"/>
          <w:lang w:val="en-US" w:eastAsia="zh-CN"/>
        </w:rPr>
        <w:t>23374318@buaa.edu.cn</w:t>
      </w:r>
      <w:r>
        <w:rPr>
          <w:rFonts w:hint="eastAsia"/>
          <w:color w:val="auto"/>
          <w:kern w:val="0"/>
          <w:u w:val="none"/>
          <w:lang w:val="en-US" w:eastAsia="zh-CN"/>
        </w:rPr>
        <w:fldChar w:fldCharType="end"/>
      </w:r>
    </w:p>
    <w:p w14:paraId="678DCF58">
      <w:pPr>
        <w:pStyle w:val="4"/>
        <w:spacing w:before="4"/>
        <w:rPr>
          <w:sz w:val="24"/>
        </w:rPr>
      </w:pPr>
    </w:p>
    <w:p w14:paraId="355CDC1B">
      <w:pPr>
        <w:pStyle w:val="2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摘要</w:t>
      </w:r>
    </w:p>
    <w:p w14:paraId="3F8B8B6E">
      <w:pPr>
        <w:pStyle w:val="4"/>
        <w:spacing w:before="5"/>
        <w:rPr>
          <w:b/>
          <w:sz w:val="41"/>
        </w:rPr>
      </w:pPr>
    </w:p>
    <w:p w14:paraId="49ED967D">
      <w:pPr>
        <w:pStyle w:val="4"/>
        <w:ind w:left="207" w:right="206"/>
        <w:jc w:val="center"/>
        <w:rPr>
          <w:rFonts w:hint="default" w:eastAsia="宋体"/>
          <w:sz w:val="22"/>
          <w:lang w:val="en-US" w:eastAsia="zh-CN"/>
        </w:rPr>
      </w:pPr>
      <w:r>
        <w:rPr>
          <w:rFonts w:hint="eastAsia" w:eastAsia="宋体"/>
          <w:lang w:val="en-US" w:eastAsia="zh-CN"/>
        </w:rPr>
        <w:t>针对"Attention is All You Need"论文复现任务，本文实现了Transformer Encoder的完整复现，并聚焦位置编码模块进行消融实验研究。通过设计位置依赖模式生成任务（输入全零序列，目标为位置索引的确定性映射），对比正弦位置编码、可学习绝对位置编码、无位置编码三种方案的性能。实验结果表明：正弦编码和可学习编码均在1个epoch内收敛至100%准确率，而无位置编码方案准确率始终卡在20%的随机基线水平，直观验证了位置编码是Transformer捕获序列顺序信息的必要组件</w:t>
      </w:r>
    </w:p>
    <w:p w14:paraId="15F9D24A">
      <w:pPr>
        <w:pStyle w:val="4"/>
        <w:spacing w:before="5"/>
        <w:rPr>
          <w:sz w:val="24"/>
        </w:rPr>
      </w:pPr>
    </w:p>
    <w:p w14:paraId="2881148E">
      <w:pPr>
        <w:pStyle w:val="2"/>
        <w:ind w:left="204"/>
        <w:rPr>
          <w:rFonts w:hint="eastAsia" w:eastAsia="宋体"/>
          <w:lang w:eastAsia="zh-CN"/>
        </w:rPr>
      </w:pPr>
      <w:r>
        <w:rPr>
          <w:rFonts w:hint="eastAsia" w:eastAsia="宋体"/>
          <w:lang w:val="en-US" w:eastAsia="zh-CN"/>
        </w:rPr>
        <w:t>问题描述</w:t>
      </w:r>
    </w:p>
    <w:p w14:paraId="41AD7086">
      <w:pPr>
        <w:pStyle w:val="4"/>
        <w:spacing w:before="5"/>
        <w:rPr>
          <w:b/>
          <w:sz w:val="41"/>
        </w:rPr>
      </w:pPr>
    </w:p>
    <w:p w14:paraId="71117C94">
      <w:pPr>
        <w:pStyle w:val="4"/>
        <w:spacing w:before="1"/>
        <w:ind w:left="206" w:right="206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Transformer模型完全基于自注意力机制，摒弃了传统的循环/卷积结构，实现了高度并行化。然而，自注意力机制本身具有置换不变性（permutation equivariance），即输入序列的顺序打乱后，输出仅对应打乱，无法感知原始位置信息。</w:t>
      </w:r>
    </w:p>
    <w:p w14:paraId="4F24D1D5">
      <w:pPr>
        <w:pStyle w:val="4"/>
        <w:spacing w:before="1"/>
        <w:ind w:left="206" w:right="206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核心问题：位置编码是否为Transformer的必要组件？移除位置编码后，模型性能会退化到何种程度？不同位置编码形式对模型性能有何影响？</w:t>
      </w:r>
    </w:p>
    <w:p w14:paraId="6DC960CF">
      <w:pPr>
        <w:pStyle w:val="4"/>
        <w:spacing w:before="1"/>
        <w:ind w:left="206" w:right="206"/>
        <w:jc w:val="center"/>
        <w:rPr>
          <w:rFonts w:hint="eastAsia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eastAsia="宋体"/>
          <w:lang w:val="en-US" w:eastAsia="zh-CN"/>
        </w:rPr>
        <w:t>实验任务设计</w:t>
      </w:r>
      <w:r>
        <w:rPr>
          <w:rFonts w:hint="default" w:eastAsia="宋体"/>
          <w:lang w:val="en-US" w:eastAsia="zh-CN"/>
        </w:rPr>
        <w:t>：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输入 X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：全为 0 的序列（彻底剥离内容干扰）</w:t>
      </w:r>
      <w:r>
        <w:rPr>
          <w:rFonts w:hint="eastAsia" w:eastAsia="宋体" w:cs="Times New Roman"/>
          <w:kern w:val="2"/>
          <w:sz w:val="21"/>
          <w:szCs w:val="21"/>
          <w:lang w:val="en-US" w:eastAsia="zh-CN" w:bidi="ar-SA"/>
        </w:rPr>
        <w:t>；目标 Y：Y[t] = t % vocab_size（例如 [0,1,2,3,4...]，100% 由位置决定）；任务目标：模型需仅凭位置编码信息，预测每个时间步对应的位置索引类别。</w:t>
      </w:r>
    </w:p>
    <w:p w14:paraId="03A8ADCB">
      <w:pPr>
        <w:pStyle w:val="4"/>
        <w:spacing w:before="1"/>
        <w:ind w:left="206" w:right="206"/>
        <w:jc w:val="center"/>
        <w:rPr>
          <w:rFonts w:hint="eastAsia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eastAsia="宋体" w:cs="Times New Roman"/>
          <w:kern w:val="2"/>
          <w:sz w:val="21"/>
          <w:szCs w:val="21"/>
          <w:lang w:val="en-US" w:eastAsia="zh-CN" w:bidi="ar-SA"/>
        </w:rPr>
        <w:t>该任务将位置编码的必要性转化为强控制变量实验，确保消融对比的尖锐性与结论的可靠性。</w:t>
      </w:r>
    </w:p>
    <w:p w14:paraId="156CFC02">
      <w:pPr>
        <w:pStyle w:val="4"/>
        <w:spacing w:before="1"/>
        <w:ind w:left="206" w:right="206"/>
        <w:jc w:val="center"/>
        <w:rPr>
          <w:rFonts w:hint="default" w:eastAsia="宋体"/>
          <w:lang w:val="en-US" w:eastAsia="zh-CN"/>
        </w:rPr>
      </w:pPr>
    </w:p>
    <w:p w14:paraId="50403AA3">
      <w:pPr>
        <w:pStyle w:val="4"/>
        <w:rPr>
          <w:sz w:val="22"/>
        </w:rPr>
      </w:pPr>
    </w:p>
    <w:p w14:paraId="3A4610AC">
      <w:pPr>
        <w:pStyle w:val="2"/>
        <w:spacing w:before="152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研究方法</w:t>
      </w:r>
    </w:p>
    <w:p w14:paraId="0ED15BF5">
      <w:pPr>
        <w:pStyle w:val="4"/>
        <w:spacing w:before="4"/>
        <w:rPr>
          <w:b/>
          <w:sz w:val="41"/>
        </w:rPr>
      </w:pPr>
    </w:p>
    <w:p w14:paraId="6FA0105E">
      <w:pPr>
        <w:pStyle w:val="4"/>
        <w:numPr>
          <w:ilvl w:val="0"/>
          <w:numId w:val="1"/>
        </w:numPr>
        <w:spacing w:before="1"/>
        <w:ind w:left="206" w:right="206"/>
        <w:jc w:val="center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Transformer Encoder架构复现</w:t>
      </w:r>
    </w:p>
    <w:p w14:paraId="53E71D93">
      <w:pPr>
        <w:pStyle w:val="4"/>
        <w:spacing w:before="1"/>
        <w:ind w:left="206" w:right="206"/>
        <w:jc w:val="center"/>
        <w:rPr>
          <w:rFonts w:hint="eastAsia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本文复现了Vaswani等人（2017）提出的Transformer Encoder架构，核心模块包括</w:t>
      </w:r>
      <w:r>
        <w:rPr>
          <w:rFonts w:hint="eastAsia" w:eastAsia="宋体" w:cs="Times New Roman"/>
          <w:kern w:val="2"/>
          <w:sz w:val="21"/>
          <w:szCs w:val="21"/>
          <w:lang w:val="en-US" w:eastAsia="zh-CN" w:bidi="ar-SA"/>
        </w:rPr>
        <w:t>：</w:t>
      </w:r>
    </w:p>
    <w:p w14:paraId="1D3B0602">
      <w:pPr>
        <w:pStyle w:val="4"/>
        <w:numPr>
          <w:ilvl w:val="0"/>
          <w:numId w:val="2"/>
        </w:numPr>
        <w:spacing w:before="1"/>
        <w:ind w:left="206" w:right="206"/>
        <w:jc w:val="center"/>
        <w:rPr>
          <w:rFonts w:hint="eastAsia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eastAsia="宋体" w:cs="Times New Roman"/>
          <w:kern w:val="2"/>
          <w:sz w:val="21"/>
          <w:szCs w:val="21"/>
          <w:lang w:val="en-US" w:eastAsia="zh-CN" w:bidi="ar-SA"/>
        </w:rPr>
        <w:t>缩放点积注意力</w:t>
      </w:r>
    </w:p>
    <w:p w14:paraId="2477D41A">
      <w:pPr>
        <w:pStyle w:val="4"/>
        <w:numPr>
          <w:numId w:val="0"/>
        </w:numPr>
        <w:spacing w:before="1"/>
        <w:ind w:left="840" w:leftChars="0" w:right="206" w:rightChars="0" w:firstLine="420" w:firstLineChars="0"/>
        <w:jc w:val="center"/>
      </w:pPr>
      <w:r>
        <w:drawing>
          <wp:inline distT="0" distB="0" distL="114300" distR="114300">
            <wp:extent cx="3077210" cy="616585"/>
            <wp:effectExtent l="0" t="0" r="8890" b="1206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7210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B450F">
      <w:pPr>
        <w:pStyle w:val="4"/>
        <w:numPr>
          <w:ilvl w:val="0"/>
          <w:numId w:val="2"/>
        </w:numPr>
        <w:spacing w:before="1"/>
        <w:ind w:left="206" w:right="206"/>
        <w:jc w:val="center"/>
        <w:rPr>
          <w:rFonts w:hint="eastAsia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eastAsia="宋体" w:cs="Times New Roman"/>
          <w:kern w:val="2"/>
          <w:sz w:val="21"/>
          <w:szCs w:val="21"/>
          <w:lang w:val="en-US" w:eastAsia="zh-CN" w:bidi="ar-SA"/>
        </w:rPr>
        <w:t>多头注意力机制</w:t>
      </w:r>
    </w:p>
    <w:p w14:paraId="2690BA14">
      <w:pPr>
        <w:pStyle w:val="4"/>
        <w:ind w:left="206" w:right="206"/>
        <w:jc w:val="center"/>
      </w:pPr>
      <w:r>
        <w:drawing>
          <wp:inline distT="0" distB="0" distL="114300" distR="114300">
            <wp:extent cx="5273040" cy="836930"/>
            <wp:effectExtent l="0" t="0" r="3810" b="127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AE991">
      <w:pPr>
        <w:pStyle w:val="4"/>
        <w:ind w:left="206" w:right="206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（3）位置编码模块（三种变体）</w:t>
      </w:r>
    </w:p>
    <w:p w14:paraId="3AF0DE8C">
      <w:pPr>
        <w:pStyle w:val="4"/>
        <w:ind w:left="206" w:right="206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正弦位置编码（原始方法）、可学习绝对位置编码、无位置编码（消融对照）</w:t>
      </w:r>
    </w:p>
    <w:p w14:paraId="596F5993">
      <w:pPr>
        <w:pStyle w:val="4"/>
        <w:ind w:left="206" w:right="206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（4）前馈网络 + 残差连接 + 层归一化</w:t>
      </w:r>
    </w:p>
    <w:p w14:paraId="6AB76E24">
      <w:pPr>
        <w:pStyle w:val="4"/>
        <w:ind w:left="206" w:right="206"/>
        <w:jc w:val="center"/>
      </w:pPr>
      <w:r>
        <w:drawing>
          <wp:inline distT="0" distB="0" distL="114300" distR="114300">
            <wp:extent cx="2786380" cy="845820"/>
            <wp:effectExtent l="0" t="0" r="13970" b="1143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638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6E31C">
      <w:pPr>
        <w:pStyle w:val="4"/>
        <w:ind w:left="206" w:right="206"/>
        <w:jc w:val="left"/>
        <w:rPr>
          <w:b w:val="0"/>
          <w:bCs w:val="0"/>
        </w:rPr>
      </w:pPr>
      <w:r>
        <w:rPr>
          <w:rFonts w:hint="eastAsia" w:eastAsia="宋体"/>
          <w:b w:val="0"/>
          <w:bCs w:val="0"/>
          <w:lang w:val="en-US" w:eastAsia="zh-CN"/>
        </w:rPr>
        <w:t>Table 1: 最佳训练结果</w:t>
      </w:r>
      <w:r>
        <w:rPr>
          <w:rFonts w:ascii="sans-serif" w:hAnsi="sans-serif" w:eastAsia="sans-serif" w:cs="sans-serif"/>
          <w:b w:val="0"/>
          <w:bCs w:val="0"/>
          <w:i w:val="0"/>
          <w:iCs w:val="0"/>
          <w:caps w:val="0"/>
          <w:color w:val="1D1D1F"/>
          <w:spacing w:val="0"/>
          <w:sz w:val="21"/>
          <w:szCs w:val="21"/>
          <w:shd w:val="clear" w:fill="F7F8FC"/>
        </w:rPr>
        <w:t>配置项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E984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0F77CD5">
            <w:pPr>
              <w:pStyle w:val="4"/>
              <w:ind w:left="206" w:right="206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配置项</w:t>
            </w:r>
          </w:p>
        </w:tc>
        <w:tc>
          <w:tcPr>
            <w:tcW w:w="4261" w:type="dxa"/>
          </w:tcPr>
          <w:p w14:paraId="09A2C670">
            <w:pPr>
              <w:pStyle w:val="4"/>
              <w:ind w:left="206" w:right="206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参数值</w:t>
            </w:r>
          </w:p>
        </w:tc>
      </w:tr>
      <w:tr w14:paraId="5E0AF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0EA3395">
            <w:pPr>
              <w:pStyle w:val="4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序列长度</w:t>
            </w:r>
          </w:p>
        </w:tc>
        <w:tc>
          <w:tcPr>
            <w:tcW w:w="4261" w:type="dxa"/>
          </w:tcPr>
          <w:p w14:paraId="759E7C7A">
            <w:pPr>
              <w:pStyle w:val="4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 w14:paraId="3DC38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80830EF">
            <w:pPr>
              <w:pStyle w:val="4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词汇表大小</w:t>
            </w:r>
          </w:p>
        </w:tc>
        <w:tc>
          <w:tcPr>
            <w:tcW w:w="4261" w:type="dxa"/>
          </w:tcPr>
          <w:p w14:paraId="3AEA74B6">
            <w:pPr>
              <w:pStyle w:val="4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5（随机基线=20%）</w:t>
            </w:r>
          </w:p>
        </w:tc>
      </w:tr>
      <w:tr w14:paraId="6DEB6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D057FEA">
            <w:pPr>
              <w:pStyle w:val="4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训练集/验证集</w:t>
            </w:r>
          </w:p>
        </w:tc>
        <w:tc>
          <w:tcPr>
            <w:tcW w:w="4261" w:type="dxa"/>
          </w:tcPr>
          <w:p w14:paraId="413C938E">
            <w:pPr>
              <w:pStyle w:val="4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2000 / 500</w:t>
            </w:r>
          </w:p>
        </w:tc>
      </w:tr>
      <w:tr w14:paraId="0A371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061DAEC">
            <w:pPr>
              <w:pStyle w:val="4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批次大小</w:t>
            </w:r>
          </w:p>
        </w:tc>
        <w:tc>
          <w:tcPr>
            <w:tcW w:w="4261" w:type="dxa"/>
          </w:tcPr>
          <w:p w14:paraId="02CE5CB0">
            <w:pPr>
              <w:pStyle w:val="4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64</w:t>
            </w:r>
          </w:p>
        </w:tc>
      </w:tr>
      <w:tr w14:paraId="571FB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A66F7C4">
            <w:pPr>
              <w:pStyle w:val="4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模型维度</w:t>
            </w:r>
          </w:p>
        </w:tc>
        <w:tc>
          <w:tcPr>
            <w:tcW w:w="4261" w:type="dxa"/>
          </w:tcPr>
          <w:p w14:paraId="67C42526">
            <w:pPr>
              <w:pStyle w:val="4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128</w:t>
            </w:r>
          </w:p>
        </w:tc>
      </w:tr>
      <w:tr w14:paraId="4B556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4111E2C">
            <w:pPr>
              <w:pStyle w:val="4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Encoder层数</w:t>
            </w:r>
          </w:p>
        </w:tc>
        <w:tc>
          <w:tcPr>
            <w:tcW w:w="4261" w:type="dxa"/>
          </w:tcPr>
          <w:p w14:paraId="3A61D715">
            <w:pPr>
              <w:pStyle w:val="4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 w14:paraId="2C021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FA2C076">
            <w:pPr>
              <w:pStyle w:val="4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注意力头数</w:t>
            </w:r>
          </w:p>
        </w:tc>
        <w:tc>
          <w:tcPr>
            <w:tcW w:w="4261" w:type="dxa"/>
          </w:tcPr>
          <w:p w14:paraId="347B4AA7">
            <w:pPr>
              <w:pStyle w:val="4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 w14:paraId="5F6E5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6F79592">
            <w:pPr>
              <w:pStyle w:val="4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前馈网络维度</w:t>
            </w:r>
          </w:p>
        </w:tc>
        <w:tc>
          <w:tcPr>
            <w:tcW w:w="4261" w:type="dxa"/>
          </w:tcPr>
          <w:p w14:paraId="3A5F84E1">
            <w:pPr>
              <w:pStyle w:val="4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256</w:t>
            </w:r>
          </w:p>
        </w:tc>
      </w:tr>
      <w:tr w14:paraId="536C2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C7906B3">
            <w:pPr>
              <w:pStyle w:val="4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Dropout</w:t>
            </w:r>
          </w:p>
        </w:tc>
        <w:tc>
          <w:tcPr>
            <w:tcW w:w="4261" w:type="dxa"/>
          </w:tcPr>
          <w:p w14:paraId="55D4FE23">
            <w:pPr>
              <w:pStyle w:val="4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0.0（消融实验关闭）</w:t>
            </w:r>
          </w:p>
        </w:tc>
      </w:tr>
      <w:tr w14:paraId="5C069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EBC2A46">
            <w:pPr>
              <w:pStyle w:val="4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优化器</w:t>
            </w:r>
          </w:p>
        </w:tc>
        <w:tc>
          <w:tcPr>
            <w:tcW w:w="4261" w:type="dxa"/>
          </w:tcPr>
          <w:p w14:paraId="68F8E5D2">
            <w:pPr>
              <w:pStyle w:val="4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Adam</w:t>
            </w:r>
          </w:p>
        </w:tc>
      </w:tr>
      <w:tr w14:paraId="67442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E6AF539">
            <w:pPr>
              <w:pStyle w:val="4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最大训练轮数</w:t>
            </w:r>
          </w:p>
        </w:tc>
        <w:tc>
          <w:tcPr>
            <w:tcW w:w="4261" w:type="dxa"/>
          </w:tcPr>
          <w:p w14:paraId="6EE706C2">
            <w:pPr>
              <w:pStyle w:val="4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30（早停patience=6）</w:t>
            </w:r>
          </w:p>
        </w:tc>
      </w:tr>
    </w:tbl>
    <w:p w14:paraId="45022EC9">
      <w:pPr>
        <w:pStyle w:val="4"/>
        <w:ind w:left="206" w:right="206"/>
        <w:jc w:val="center"/>
        <w:rPr>
          <w:rFonts w:hint="default" w:eastAsia="宋体"/>
          <w:b/>
          <w:bCs/>
          <w:lang w:val="en-US" w:eastAsia="zh-CN"/>
        </w:rPr>
      </w:pPr>
    </w:p>
    <w:p w14:paraId="3E3A8971">
      <w:pPr>
        <w:pStyle w:val="4"/>
        <w:ind w:right="206"/>
        <w:jc w:val="both"/>
        <w:rPr>
          <w:rFonts w:hint="eastAsia"/>
          <w:lang w:val="en-US" w:eastAsia="zh-CN"/>
        </w:rPr>
      </w:pPr>
    </w:p>
    <w:p w14:paraId="640AA58E">
      <w:pPr>
        <w:pStyle w:val="2"/>
        <w:ind w:left="205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实验探究</w:t>
      </w:r>
    </w:p>
    <w:p w14:paraId="74A5A33E">
      <w:pPr>
        <w:pStyle w:val="4"/>
        <w:numPr>
          <w:ilvl w:val="0"/>
          <w:numId w:val="3"/>
        </w:numPr>
        <w:spacing w:before="1"/>
        <w:ind w:left="206" w:right="206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训练损失曲线分析</w:t>
      </w:r>
    </w:p>
    <w:p w14:paraId="33B3E4E2">
      <w:pPr>
        <w:pStyle w:val="4"/>
        <w:spacing w:before="1"/>
        <w:ind w:left="206" w:right="206"/>
        <w:jc w:val="center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66690" cy="3160395"/>
            <wp:effectExtent l="0" t="0" r="10160" b="1905"/>
            <wp:docPr id="7" name="图片 7" descr="lo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los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CE79">
      <w:pPr>
        <w:pStyle w:val="4"/>
        <w:spacing w:before="1"/>
        <w:ind w:left="206" w:right="206"/>
        <w:jc w:val="center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Figure 1：Transformer位置编码消融实验——训练损失对比</w:t>
      </w:r>
    </w:p>
    <w:p w14:paraId="72EDE9D1">
      <w:pPr>
        <w:pStyle w:val="4"/>
        <w:spacing w:before="1"/>
        <w:ind w:left="206" w:right="206"/>
        <w:jc w:val="center"/>
        <w:rPr>
          <w:rFonts w:hint="default" w:eastAsia="宋体"/>
          <w:lang w:val="en-US" w:eastAsia="zh-CN"/>
        </w:rPr>
      </w:pPr>
    </w:p>
    <w:p w14:paraId="189B8A17">
      <w:pPr>
        <w:pStyle w:val="4"/>
        <w:spacing w:before="1"/>
        <w:ind w:left="206" w:right="206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从损失曲线图可以观察到两种截然不同的收敛模式：</w:t>
      </w:r>
    </w:p>
    <w:p w14:paraId="13428681">
      <w:pPr>
        <w:pStyle w:val="4"/>
        <w:spacing w:before="1"/>
        <w:ind w:left="206" w:right="206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正弦/可学习编码：第1个epoch后Loss迅速降至≈0，收敛极快</w:t>
      </w:r>
    </w:p>
    <w:p w14:paraId="1EAF0C32">
      <w:pPr>
        <w:pStyle w:val="4"/>
        <w:spacing w:before="1"/>
        <w:ind w:left="206" w:right="206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无位置编码：Loss停滞在2.0附近（≈随机猜测的理论Cross-Entropy），无法学习</w:t>
      </w:r>
    </w:p>
    <w:p w14:paraId="030841A3">
      <w:pPr>
        <w:pStyle w:val="4"/>
        <w:numPr>
          <w:ilvl w:val="0"/>
          <w:numId w:val="3"/>
        </w:numPr>
        <w:spacing w:before="1"/>
        <w:ind w:left="206" w:leftChars="0" w:right="206" w:firstLine="0" w:firstLineChars="0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验证集准确率</w:t>
      </w:r>
    </w:p>
    <w:p w14:paraId="0266A28F">
      <w:pPr>
        <w:pStyle w:val="4"/>
        <w:ind w:left="206" w:right="206"/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b w:val="0"/>
          <w:bCs w:val="0"/>
          <w:lang w:val="en-US" w:eastAsia="zh-CN"/>
        </w:rPr>
        <w:t>Table 2: 验证集最佳准确率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287FF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0651BC0">
            <w:pPr>
              <w:pStyle w:val="4"/>
              <w:spacing w:before="1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位置编码类型</w:t>
            </w:r>
          </w:p>
        </w:tc>
        <w:tc>
          <w:tcPr>
            <w:tcW w:w="2841" w:type="dxa"/>
          </w:tcPr>
          <w:p w14:paraId="403F8709">
            <w:pPr>
              <w:pStyle w:val="4"/>
              <w:spacing w:before="1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最佳准确率</w:t>
            </w:r>
          </w:p>
        </w:tc>
        <w:tc>
          <w:tcPr>
            <w:tcW w:w="2841" w:type="dxa"/>
          </w:tcPr>
          <w:p w14:paraId="4FBDD98C">
            <w:pPr>
              <w:pStyle w:val="4"/>
              <w:spacing w:before="1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收敛轮数</w:t>
            </w:r>
          </w:p>
        </w:tc>
      </w:tr>
      <w:tr w14:paraId="680F5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1DE6A34">
            <w:pPr>
              <w:pStyle w:val="4"/>
              <w:spacing w:before="1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正弦编码</w:t>
            </w:r>
          </w:p>
        </w:tc>
        <w:tc>
          <w:tcPr>
            <w:tcW w:w="2841" w:type="dxa"/>
          </w:tcPr>
          <w:p w14:paraId="3797708E">
            <w:pPr>
              <w:pStyle w:val="4"/>
              <w:spacing w:before="1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100%</w:t>
            </w:r>
          </w:p>
        </w:tc>
        <w:tc>
          <w:tcPr>
            <w:tcW w:w="2841" w:type="dxa"/>
          </w:tcPr>
          <w:p w14:paraId="14F97CDB">
            <w:pPr>
              <w:pStyle w:val="4"/>
              <w:spacing w:before="1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</w:tr>
      <w:tr w14:paraId="0E837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4C7961B">
            <w:pPr>
              <w:pStyle w:val="4"/>
              <w:spacing w:before="1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可学习编码</w:t>
            </w:r>
          </w:p>
        </w:tc>
        <w:tc>
          <w:tcPr>
            <w:tcW w:w="2841" w:type="dxa"/>
          </w:tcPr>
          <w:p w14:paraId="17A329E7">
            <w:pPr>
              <w:pStyle w:val="4"/>
              <w:spacing w:before="1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100%</w:t>
            </w:r>
          </w:p>
        </w:tc>
        <w:tc>
          <w:tcPr>
            <w:tcW w:w="2841" w:type="dxa"/>
          </w:tcPr>
          <w:p w14:paraId="47644C10">
            <w:pPr>
              <w:pStyle w:val="4"/>
              <w:spacing w:before="1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</w:tr>
      <w:tr w14:paraId="3ED65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D7A2DF9">
            <w:pPr>
              <w:pStyle w:val="4"/>
              <w:spacing w:before="1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无编码</w:t>
            </w:r>
          </w:p>
        </w:tc>
        <w:tc>
          <w:tcPr>
            <w:tcW w:w="2841" w:type="dxa"/>
          </w:tcPr>
          <w:p w14:paraId="530440B8">
            <w:pPr>
              <w:pStyle w:val="4"/>
              <w:spacing w:before="1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20%</w:t>
            </w:r>
            <w:r>
              <w:rPr>
                <w:rFonts w:hint="default" w:eastAsia="宋体"/>
                <w:lang w:val="en-US" w:eastAsia="zh-CN"/>
              </w:rPr>
              <w:t>（随机基线）</w:t>
            </w:r>
          </w:p>
        </w:tc>
        <w:tc>
          <w:tcPr>
            <w:tcW w:w="2841" w:type="dxa"/>
          </w:tcPr>
          <w:p w14:paraId="05030659">
            <w:pPr>
              <w:pStyle w:val="4"/>
              <w:spacing w:before="1"/>
              <w:ind w:left="206" w:right="20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-</w:t>
            </w:r>
          </w:p>
        </w:tc>
      </w:tr>
    </w:tbl>
    <w:p w14:paraId="4B33F0F0">
      <w:pPr>
        <w:pStyle w:val="4"/>
        <w:numPr>
          <w:ilvl w:val="0"/>
          <w:numId w:val="3"/>
        </w:numPr>
        <w:spacing w:before="1"/>
        <w:ind w:left="206" w:leftChars="0" w:right="206" w:firstLine="0" w:firstLineChars="0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注意力可视化</w:t>
      </w:r>
    </w:p>
    <w:p w14:paraId="5E62D469">
      <w:pPr>
        <w:pStyle w:val="4"/>
        <w:numPr>
          <w:numId w:val="0"/>
        </w:numPr>
        <w:spacing w:before="1"/>
        <w:ind w:left="206" w:leftChars="0" w:right="206" w:rightChars="0"/>
        <w:jc w:val="center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3800475" cy="3167380"/>
            <wp:effectExtent l="0" t="0" r="9525" b="13970"/>
            <wp:docPr id="8" name="图片 8" descr="attn_sinusoi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attn_sinusoidal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AF95">
      <w:pPr>
        <w:pStyle w:val="4"/>
        <w:spacing w:before="1"/>
        <w:ind w:left="206" w:right="206"/>
        <w:jc w:val="center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Figure </w:t>
      </w:r>
      <w:r>
        <w:rPr>
          <w:rFonts w:hint="eastAsia" w:eastAsia="宋体"/>
          <w:lang w:val="en-US" w:eastAsia="zh-CN"/>
        </w:rPr>
        <w:t>2</w:t>
      </w:r>
      <w:r>
        <w:rPr>
          <w:rFonts w:hint="default" w:eastAsia="宋体"/>
          <w:lang w:val="en-US" w:eastAsia="zh-CN"/>
        </w:rPr>
        <w:t>：</w:t>
      </w:r>
      <w:r>
        <w:rPr>
          <w:rFonts w:hint="eastAsia" w:eastAsia="宋体"/>
          <w:lang w:val="en-US" w:eastAsia="zh-CN"/>
        </w:rPr>
        <w:t>正弦编码注意力图</w:t>
      </w:r>
    </w:p>
    <w:p w14:paraId="7CE11A0E">
      <w:pPr>
        <w:pStyle w:val="4"/>
        <w:numPr>
          <w:numId w:val="0"/>
        </w:numPr>
        <w:spacing w:before="1"/>
        <w:ind w:left="206" w:leftChars="0" w:right="206" w:rightChars="0"/>
        <w:jc w:val="center"/>
        <w:rPr>
          <w:rFonts w:hint="default" w:eastAsia="宋体"/>
          <w:lang w:val="en-US" w:eastAsia="zh-CN"/>
        </w:rPr>
      </w:pPr>
    </w:p>
    <w:p w14:paraId="53853CF3">
      <w:pPr>
        <w:pStyle w:val="4"/>
        <w:spacing w:before="1"/>
        <w:ind w:left="206" w:right="206"/>
        <w:jc w:val="center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注意力分布：呈现从左到右的渐变模式，早期位置获得较高注意力（~0.18），逐渐衰减至后期位置（~0.06）</w:t>
      </w:r>
    </w:p>
    <w:p w14:paraId="4AB6A7A6">
      <w:pPr>
        <w:pStyle w:val="4"/>
        <w:spacing w:before="1"/>
        <w:ind w:left="206" w:right="206"/>
        <w:jc w:val="center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现象解释：正弦编码通过三角函数的周期性，为每个位置注入独特的几何特征，形成平滑的注意力梯度</w:t>
      </w:r>
    </w:p>
    <w:p w14:paraId="45AEA180">
      <w:pPr>
        <w:pStyle w:val="4"/>
        <w:numPr>
          <w:numId w:val="0"/>
        </w:numPr>
        <w:spacing w:before="1"/>
        <w:ind w:left="206" w:leftChars="0" w:right="206" w:rightChars="0"/>
        <w:jc w:val="center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3780155" cy="3150235"/>
            <wp:effectExtent l="0" t="0" r="10795" b="12065"/>
            <wp:docPr id="9" name="图片 9" descr="attn_learn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attn_learnabl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15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0B41">
      <w:pPr>
        <w:pStyle w:val="4"/>
        <w:numPr>
          <w:numId w:val="0"/>
        </w:numPr>
        <w:spacing w:before="1"/>
        <w:ind w:left="206" w:leftChars="0" w:right="206" w:rightChars="0"/>
        <w:jc w:val="center"/>
        <w:rPr>
          <w:rFonts w:hint="default" w:eastAsia="宋体"/>
          <w:lang w:val="en-US" w:eastAsia="zh-CN"/>
        </w:rPr>
      </w:pPr>
    </w:p>
    <w:p w14:paraId="5C782FB6">
      <w:pPr>
        <w:pStyle w:val="4"/>
        <w:spacing w:before="1"/>
        <w:ind w:left="206" w:right="206"/>
        <w:jc w:val="center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Figure </w:t>
      </w:r>
      <w:r>
        <w:rPr>
          <w:rFonts w:hint="eastAsia" w:eastAsia="宋体"/>
          <w:lang w:val="en-US" w:eastAsia="zh-CN"/>
        </w:rPr>
        <w:t>3</w:t>
      </w:r>
      <w:r>
        <w:rPr>
          <w:rFonts w:hint="default" w:eastAsia="宋体"/>
          <w:lang w:val="en-US" w:eastAsia="zh-CN"/>
        </w:rPr>
        <w:t>：</w:t>
      </w:r>
      <w:r>
        <w:rPr>
          <w:rFonts w:hint="eastAsia" w:eastAsia="宋体"/>
          <w:lang w:val="en-US" w:eastAsia="zh-CN"/>
        </w:rPr>
        <w:t>可学习编码注意力图</w:t>
      </w:r>
    </w:p>
    <w:p w14:paraId="50FDF1CF">
      <w:pPr>
        <w:pStyle w:val="4"/>
        <w:numPr>
          <w:numId w:val="0"/>
        </w:numPr>
        <w:spacing w:before="1"/>
        <w:ind w:left="206" w:leftChars="0" w:right="206" w:rightChars="0"/>
        <w:jc w:val="center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注意力分布：呈现稀疏的高亮斑点，部分位置注意力权重高达0.8-1.0（黄色区域）</w:t>
      </w:r>
    </w:p>
    <w:p w14:paraId="6173268F">
      <w:pPr>
        <w:pStyle w:val="4"/>
        <w:numPr>
          <w:numId w:val="0"/>
        </w:numPr>
        <w:spacing w:before="1"/>
        <w:ind w:left="206" w:leftChars="0" w:right="206" w:rightChars="0"/>
        <w:jc w:val="center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现象解释：模型通过数据驱动学习到了一些位置特异性模式，但分布不规则且噪声较大</w:t>
      </w:r>
    </w:p>
    <w:p w14:paraId="2C865C45">
      <w:pPr>
        <w:pStyle w:val="4"/>
        <w:numPr>
          <w:numId w:val="0"/>
        </w:numPr>
        <w:spacing w:before="1"/>
        <w:ind w:left="206" w:leftChars="0" w:right="206" w:rightChars="0"/>
        <w:jc w:val="center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3472815" cy="2894330"/>
            <wp:effectExtent l="0" t="0" r="13335" b="1270"/>
            <wp:docPr id="10" name="图片 10" descr="attn_n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attn_non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281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B43C">
      <w:pPr>
        <w:pStyle w:val="4"/>
        <w:spacing w:before="1"/>
        <w:ind w:left="206" w:right="206"/>
        <w:jc w:val="center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Figure </w:t>
      </w:r>
      <w:r>
        <w:rPr>
          <w:rFonts w:hint="eastAsia" w:eastAsia="宋体"/>
          <w:lang w:val="en-US" w:eastAsia="zh-CN"/>
        </w:rPr>
        <w:t>4</w:t>
      </w:r>
      <w:r>
        <w:rPr>
          <w:rFonts w:hint="default" w:eastAsia="宋体"/>
          <w:lang w:val="en-US" w:eastAsia="zh-CN"/>
        </w:rPr>
        <w:t>：</w:t>
      </w:r>
      <w:r>
        <w:rPr>
          <w:rFonts w:hint="eastAsia" w:eastAsia="宋体"/>
          <w:lang w:val="en-US" w:eastAsia="zh-CN"/>
        </w:rPr>
        <w:t>无编码注意力图</w:t>
      </w:r>
    </w:p>
    <w:p w14:paraId="14B16D7E">
      <w:pPr>
        <w:pStyle w:val="4"/>
        <w:spacing w:before="1"/>
        <w:ind w:left="206" w:right="206"/>
        <w:jc w:val="center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注意力分布：整个热力图呈现均匀的青绿色，所有位置的注意力权重约为0.10（即1/10的均匀分布）</w:t>
      </w:r>
    </w:p>
    <w:p w14:paraId="58C5D1AD">
      <w:pPr>
        <w:pStyle w:val="4"/>
        <w:spacing w:before="1"/>
        <w:ind w:left="206" w:right="206"/>
        <w:jc w:val="center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现象解释：自注意力机制无法区分不同位置，退化为均匀注意力（uniform attention）</w:t>
      </w:r>
    </w:p>
    <w:p w14:paraId="66F27844">
      <w:pPr>
        <w:pStyle w:val="4"/>
        <w:spacing w:before="1"/>
        <w:ind w:left="206" w:right="206"/>
        <w:jc w:val="center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理论验证：直接证明了自注意力的置换不变性缺陷</w:t>
      </w:r>
    </w:p>
    <w:p w14:paraId="0983858C">
      <w:pPr>
        <w:pStyle w:val="2"/>
        <w:spacing w:before="161"/>
        <w:rPr>
          <w:b/>
          <w:sz w:val="41"/>
        </w:rPr>
      </w:pPr>
      <w:r>
        <w:rPr>
          <w:rFonts w:hint="eastAsia" w:eastAsia="宋体"/>
          <w:lang w:val="en-US" w:eastAsia="zh-CN"/>
        </w:rPr>
        <w:t>结论</w:t>
      </w:r>
    </w:p>
    <w:p w14:paraId="2A8FF731">
      <w:pPr>
        <w:pStyle w:val="4"/>
        <w:spacing w:before="1"/>
        <w:ind w:left="206" w:right="206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位置编码是Transformer的必要组件：实验结果显示，移除位置编码后，模型准确率骤降至随机基线（20%），Loss无法进一步降低，验证了自注意力机制的置换不变性缺陷。位置编码为Transformer提供了唯一的位置信息来源。</w:t>
      </w:r>
    </w:p>
    <w:p w14:paraId="295F8101">
      <w:pPr>
        <w:pStyle w:val="4"/>
        <w:spacing w:before="1"/>
        <w:ind w:left="206" w:right="206"/>
        <w:jc w:val="center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</w:t>
      </w:r>
      <w:r>
        <w:rPr>
          <w:rFonts w:hint="default" w:eastAsia="宋体"/>
          <w:lang w:val="en-US" w:eastAsia="zh-CN"/>
        </w:rPr>
        <w:t>正弦编码与可学习编码在位置任务上等价：两种编码方案均实现100%准确率，收敛速度均极快（1个epoch）。正弦编码凭借三角函数的几何性质提供平滑的位置梯度；可学习编码通过数据驱动获得离散的高注意力模式</w:t>
      </w:r>
    </w:p>
    <w:p w14:paraId="70567E1B">
      <w:pPr>
        <w:pStyle w:val="4"/>
        <w:spacing w:before="1"/>
        <w:ind w:left="206" w:right="206"/>
        <w:jc w:val="center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3.</w:t>
      </w:r>
      <w:r>
        <w:rPr>
          <w:rFonts w:hint="default" w:eastAsia="宋体"/>
          <w:lang w:val="en-US" w:eastAsia="zh-CN"/>
        </w:rPr>
        <w:t>实验设计的科学价值：通过设计"输入全零、目标由位置决定"的极端任务，本文实现了最大化的控制变量对比，使得位置编码的作用被放大到极致（100% vs 20%），为《Attention is All You Need》论文第3.5节的理论论述提供了直观、有力的实验证据</w:t>
      </w:r>
    </w:p>
    <w:p w14:paraId="4161DB26">
      <w:pPr>
        <w:pStyle w:val="4"/>
        <w:spacing w:before="1"/>
        <w:ind w:left="206" w:right="206"/>
        <w:jc w:val="center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4.</w:t>
      </w:r>
      <w:bookmarkStart w:id="0" w:name="_GoBack"/>
      <w:bookmarkEnd w:id="0"/>
      <w:r>
        <w:rPr>
          <w:rFonts w:hint="default" w:eastAsia="宋体"/>
          <w:lang w:val="en-US" w:eastAsia="zh-CN"/>
        </w:rPr>
        <w:t>实践指导意义：对于位置敏感任务（如序列标注、机器翻译），必须引入位置编码</w:t>
      </w:r>
      <w:r>
        <w:rPr>
          <w:rFonts w:hint="eastAsia" w:eastAsia="宋体"/>
          <w:lang w:val="en-US" w:eastAsia="zh-CN"/>
        </w:rPr>
        <w:t>；对于固定长度任务，可学习编码与正弦编码效果相当，可根据实现便利性选择；对于变长序列或需外推的任务，正弦编码的数学先验更具优势（本文虽未测试外推，但可学习编码的稀疏注意力图暗示其泛化性可能较弱）。</w:t>
      </w:r>
    </w:p>
    <w:p w14:paraId="2B165136">
      <w:pPr>
        <w:pStyle w:val="4"/>
        <w:numPr>
          <w:numId w:val="0"/>
        </w:numPr>
        <w:spacing w:before="1"/>
        <w:ind w:right="206" w:rightChars="0"/>
        <w:jc w:val="both"/>
        <w:rPr>
          <w:rFonts w:hint="default" w:eastAsia="宋体"/>
          <w:lang w:val="en-US" w:eastAsia="zh-CN"/>
        </w:rPr>
      </w:pPr>
    </w:p>
    <w:p w14:paraId="09B49721">
      <w:pPr>
        <w:pStyle w:val="2"/>
        <w:spacing w:before="1"/>
        <w:ind w:left="20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参考文献</w:t>
      </w:r>
    </w:p>
    <w:p w14:paraId="4DA6348D">
      <w:pPr>
        <w:pStyle w:val="4"/>
        <w:spacing w:before="2"/>
        <w:rPr>
          <w:b/>
          <w:sz w:val="38"/>
        </w:rPr>
      </w:pPr>
    </w:p>
    <w:p w14:paraId="3CB2EF88">
      <w:pPr>
        <w:pStyle w:val="4"/>
        <w:numPr>
          <w:ilvl w:val="0"/>
          <w:numId w:val="4"/>
        </w:numPr>
        <w:spacing w:line="264" w:lineRule="auto"/>
        <w:ind w:left="120"/>
        <w:rPr>
          <w:rFonts w:hint="eastAsia"/>
        </w:rPr>
      </w:pPr>
      <w:r>
        <w:rPr>
          <w:rFonts w:hint="eastAsia"/>
        </w:rPr>
        <w:t>Vaswani A, Shazeer N, Parmar N, et al. Attention is all you need[C]//Advances in neural information processing systems. 2017, 30: 5998-6008</w:t>
      </w:r>
    </w:p>
    <w:p w14:paraId="314E84C3">
      <w:pPr>
        <w:pStyle w:val="4"/>
        <w:numPr>
          <w:ilvl w:val="0"/>
          <w:numId w:val="4"/>
        </w:numPr>
        <w:spacing w:line="264" w:lineRule="auto"/>
        <w:ind w:left="1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Devlin J, Chang M W, Lee K, et al. BERT: Pre-training of deep bidirectional transformers for language understanding[J]. arXiv preprint arXiv:1810.04805, 2018.</w:t>
      </w:r>
    </w:p>
    <w:p w14:paraId="0CC6CC03">
      <w:pPr>
        <w:pStyle w:val="4"/>
        <w:numPr>
          <w:ilvl w:val="0"/>
          <w:numId w:val="4"/>
        </w:numPr>
        <w:spacing w:line="264" w:lineRule="auto"/>
        <w:ind w:left="1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Dosovitskiy A, Beyer L, Kolesnikov A, et al. An image is worth 16x16 words: Transformers for image recognition at scale[J]. arXiv preprint arXiv:2010.11929, 2020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ans-serif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6709E2"/>
    <w:multiLevelType w:val="singleLevel"/>
    <w:tmpl w:val="9E6709E2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1">
    <w:nsid w:val="B51E507B"/>
    <w:multiLevelType w:val="singleLevel"/>
    <w:tmpl w:val="B51E507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36E4D83"/>
    <w:multiLevelType w:val="singleLevel"/>
    <w:tmpl w:val="E36E4D83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38D03238"/>
    <w:multiLevelType w:val="singleLevel"/>
    <w:tmpl w:val="38D0323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342D61"/>
    <w:rsid w:val="04716B7C"/>
    <w:rsid w:val="051934F9"/>
    <w:rsid w:val="116D71F8"/>
    <w:rsid w:val="13B570F5"/>
    <w:rsid w:val="14ED2E66"/>
    <w:rsid w:val="1E48736D"/>
    <w:rsid w:val="268676D5"/>
    <w:rsid w:val="356E1770"/>
    <w:rsid w:val="419E1B58"/>
    <w:rsid w:val="434B2A96"/>
    <w:rsid w:val="43792FA6"/>
    <w:rsid w:val="49ED69D6"/>
    <w:rsid w:val="4DDA092D"/>
    <w:rsid w:val="546A4F9C"/>
    <w:rsid w:val="57262A4E"/>
    <w:rsid w:val="5AF37DD0"/>
    <w:rsid w:val="5BC7461C"/>
    <w:rsid w:val="5DD43A42"/>
    <w:rsid w:val="632E6ECF"/>
    <w:rsid w:val="677F1D37"/>
    <w:rsid w:val="6E461F09"/>
    <w:rsid w:val="6FDD63A4"/>
    <w:rsid w:val="75A57FED"/>
    <w:rsid w:val="764475E5"/>
    <w:rsid w:val="781B7BE6"/>
    <w:rsid w:val="7B34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1"/>
    <w:pPr>
      <w:ind w:left="206" w:right="206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ind w:left="205" w:right="206"/>
      <w:jc w:val="center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3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4">
    <w:name w:val="First Paragraph"/>
    <w:basedOn w:val="4"/>
    <w:next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831</Words>
  <Characters>1172</Characters>
  <Lines>0</Lines>
  <Paragraphs>0</Paragraphs>
  <TotalTime>3</TotalTime>
  <ScaleCrop>false</ScaleCrop>
  <LinksUpToDate>false</LinksUpToDate>
  <CharactersWithSpaces>1202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2026-04-02T13:31:00Z</dcterms:created>
  <dc:creator>DBAA</dc:creator>
  <cp:lastModifiedBy>DBAA</cp:lastModifiedBy>
  <dcterms:modified xsi:type="dcterms:W3CDTF">2026-05-21T14:50:12Z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A64CFC051FD1437FACB8BCFB272284EA_11</vt:lpwstr>
  </property>
  <property fmtid="{D5CDD505-2E9C-101B-9397-08002B2CF9AE}" pid="4" name="KSOTemplateDocerSaveRecord">
    <vt:lpwstr>eyJoZGlkIjoiOTkwNWI0MDViYWI2YTYwYzRlY2I5MzMyM2Y3ZjY1MjMiLCJ1c2VySWQiOiIxNDM2Mjc2MzI3In0=</vt:lpwstr>
  </property>
</Properties>
</file>