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BDBDD">
      <w:r>
        <w:rPr>
          <w:rFonts w:ascii="Calibri" w:hAnsi="Calibri" w:eastAsia="微软雅黑"/>
          <w:b/>
          <w:color w:val="1F4E79"/>
          <w:sz w:val="36"/>
        </w:rPr>
        <w:t>煤矿设备数据分析建模 · 工作复盘</w:t>
      </w:r>
    </w:p>
    <w:p w14:paraId="661CE488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复盘范围：采煤机（CMJ）+ 转载机（ZZJ）数据分析建模，阶段一（工况分类）+ 阶段二（异常检测）</w:t>
      </w:r>
    </w:p>
    <w:p w14:paraId="0365F96E">
      <w:r>
        <w:rPr>
          <w:rFonts w:ascii="Calibri" w:hAnsi="Calibri" w:eastAsia="微软雅黑"/>
          <w:b/>
          <w:color w:val="1F4E79"/>
          <w:sz w:val="30"/>
        </w:rPr>
        <w:t>一、项目总览</w:t>
      </w:r>
    </w:p>
    <w:p w14:paraId="58C9DBD7">
      <w:pPr>
        <w:pStyle w:val="16"/>
      </w:pPr>
      <w:r>
        <w:rPr>
          <w:rFonts w:ascii="Calibri" w:hAnsi="Calibri" w:eastAsia="微软雅黑"/>
          <w:b w:val="0"/>
          <w:sz w:val="21"/>
        </w:rPr>
        <w:t>设备与数据：采煤机（CMJ）+ 转载机（ZZJ），on-change 存储，重采样为 1min 等间隔宽表。</w:t>
      </w:r>
    </w:p>
    <w:p w14:paraId="2699C1E1">
      <w:pPr>
        <w:pStyle w:val="16"/>
      </w:pPr>
      <w:r>
        <w:rPr>
          <w:rFonts w:ascii="Calibri" w:hAnsi="Calibri" w:eastAsia="微软雅黑"/>
          <w:b w:val="0"/>
          <w:sz w:val="21"/>
        </w:rPr>
        <w:t>两阶段架构：</w:t>
      </w:r>
    </w:p>
    <w:p w14:paraId="17655CEF">
      <w:pPr>
        <w:pStyle w:val="16"/>
      </w:pPr>
      <w:r>
        <w:rPr>
          <w:rFonts w:ascii="Calibri" w:hAnsi="Calibri" w:eastAsia="微软雅黑"/>
          <w:b w:val="0"/>
          <w:sz w:val="21"/>
        </w:rPr>
        <w:t>阶段一：数据清洗 → 参数图谱 → 分部位工况划分 → 聚类验证（ARI）→ 工况转换分析 → 滞后相关 → 分工况统计 → KW 检验。</w:t>
      </w:r>
    </w:p>
    <w:p w14:paraId="7A1A6E2D">
      <w:pPr>
        <w:pStyle w:val="16"/>
      </w:pPr>
      <w:r>
        <w:rPr>
          <w:rFonts w:ascii="Calibri" w:hAnsi="Calibri" w:eastAsia="微软雅黑"/>
          <w:b w:val="0"/>
          <w:sz w:val="21"/>
        </w:rPr>
        <w:t>阶段二：分工况基线 → 滑动窗口特征 → PCA 降维 → 多变量异常检测（Mahalanobis / Isolation Forest / 残差）+ 单变量（IQR+3σ）→ 事件合并 → 报告。</w:t>
      </w:r>
    </w:p>
    <w:p w14:paraId="163C44DE">
      <w:pPr>
        <w:pStyle w:val="16"/>
      </w:pPr>
      <w:r>
        <w:rPr>
          <w:rFonts w:ascii="Calibri" w:hAnsi="Calibri" w:eastAsia="微软雅黑"/>
          <w:b w:val="0"/>
          <w:sz w:val="21"/>
        </w:rPr>
        <w:t>本轮（7.29 反馈）目标：① 优化阶段一分类 + 阶段二异常检测；② 优化 run_phase1.py 运行速度；③ 梳理复盘已做工作；④ 具体异常事件可视化。阶段三（因果包络 / 异常征兆）暂缓。</w:t>
      </w:r>
    </w:p>
    <w:p w14:paraId="46AAD777">
      <w:r>
        <w:rPr>
          <w:rFonts w:ascii="Calibri" w:hAnsi="Calibri" w:eastAsia="微软雅黑"/>
          <w:b/>
          <w:color w:val="1F4E79"/>
          <w:sz w:val="30"/>
        </w:rPr>
        <w:t>二、阶段一：工况分类建模</w:t>
      </w:r>
    </w:p>
    <w:p w14:paraId="5312CEB8">
      <w:r>
        <w:rPr>
          <w:rFonts w:ascii="Calibri" w:hAnsi="Calibri" w:eastAsia="微软雅黑"/>
          <w:b/>
          <w:color w:val="1F4E79"/>
          <w:sz w:val="25"/>
        </w:rPr>
        <w:t>2.1 分类体系演进</w:t>
      </w:r>
    </w:p>
    <w:p w14:paraId="205F507A">
      <w:pPr>
        <w:pStyle w:val="14"/>
      </w:pPr>
      <w:r>
        <w:rPr>
          <w:rFonts w:ascii="Calibri" w:hAnsi="Calibri" w:eastAsia="微软雅黑"/>
          <w:b w:val="0"/>
          <w:sz w:val="21"/>
        </w:rPr>
        <w:t>初始方案 L1/L2/L3：三级全局工况，粗粒度、无法体现分部位差异。</w:t>
      </w:r>
    </w:p>
    <w:p w14:paraId="0E42BAB9">
      <w:pPr>
        <w:pStyle w:val="14"/>
      </w:pPr>
      <w:r>
        <w:rPr>
          <w:rFonts w:ascii="Calibri" w:hAnsi="Calibri" w:eastAsia="微软雅黑"/>
          <w:b w:val="0"/>
          <w:sz w:val="21"/>
        </w:rPr>
        <w:t>L2 "未知"拆分：l2-standby-rename——把"未知"拆为"停机" / "待机"，消除状态含混。</w:t>
      </w:r>
    </w:p>
    <w:p w14:paraId="4AD61673">
      <w:pPr>
        <w:pStyle w:val="14"/>
      </w:pPr>
      <w:r>
        <w:rPr>
          <w:rFonts w:ascii="Calibri" w:hAnsi="Calibri" w:eastAsia="微软雅黑"/>
          <w:b w:val="0"/>
          <w:sz w:val="21"/>
        </w:rPr>
        <w:t>分部位重构（2026-07-14）：废弃 L1/L2/L3，改为 4 部位独立工况 + 设备级衍生：</w:t>
      </w:r>
    </w:p>
    <w:p w14:paraId="560CBA30">
      <w:pPr>
        <w:pStyle w:val="16"/>
      </w:pPr>
      <w:r>
        <w:rPr>
          <w:rFonts w:ascii="Calibri" w:hAnsi="Calibri" w:eastAsia="微软雅黑"/>
          <w:b w:val="0"/>
          <w:sz w:val="21"/>
        </w:rPr>
        <w:t>截割部_工况：割煤中 / 调架中 / 待机 / 停机</w:t>
      </w:r>
    </w:p>
    <w:p w14:paraId="2B52A2AA">
      <w:pPr>
        <w:pStyle w:val="16"/>
      </w:pPr>
      <w:r>
        <w:rPr>
          <w:rFonts w:ascii="Calibri" w:hAnsi="Calibri" w:eastAsia="微软雅黑"/>
          <w:b w:val="0"/>
          <w:sz w:val="21"/>
        </w:rPr>
        <w:t>牵引部_工况：牵引中 / 待机 / 停机</w:t>
      </w:r>
    </w:p>
    <w:p w14:paraId="6F086485">
      <w:pPr>
        <w:pStyle w:val="16"/>
      </w:pPr>
      <w:r>
        <w:rPr>
          <w:rFonts w:ascii="Calibri" w:hAnsi="Calibri" w:eastAsia="微软雅黑"/>
          <w:b w:val="0"/>
          <w:sz w:val="21"/>
        </w:rPr>
        <w:t>油泵_工况：运行 / 停机</w:t>
      </w:r>
    </w:p>
    <w:p w14:paraId="397AF2EF">
      <w:pPr>
        <w:pStyle w:val="16"/>
      </w:pPr>
      <w:r>
        <w:rPr>
          <w:rFonts w:ascii="Calibri" w:hAnsi="Calibri" w:eastAsia="微软雅黑"/>
          <w:b w:val="0"/>
          <w:sz w:val="21"/>
        </w:rPr>
        <w:t>破碎机_工况：运行 / 停机</w:t>
      </w:r>
    </w:p>
    <w:p w14:paraId="5D8DA11B">
      <w:pPr>
        <w:pStyle w:val="16"/>
      </w:pPr>
      <w:r>
        <w:rPr>
          <w:rFonts w:ascii="Calibri" w:hAnsi="Calibri" w:eastAsia="微软雅黑"/>
          <w:b w:val="0"/>
          <w:sz w:val="21"/>
        </w:rPr>
        <w:t>设备_工况（衍生）：割煤中 / 调架中 / 空载牵引 / 待机 / 停机</w:t>
      </w:r>
    </w:p>
    <w:p w14:paraId="7D430B25">
      <w:pPr>
        <w:pStyle w:val="14"/>
      </w:pPr>
      <w:r>
        <w:rPr>
          <w:rFonts w:ascii="Calibri" w:hAnsi="Calibri" w:eastAsia="微软雅黑"/>
          <w:b w:val="0"/>
          <w:sz w:val="21"/>
        </w:rPr>
        <w:t>截割部 7 态拆分（2026-07）：割煤按 max(左,右)滚筒高度 3m/5m 切为低/中/高位；待机按左滚筒高度 4.5m 拆为待机 / 待机-高位。</w:t>
      </w:r>
    </w:p>
    <w:p w14:paraId="467354C6">
      <w:pPr>
        <w:pStyle w:val="14"/>
      </w:pPr>
      <w:r>
        <w:rPr>
          <w:rFonts w:ascii="Calibri" w:hAnsi="Calibri" w:eastAsia="微软雅黑"/>
          <w:b w:val="0"/>
          <w:sz w:val="21"/>
        </w:rPr>
        <w:t>本轮（2026-08-04）：</w:t>
      </w:r>
    </w:p>
    <w:p w14:paraId="58D2147E">
      <w:pPr>
        <w:pStyle w:val="16"/>
      </w:pPr>
      <w:r>
        <w:rPr>
          <w:rFonts w:ascii="Calibri" w:hAnsi="Calibri" w:eastAsia="微软雅黑"/>
          <w:b w:val="0"/>
          <w:sz w:val="21"/>
        </w:rPr>
        <w:t>截割部待机拆分统一用 max(左,右) 高度（原用左滚筒，左右高度常差 5m，不对称）。</w:t>
      </w:r>
    </w:p>
    <w:p w14:paraId="372B6A15">
      <w:pPr>
        <w:pStyle w:val="16"/>
      </w:pPr>
      <w:r>
        <w:rPr>
          <w:rFonts w:ascii="Calibri" w:hAnsi="Calibri" w:eastAsia="微软雅黑"/>
          <w:b w:val="0"/>
          <w:sz w:val="21"/>
        </w:rPr>
        <w:t>高度阈值 3.0 / 5.0 / 4.5 参数化到 config.py（CUT_HEIGHT_LOW/MID/HIGH）。</w:t>
      </w:r>
    </w:p>
    <w:p w14:paraId="73ED13BC">
      <w:pPr>
        <w:pStyle w:val="16"/>
      </w:pPr>
      <w:r>
        <w:rPr>
          <w:rFonts w:ascii="Calibri" w:hAnsi="Calibri" w:eastAsia="微软雅黑"/>
          <w:b w:val="0"/>
          <w:sz w:val="21"/>
        </w:rPr>
        <w:t>牵引部聚类特征对照实验：曾尝试去掉温度、改为电流+速度优先（与规则电流阈值对齐），证伪——去温度 ARI 0.5708 → 0.3867，已回滚保留温度（v5 恢复 0.5708）。</w:t>
      </w:r>
    </w:p>
    <w:p w14:paraId="3ED6D723">
      <w:pPr>
        <w:pStyle w:val="16"/>
      </w:pPr>
      <w:r>
        <w:rPr>
          <w:rFonts w:ascii="Calibri" w:hAnsi="Calibri" w:eastAsia="微软雅黑"/>
          <w:b w:val="0"/>
          <w:sz w:val="21"/>
        </w:rPr>
        <w:t>清理死代码：CUT_CURRENT_HIGH、永不产生的 "割煤中" 标签。</w:t>
      </w:r>
    </w:p>
    <w:p w14:paraId="64D4EC05">
      <w:r>
        <w:rPr>
          <w:rFonts w:ascii="Calibri" w:hAnsi="Calibri" w:eastAsia="微软雅黑"/>
          <w:b/>
          <w:color w:val="1F4E79"/>
          <w:sz w:val="25"/>
        </w:rPr>
        <w:t>2.2 聚类验证与 ARI 演进</w:t>
      </w:r>
    </w:p>
    <w:p w14:paraId="5C5A5301">
      <w:r>
        <w:rPr>
          <w:rFonts w:ascii="Calibri" w:hAnsi="Calibri" w:eastAsia="微软雅黑"/>
          <w:b w:val="0"/>
          <w:sz w:val="21"/>
        </w:rPr>
        <w:t>聚类验证用规则工况与 KMeans 聚类结果对比（ARI 越高，规则与数据自洽簇越一致）。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</w:tblGrid>
      <w:tr w14:paraId="68981B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94EE95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部位</w:t>
            </w:r>
          </w:p>
        </w:tc>
        <w:tc>
          <w:tcPr>
            <w:tcW w:w="2160" w:type="dxa"/>
          </w:tcPr>
          <w:p w14:paraId="1FC5DECF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初始 ARI</w:t>
            </w:r>
          </w:p>
        </w:tc>
        <w:tc>
          <w:tcPr>
            <w:tcW w:w="2160" w:type="dxa"/>
          </w:tcPr>
          <w:p w14:paraId="5A10A49F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优化后 ARI</w:t>
            </w:r>
          </w:p>
        </w:tc>
      </w:tr>
      <w:tr w14:paraId="22023B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8D0E1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</w:t>
            </w:r>
          </w:p>
        </w:tc>
        <w:tc>
          <w:tcPr>
            <w:tcW w:w="2160" w:type="dxa"/>
          </w:tcPr>
          <w:p w14:paraId="5A1FC18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0.17</w:t>
            </w:r>
          </w:p>
        </w:tc>
        <w:tc>
          <w:tcPr>
            <w:tcW w:w="2160" w:type="dxa"/>
          </w:tcPr>
          <w:p w14:paraId="3F87194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0.59</w:t>
            </w:r>
          </w:p>
        </w:tc>
      </w:tr>
      <w:tr w14:paraId="1D10FA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CD2F2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</w:t>
            </w:r>
          </w:p>
        </w:tc>
        <w:tc>
          <w:tcPr>
            <w:tcW w:w="2160" w:type="dxa"/>
          </w:tcPr>
          <w:p w14:paraId="0E4BC6D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0.57</w:t>
            </w:r>
          </w:p>
        </w:tc>
        <w:tc>
          <w:tcPr>
            <w:tcW w:w="2160" w:type="dxa"/>
          </w:tcPr>
          <w:p w14:paraId="3915014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0.556</w:t>
            </w:r>
          </w:p>
        </w:tc>
      </w:tr>
      <w:tr w14:paraId="472BB7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8BFD6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</w:t>
            </w:r>
          </w:p>
        </w:tc>
        <w:tc>
          <w:tcPr>
            <w:tcW w:w="2160" w:type="dxa"/>
          </w:tcPr>
          <w:p w14:paraId="60B2E8F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0.44</w:t>
            </w:r>
          </w:p>
        </w:tc>
        <w:tc>
          <w:tcPr>
            <w:tcW w:w="2160" w:type="dxa"/>
          </w:tcPr>
          <w:p w14:paraId="5635556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0.80</w:t>
            </w:r>
          </w:p>
        </w:tc>
      </w:tr>
      <w:tr w14:paraId="12A70B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F20DF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</w:t>
            </w:r>
          </w:p>
        </w:tc>
        <w:tc>
          <w:tcPr>
            <w:tcW w:w="2160" w:type="dxa"/>
          </w:tcPr>
          <w:p w14:paraId="6CBFF56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0.10</w:t>
            </w:r>
          </w:p>
        </w:tc>
        <w:tc>
          <w:tcPr>
            <w:tcW w:w="2160" w:type="dxa"/>
          </w:tcPr>
          <w:p w14:paraId="7A5FF7D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0.35</w:t>
            </w:r>
          </w:p>
        </w:tc>
      </w:tr>
      <w:tr w14:paraId="07913E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A853F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 ZZJ</w:t>
            </w:r>
          </w:p>
        </w:tc>
        <w:tc>
          <w:tcPr>
            <w:tcW w:w="2160" w:type="dxa"/>
          </w:tcPr>
          <w:p w14:paraId="4874F22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—</w:t>
            </w:r>
          </w:p>
        </w:tc>
        <w:tc>
          <w:tcPr>
            <w:tcW w:w="2160" w:type="dxa"/>
          </w:tcPr>
          <w:p w14:paraId="22C0511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0.8526</w:t>
            </w:r>
          </w:p>
        </w:tc>
      </w:tr>
    </w:tbl>
    <w:p w14:paraId="4F62BE10"/>
    <w:p w14:paraId="3EF16014">
      <w:pPr>
        <w:jc w:val="center"/>
      </w:pPr>
      <w:r>
        <w:drawing>
          <wp:inline distT="0" distB="0" distL="114300" distR="114300">
            <wp:extent cx="5039995" cy="19729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7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33AF">
      <w:r>
        <w:rPr>
          <w:rFonts w:ascii="Calibri" w:hAnsi="Calibri" w:eastAsia="微软雅黑"/>
          <w:b w:val="0"/>
          <w:sz w:val="21"/>
        </w:rPr>
        <w:t>关键优化与根因：</w:t>
      </w:r>
    </w:p>
    <w:p w14:paraId="57CC72A6">
      <w:pPr>
        <w:pStyle w:val="16"/>
      </w:pPr>
      <w:r>
        <w:rPr>
          <w:rFonts w:ascii="Calibri" w:hAnsi="Calibri" w:eastAsia="微软雅黑"/>
          <w:b w:val="0"/>
          <w:sz w:val="21"/>
        </w:rPr>
        <w:t>截割部 0.17 → 0.59：原"待机"高度空间双峰（3.9m / 5.4m），单簇 KMeans 分簇混乱；按高度拆分后规则与簇边界对齐。n_init=10 修正（旧 "auto" 在不同 sklearn 版本映射不同整数导致 ARI 波动 0.375 vs 0.590）。</w:t>
      </w:r>
    </w:p>
    <w:p w14:paraId="10FA5924">
      <w:pPr>
        <w:pStyle w:val="16"/>
      </w:pPr>
      <w:r>
        <w:rPr>
          <w:rFonts w:ascii="Calibri" w:hAnsi="Calibri" w:eastAsia="微软雅黑"/>
          <w:b w:val="0"/>
          <w:sz w:val="21"/>
        </w:rPr>
        <w:t>牵引部 0.556 → 0.5708：聚类特征被温度主导（贡献 34%+29%），而规则按电流划分——聚类看到"温度驱动簇"、规则切"电流阈值"，两者错位。本轮做了特征对齐对照实验（去温度、电流+速度优先），证伪：ARI 崩到 0.3867，回滚保留温度。瓶颈未根本解决，留待独立特征工程。</w:t>
      </w:r>
    </w:p>
    <w:p w14:paraId="2BA2C91E">
      <w:pPr>
        <w:pStyle w:val="16"/>
      </w:pPr>
      <w:r>
        <w:rPr>
          <w:rFonts w:ascii="Calibri" w:hAnsi="Calibri" w:eastAsia="微软雅黑"/>
          <w:b w:val="0"/>
          <w:sz w:val="21"/>
        </w:rPr>
        <w:t>破碎机 0.10 → 0.35：二值规则（运行/停机）太粗，聚类能发现更细子模式；部分差异属合理（规则粒度 ≠ 数据自然粒度）。</w:t>
      </w:r>
    </w:p>
    <w:p w14:paraId="562F402B">
      <w:r>
        <w:rPr>
          <w:rFonts w:ascii="Calibri" w:hAnsi="Calibri" w:eastAsia="微软雅黑"/>
          <w:b/>
          <w:color w:val="1F4E79"/>
          <w:sz w:val="25"/>
        </w:rPr>
        <w:t>2.3 其他阶段一产出</w:t>
      </w:r>
    </w:p>
    <w:p w14:paraId="35627E8C">
      <w:pPr>
        <w:pStyle w:val="16"/>
      </w:pPr>
      <w:r>
        <w:rPr>
          <w:rFonts w:ascii="Calibri" w:hAnsi="Calibri" w:eastAsia="微软雅黑"/>
          <w:b w:val="0"/>
          <w:sz w:val="21"/>
        </w:rPr>
        <w:t>参数层级图谱：按命名级别（设备 → 部位 → 部件 → 测点）组织参数，回答"有哪些测点、归谁管"。</w:t>
      </w:r>
    </w:p>
    <w:p w14:paraId="45A6F202">
      <w:pPr>
        <w:jc w:val="center"/>
      </w:pPr>
      <w:r>
        <w:drawing>
          <wp:inline distT="0" distB="0" distL="114300" distR="114300">
            <wp:extent cx="5039995" cy="1640840"/>
            <wp:effectExtent l="0" t="0" r="8255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4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4262">
      <w:pPr>
        <w:pStyle w:val="16"/>
      </w:pPr>
      <w:r>
        <w:rPr>
          <w:rFonts w:ascii="Calibri" w:hAnsi="Calibri" w:eastAsia="微软雅黑"/>
          <w:b w:val="0"/>
          <w:sz w:val="21"/>
        </w:rPr>
        <w:t>滞后互相关：温度响应滞后电流 5–15 min；按部位细分 5 组（截割部电流vs温度、牵引部电流vs速度、油泵电流vs油压、破碎机电流vs温度、转载机电流vs转速）。</w:t>
      </w:r>
    </w:p>
    <w:p w14:paraId="2DB0D992">
      <w:pPr>
        <w:jc w:val="center"/>
      </w:pPr>
      <w:r>
        <w:drawing>
          <wp:inline distT="0" distB="0" distL="114300" distR="114300">
            <wp:extent cx="5039995" cy="2492375"/>
            <wp:effectExtent l="0" t="0" r="825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D5A9">
      <w:pPr>
        <w:pStyle w:val="16"/>
      </w:pPr>
      <w:r>
        <w:rPr>
          <w:rFonts w:ascii="Calibri" w:hAnsi="Calibri" w:eastAsia="微软雅黑"/>
          <w:b w:val="0"/>
          <w:sz w:val="21"/>
        </w:rPr>
        <w:t>工况转换检测：shift-based 切换检测 + 向量化滚动窗口，输出各部位转换次数、持续分布。</w:t>
      </w:r>
    </w:p>
    <w:p w14:paraId="7E08DF41">
      <w:pPr>
        <w:pStyle w:val="16"/>
      </w:pPr>
      <w:r>
        <w:rPr>
          <w:rFonts w:ascii="Calibri" w:hAnsi="Calibri" w:eastAsia="微软雅黑"/>
          <w:b w:val="0"/>
          <w:sz w:val="21"/>
        </w:rPr>
        <w:t>分段统计：RLE 游程编码，段数、平均/最长/最短持续时长。</w:t>
      </w:r>
    </w:p>
    <w:p w14:paraId="220A3622">
      <w:pPr>
        <w:pStyle w:val="16"/>
      </w:pPr>
      <w:r>
        <w:rPr>
          <w:rFonts w:ascii="Calibri" w:hAnsi="Calibri" w:eastAsia="微软雅黑"/>
          <w:b w:val="0"/>
          <w:sz w:val="21"/>
        </w:rPr>
        <w:t>KW + epsilon²：Kruskal-Wallis 检验 + FDR（BH）校正 + 效应量；修复过 BH 校正方向 bug（minimum.accumulate 方向错误导致 q 全 0）。</w:t>
      </w:r>
    </w:p>
    <w:p w14:paraId="0FDB061D">
      <w:r>
        <w:rPr>
          <w:rFonts w:ascii="Calibri" w:hAnsi="Calibri" w:eastAsia="微软雅黑"/>
          <w:b/>
          <w:color w:val="1F4E79"/>
          <w:sz w:val="25"/>
        </w:rPr>
        <w:t>2.4 性能优化（任务①，`run_phase1.py`）</w:t>
      </w:r>
    </w:p>
    <w:p w14:paraId="5F52E663">
      <w:r>
        <w:rPr>
          <w:rFonts w:ascii="Calibri" w:hAnsi="Calibri" w:eastAsia="微软雅黑"/>
          <w:b w:val="0"/>
          <w:sz w:val="21"/>
        </w:rPr>
        <w:t>四大热点函数级基准（数据规模：分段统计 79.5 万行、transition 9233 事件、KW 14 参数 × 7 工况、滞后相关 15 lags）：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28853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21BBBD2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热点</w:t>
            </w:r>
          </w:p>
        </w:tc>
        <w:tc>
          <w:tcPr>
            <w:tcW w:w="1728" w:type="dxa"/>
          </w:tcPr>
          <w:p w14:paraId="44E6851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优化前</w:t>
            </w:r>
          </w:p>
        </w:tc>
        <w:tc>
          <w:tcPr>
            <w:tcW w:w="1728" w:type="dxa"/>
          </w:tcPr>
          <w:p w14:paraId="0928DD6F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优化后</w:t>
            </w:r>
          </w:p>
        </w:tc>
        <w:tc>
          <w:tcPr>
            <w:tcW w:w="1728" w:type="dxa"/>
          </w:tcPr>
          <w:p w14:paraId="71FE429C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加速比</w:t>
            </w:r>
          </w:p>
        </w:tc>
        <w:tc>
          <w:tcPr>
            <w:tcW w:w="1728" w:type="dxa"/>
          </w:tcPr>
          <w:p w14:paraId="79AFF1E4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手段</w:t>
            </w:r>
          </w:p>
        </w:tc>
      </w:tr>
      <w:tr w14:paraId="5C3AF0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66E95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工况转换检测 transition.py</w:t>
            </w:r>
          </w:p>
        </w:tc>
        <w:tc>
          <w:tcPr>
            <w:tcW w:w="1728" w:type="dxa"/>
          </w:tcPr>
          <w:p w14:paraId="39D7C05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11,204 ms</w:t>
            </w:r>
          </w:p>
        </w:tc>
        <w:tc>
          <w:tcPr>
            <w:tcW w:w="1728" w:type="dxa"/>
          </w:tcPr>
          <w:p w14:paraId="217CACF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17.8 ms</w:t>
            </w:r>
          </w:p>
        </w:tc>
        <w:tc>
          <w:tcPr>
            <w:tcW w:w="1728" w:type="dxa"/>
          </w:tcPr>
          <w:p w14:paraId="3001E42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629×</w:t>
            </w:r>
          </w:p>
        </w:tc>
        <w:tc>
          <w:tcPr>
            <w:tcW w:w="1728" w:type="dxa"/>
          </w:tcPr>
          <w:p w14:paraId="050E9BA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cond.loc[pos:] 切片 → RLE 游程编码 + searchsorted</w:t>
            </w:r>
          </w:p>
        </w:tc>
      </w:tr>
      <w:tr w14:paraId="79A23D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A8D6A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分段统计 segment_stats.py</w:t>
            </w:r>
          </w:p>
        </w:tc>
        <w:tc>
          <w:tcPr>
            <w:tcW w:w="1728" w:type="dxa"/>
          </w:tcPr>
          <w:p w14:paraId="7D448B0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108,225 ms</w:t>
            </w:r>
          </w:p>
        </w:tc>
        <w:tc>
          <w:tcPr>
            <w:tcW w:w="1728" w:type="dxa"/>
          </w:tcPr>
          <w:p w14:paraId="01928CD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34.5 ms</w:t>
            </w:r>
          </w:p>
        </w:tc>
        <w:tc>
          <w:tcPr>
            <w:tcW w:w="1728" w:type="dxa"/>
          </w:tcPr>
          <w:p w14:paraId="25A35AA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3140×</w:t>
            </w:r>
          </w:p>
        </w:tc>
        <w:tc>
          <w:tcPr>
            <w:tcW w:w="1728" w:type="dxa"/>
          </w:tcPr>
          <w:p w14:paraId="717FB89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iterrows 逐行 → MultiIndex.isin 向量化</w:t>
            </w:r>
          </w:p>
        </w:tc>
      </w:tr>
      <w:tr w14:paraId="61923C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F58B3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KW 检验 significance.py</w:t>
            </w:r>
          </w:p>
        </w:tc>
        <w:tc>
          <w:tcPr>
            <w:tcW w:w="1728" w:type="dxa"/>
          </w:tcPr>
          <w:p w14:paraId="40FBEA6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77.6 ms</w:t>
            </w:r>
          </w:p>
        </w:tc>
        <w:tc>
          <w:tcPr>
            <w:tcW w:w="1728" w:type="dxa"/>
          </w:tcPr>
          <w:p w14:paraId="0859F9F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63.3 ms</w:t>
            </w:r>
          </w:p>
        </w:tc>
        <w:tc>
          <w:tcPr>
            <w:tcW w:w="1728" w:type="dxa"/>
          </w:tcPr>
          <w:p w14:paraId="7FAE349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1.2×</w:t>
            </w:r>
          </w:p>
        </w:tc>
        <w:tc>
          <w:tcPr>
            <w:tcW w:w="1728" w:type="dxa"/>
          </w:tcPr>
          <w:p w14:paraId="6C78D2A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逐参数 groupby → 复用单次 groupby 对象</w:t>
            </w:r>
          </w:p>
        </w:tc>
      </w:tr>
      <w:tr w14:paraId="46C883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762E9A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滞后相关 visualize.py</w:t>
            </w:r>
          </w:p>
        </w:tc>
        <w:tc>
          <w:tcPr>
            <w:tcW w:w="1728" w:type="dxa"/>
          </w:tcPr>
          <w:p w14:paraId="30A5741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1,227 ms</w:t>
            </w:r>
          </w:p>
        </w:tc>
        <w:tc>
          <w:tcPr>
            <w:tcW w:w="1728" w:type="dxa"/>
          </w:tcPr>
          <w:p w14:paraId="311603E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416 ms</w:t>
            </w:r>
          </w:p>
        </w:tc>
        <w:tc>
          <w:tcPr>
            <w:tcW w:w="1728" w:type="dxa"/>
          </w:tcPr>
          <w:p w14:paraId="12D794A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3.0×</w:t>
            </w:r>
          </w:p>
        </w:tc>
        <w:tc>
          <w:tcPr>
            <w:tcW w:w="1728" w:type="dxa"/>
          </w:tcPr>
          <w:p w14:paraId="407F1B7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逐 lag Spearman → 一次性 rank + corr</w:t>
            </w:r>
          </w:p>
        </w:tc>
      </w:tr>
    </w:tbl>
    <w:p w14:paraId="27BD79A4"/>
    <w:p w14:paraId="046E8B78">
      <w:bookmarkStart w:id="0" w:name="_GoBack"/>
      <w:bookmarkEnd w:id="0"/>
      <w:r>
        <w:rPr>
          <w:rFonts w:ascii="Calibri" w:hAnsi="Calibri" w:eastAsia="微软雅黑"/>
          <w:b/>
          <w:color w:val="1F4E79"/>
          <w:sz w:val="30"/>
        </w:rPr>
        <w:t>三、阶段二：异常检测</w:t>
      </w:r>
    </w:p>
    <w:p w14:paraId="2E479455">
      <w:r>
        <w:rPr>
          <w:rFonts w:ascii="Calibri" w:hAnsi="Calibri" w:eastAsia="微软雅黑"/>
          <w:b/>
          <w:color w:val="1F4E79"/>
          <w:sz w:val="25"/>
        </w:rPr>
        <w:t>3.1 Pipeline 架构</w:t>
      </w:r>
    </w:p>
    <w:p w14:paraId="3F9F4B7D">
      <w:r>
        <w:rPr>
          <w:rFonts w:ascii="Calibri" w:hAnsi="Calibri" w:eastAsia="微软雅黑"/>
          <w:b w:val="0"/>
          <w:sz w:val="21"/>
        </w:rPr>
        <w:t>分工况基线（profile）→ 30min 滑动窗口特征（RMS / 斜率 / 峰峰值 / 滚动相关系数 / 频域）→ PCA 降维（累计方差 95%）→ 四类方法 → 事件合并：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FB99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640B2F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w="2880" w:type="dxa"/>
          </w:tcPr>
          <w:p w14:paraId="7E171C3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原理</w:t>
            </w:r>
          </w:p>
        </w:tc>
        <w:tc>
          <w:tcPr>
            <w:tcW w:w="2880" w:type="dxa"/>
          </w:tcPr>
          <w:p w14:paraId="64C770A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输出</w:t>
            </w:r>
          </w:p>
        </w:tc>
      </w:tr>
      <w:tr w14:paraId="43B728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4A972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Mahalanobis</w:t>
            </w:r>
          </w:p>
        </w:tc>
        <w:tc>
          <w:tcPr>
            <w:tcW w:w="2880" w:type="dxa"/>
          </w:tcPr>
          <w:p w14:paraId="5C7B80A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马氏距离，协方差奇异时 ridge 回退</w:t>
            </w:r>
          </w:p>
        </w:tc>
        <w:tc>
          <w:tcPr>
            <w:tcW w:w="2880" w:type="dxa"/>
          </w:tcPr>
          <w:p w14:paraId="31E6E3A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分数 + 归因（载荷回溯）</w:t>
            </w:r>
          </w:p>
        </w:tc>
      </w:tr>
      <w:tr w14:paraId="009670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47415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Isolation Forest</w:t>
            </w:r>
          </w:p>
        </w:tc>
        <w:tc>
          <w:tcPr>
            <w:tcW w:w="2880" w:type="dxa"/>
          </w:tcPr>
          <w:p w14:paraId="1253666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随机森林隔离</w:t>
            </w:r>
          </w:p>
        </w:tc>
        <w:tc>
          <w:tcPr>
            <w:tcW w:w="2880" w:type="dxa"/>
          </w:tcPr>
          <w:p w14:paraId="14862B1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分数</w:t>
            </w:r>
          </w:p>
        </w:tc>
      </w:tr>
      <w:tr w14:paraId="132D73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FCCAF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残差分析</w:t>
            </w:r>
          </w:p>
        </w:tc>
        <w:tc>
          <w:tcPr>
            <w:tcW w:w="2880" w:type="dxa"/>
          </w:tcPr>
          <w:p w14:paraId="3571EBE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相对基线的残差</w:t>
            </w:r>
          </w:p>
        </w:tc>
        <w:tc>
          <w:tcPr>
            <w:tcW w:w="2880" w:type="dxa"/>
          </w:tcPr>
          <w:p w14:paraId="158B71E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分数</w:t>
            </w:r>
          </w:p>
        </w:tc>
      </w:tr>
      <w:tr w14:paraId="39D70D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04845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单变量 IQR+3σ</w:t>
            </w:r>
          </w:p>
        </w:tc>
        <w:tc>
          <w:tcPr>
            <w:tcW w:w="2880" w:type="dxa"/>
          </w:tcPr>
          <w:p w14:paraId="3CB637F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逐参数离群检测 + 短段过滤</w:t>
            </w:r>
          </w:p>
        </w:tc>
        <w:tc>
          <w:tcPr>
            <w:tcW w:w="2880" w:type="dxa"/>
          </w:tcPr>
          <w:p w14:paraId="271440F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标记</w:t>
            </w:r>
          </w:p>
        </w:tc>
      </w:tr>
    </w:tbl>
    <w:p w14:paraId="660AAF14"/>
    <w:p w14:paraId="4760CF2C">
      <w:r>
        <w:rPr>
          <w:rFonts w:ascii="Calibri" w:hAnsi="Calibri" w:eastAsia="微软雅黑"/>
          <w:b/>
          <w:color w:val="1F4E79"/>
          <w:sz w:val="25"/>
        </w:rPr>
        <w:t>3.2 特征集成经验教训（本轮核心纠偏）</w:t>
      </w:r>
    </w:p>
    <w:p w14:paraId="7D4F5A21">
      <w:r>
        <w:rPr>
          <w:rFonts w:ascii="Calibri" w:hAnsi="Calibri" w:eastAsia="微软雅黑"/>
          <w:b w:val="0"/>
          <w:sz w:val="21"/>
        </w:rPr>
        <w:t>7.22 反馈集成两类新特征：频域特征（FFT 主频 / 频谱熵 / 频谱质心 / 分频段占比）+ 滚动相关系数（参数对 Pearson r）。第三周 vs 本周对比报告（phase2_comparison_report.docx）显示：</w:t>
      </w:r>
    </w:p>
    <w:p w14:paraId="3BA8BB5B">
      <w:pPr>
        <w:pStyle w:val="16"/>
      </w:pPr>
      <w:r>
        <w:rPr>
          <w:rFonts w:ascii="Calibri" w:hAnsi="Calibri" w:eastAsia="微软雅黑"/>
          <w:b w:val="0"/>
          <w:sz w:val="21"/>
        </w:rPr>
        <w:t>成效：CMJ 截割部/油泵/破碎机 Mahalanobis 异常率从 15–22% 降至 ~4%，解决上周报告异常率偏高痛点；ZZJ 的 IF 从 30 降至 12；合并异常全面下降 4–16%。</w:t>
      </w:r>
    </w:p>
    <w:p w14:paraId="6A7EDC9B">
      <w:pPr>
        <w:pStyle w:val="16"/>
      </w:pPr>
      <w:r>
        <w:rPr>
          <w:rFonts w:ascii="Calibri" w:hAnsi="Calibri" w:eastAsia="微软雅黑"/>
          <w:b w:val="0"/>
          <w:sz w:val="21"/>
        </w:rPr>
        <w:t>代价：</w:t>
      </w:r>
    </w:p>
    <w:p w14:paraId="34FCC4D9">
      <w:pPr>
        <w:pStyle w:val="14"/>
      </w:pPr>
      <w:r>
        <w:rPr>
          <w:rFonts w:ascii="Calibri" w:hAnsi="Calibri" w:eastAsia="微软雅黑"/>
          <w:b w:val="0"/>
          <w:sz w:val="21"/>
        </w:rPr>
        <w:t>NaN 样本损失 95.9%：rolling corr 在参数恒定段（待机/停机）无定义 → NaN，CMJ 有效样本 39k → 1.6k。</w:t>
      </w:r>
    </w:p>
    <w:p w14:paraId="6617B1BD">
      <w:pPr>
        <w:pStyle w:val="14"/>
      </w:pPr>
      <w:r>
        <w:rPr>
          <w:rFonts w:ascii="Calibri" w:hAnsi="Calibri" w:eastAsia="微软雅黑"/>
          <w:b w:val="0"/>
          <w:sz w:val="21"/>
        </w:rPr>
        <w:t>ZZJ Mahalanobis 恶化（18.4% → 45.8%）：频域特征可能引入噪声。</w:t>
      </w:r>
    </w:p>
    <w:p w14:paraId="24B172C9">
      <w:pPr>
        <w:pStyle w:val="14"/>
      </w:pPr>
      <w:r>
        <w:rPr>
          <w:rFonts w:ascii="Calibri" w:hAnsi="Calibri" w:eastAsia="微软雅黑"/>
          <w:b w:val="0"/>
          <w:sz w:val="21"/>
        </w:rPr>
        <w:t>牵引部未改善（21.7%）：对频域特征不敏感。</w:t>
      </w:r>
    </w:p>
    <w:p w14:paraId="642C2F8D">
      <w:pPr>
        <w:pStyle w:val="14"/>
      </w:pPr>
      <w:r>
        <w:rPr>
          <w:rFonts w:ascii="Calibri" w:hAnsi="Calibri" w:eastAsia="微软雅黑"/>
          <w:b w:val="0"/>
          <w:sz w:val="21"/>
        </w:rPr>
        <w:t>单变量异常率全面上升（+42% ~ +159%）：特征分布变化导致阈值偏移。</w:t>
      </w:r>
    </w:p>
    <w:p w14:paraId="64B08FBF">
      <w:r>
        <w:rPr>
          <w:rFonts w:ascii="Calibri" w:hAnsi="Calibri" w:eastAsia="微软雅黑"/>
          <w:b w:val="0"/>
          <w:sz w:val="21"/>
        </w:rPr>
        <w:t>纠偏结论（关键）：最初怀疑样本损失是频域特征导致，实际根因是 rolling corr 的 NaN——频域列经 ffill().bfill() 基本填满，而 corr 在恒定段恒为 NaN，windows CSV 中 95.7% 行含 NaN，Mahalanobis 有效样本 39k → ~1.6k。只关频域，样本仍只有 1.6k。</w:t>
      </w:r>
    </w:p>
    <w:p w14:paraId="17F0F73C">
      <w:r>
        <w:rPr>
          <w:rFonts w:ascii="Calibri" w:hAnsi="Calibri" w:eastAsia="微软雅黑"/>
          <w:b w:val="0"/>
          <w:sz w:val="21"/>
        </w:rPr>
        <w:t>本轮修复（2026-08-04）：</w:t>
      </w:r>
    </w:p>
    <w:p w14:paraId="4E3CE236">
      <w:pPr>
        <w:pStyle w:val="16"/>
      </w:pPr>
      <w:r>
        <w:rPr>
          <w:rFonts w:ascii="Calibri" w:hAnsi="Calibri" w:eastAsia="微软雅黑"/>
          <w:b w:val="0"/>
          <w:sz w:val="21"/>
        </w:rPr>
        <w:t>ENABLE_FREQ_FEATURES = False（恢复频域集成前做法，Step 2b 死代码保留便于日后开关）。</w:t>
      </w:r>
    </w:p>
    <w:p w14:paraId="649F0AA2">
      <w:pPr>
        <w:pStyle w:val="16"/>
      </w:pPr>
      <w:r>
        <w:rPr>
          <w:rFonts w:ascii="Calibri" w:hAnsi="Calibri" w:eastAsia="微软雅黑"/>
          <w:b w:val="0"/>
          <w:sz w:val="21"/>
        </w:rPr>
        <w:t>corr 列 merge 后 fillna(0.0)：参数恒定 → "无动态相关"记 0，中性且不丢样本。RMS/斜率全 NaN 行仍按原逻辑删除。</w:t>
      </w:r>
    </w:p>
    <w:p w14:paraId="689265A8">
      <w:pPr>
        <w:pStyle w:val="16"/>
      </w:pPr>
      <w:r>
        <w:rPr>
          <w:rFonts w:ascii="Calibri" w:hAnsi="Calibri" w:eastAsia="微软雅黑"/>
          <w:b w:val="0"/>
          <w:sz w:val="21"/>
        </w:rPr>
        <w:t>重跑后核对：CMJ 各部位 Mahalanobis 有效样本恢复到 39126 / 部位，异常率截割部 20.1% / 牵引部 30.6% / 油泵 20.1% / 破碎机 12.8%；ZZJ 有效样本 87327、异常率 28.2%（从 45.8% 回落）。样本损失问题解决，异常率回到频域集成前量级。</w:t>
      </w:r>
    </w:p>
    <w:p w14:paraId="6BA9821E">
      <w:pPr>
        <w:jc w:val="center"/>
      </w:pPr>
      <w:r>
        <w:drawing>
          <wp:inline distT="0" distB="0" distL="114300" distR="114300">
            <wp:extent cx="5039995" cy="2142490"/>
            <wp:effectExtent l="0" t="0" r="825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06DE">
      <w:r>
        <w:rPr>
          <w:rFonts w:ascii="Calibri" w:hAnsi="Calibri" w:eastAsia="微软雅黑"/>
          <w:b/>
          <w:color w:val="1F4E79"/>
          <w:sz w:val="25"/>
        </w:rPr>
        <w:t>3.3 ZZJ 母线电压诊断（7.29 反馈点名）</w:t>
      </w:r>
    </w:p>
    <w:p w14:paraId="41E249F0">
      <w:pPr>
        <w:pStyle w:val="16"/>
      </w:pPr>
      <w:r>
        <w:rPr>
          <w:rFonts w:ascii="Calibri" w:hAnsi="Calibri" w:eastAsia="微软雅黑"/>
          <w:b w:val="0"/>
          <w:sz w:val="21"/>
        </w:rPr>
        <w:t>现象：ZZJ PCA 分析出"母线电压不太对"，Mahalanobis 异常率 45.8% 偏高。</w:t>
      </w:r>
    </w:p>
    <w:p w14:paraId="64910DD0">
      <w:pPr>
        <w:pStyle w:val="16"/>
      </w:pPr>
      <w:r>
        <w:rPr>
          <w:rFonts w:ascii="Calibri" w:hAnsi="Calibri" w:eastAsia="微软雅黑"/>
          <w:b w:val="0"/>
          <w:sz w:val="21"/>
        </w:rPr>
        <w:t>排查：母线电压位于 zzj_pca_loadings.csv 载荷贡献前列；top_contributors 为 PC 名，需经载荷矩阵映射回参数。</w:t>
      </w:r>
    </w:p>
    <w:p w14:paraId="2FCCA421">
      <w:pPr>
        <w:pStyle w:val="16"/>
      </w:pPr>
      <w:r>
        <w:rPr>
          <w:rFonts w:ascii="Calibri" w:hAnsi="Calibri" w:eastAsia="微软雅黑"/>
          <w:b w:val="0"/>
          <w:sz w:val="21"/>
        </w:rPr>
        <w:t>诊断结论：母线电压是物理开关量——停机断电 ≈5V / 带载 ≈4412V，双峰分布；工况内方差趋零，毁掉 Mahalanobis 协方差分母（MCD 协方差奇异）→ 异常率虚高 45.8%。已从 ZZJ 特征中排除。</w:t>
      </w:r>
    </w:p>
    <w:p w14:paraId="6CD62114">
      <w:pPr>
        <w:pStyle w:val="16"/>
      </w:pPr>
      <w:r>
        <w:rPr>
          <w:rFonts w:ascii="Calibri" w:hAnsi="Calibri" w:eastAsia="微软雅黑"/>
          <w:b w:val="0"/>
          <w:sz w:val="21"/>
        </w:rPr>
        <w:t>排除后效果：PCA 24→1 维、PC1 方差解释率 94.97% → 98.04%；PC1 载荷恢复物理意义——链条速度_RMS 0.841 + 电机_转速_RMS 0.539（母线电压不再以 0.8977 独占主导）；ZZJ Mahalanobis 异常率回落至 28.2%。</w:t>
      </w:r>
    </w:p>
    <w:p w14:paraId="6630153B">
      <w:pPr>
        <w:jc w:val="center"/>
      </w:pPr>
      <w:r>
        <w:drawing>
          <wp:inline distT="0" distB="0" distL="114300" distR="114300">
            <wp:extent cx="5039995" cy="1847215"/>
            <wp:effectExtent l="0" t="0" r="825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4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F53E">
      <w:pPr>
        <w:pStyle w:val="16"/>
      </w:pPr>
      <w:r>
        <w:rPr>
          <w:rFonts w:ascii="Calibri" w:hAnsi="Calibri" w:eastAsia="微软雅黑"/>
          <w:b w:val="0"/>
          <w:sz w:val="21"/>
        </w:rPr>
        <w:t>处理原则：不擅改 PCA/阈值，先给诊断结论再定方案；若为野值，纳入阶段一清洗流程或由单变量异常覆盖。</w:t>
      </w:r>
    </w:p>
    <w:p w14:paraId="5B861887">
      <w:r>
        <w:rPr>
          <w:rFonts w:ascii="Calibri" w:hAnsi="Calibri" w:eastAsia="微软雅黑"/>
          <w:b/>
          <w:color w:val="1F4E79"/>
          <w:sz w:val="30"/>
        </w:rPr>
        <w:t>四、反馈闭环（7.8 → 7.29 逐轮）</w:t>
      </w:r>
    </w:p>
    <w:p w14:paraId="03FBDA8A">
      <w:r>
        <w:rPr>
          <w:rFonts w:ascii="Calibri" w:hAnsi="Calibri" w:eastAsia="微软雅黑"/>
          <w:b/>
          <w:color w:val="1F4E79"/>
          <w:sz w:val="25"/>
        </w:rPr>
        <w:t>4.1 7.8 反馈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5657C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A99CDD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反馈</w:t>
            </w:r>
          </w:p>
        </w:tc>
        <w:tc>
          <w:tcPr>
            <w:tcW w:w="2880" w:type="dxa"/>
          </w:tcPr>
          <w:p w14:paraId="749966D5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落实</w:t>
            </w:r>
          </w:p>
        </w:tc>
        <w:tc>
          <w:tcPr>
            <w:tcW w:w="2880" w:type="dxa"/>
          </w:tcPr>
          <w:p w14:paraId="69D630EF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效果</w:t>
            </w:r>
          </w:p>
        </w:tc>
      </w:tr>
      <w:tr w14:paraId="66F281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C3FFF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数据缺失 → 传感器损坏/断电</w:t>
            </w:r>
          </w:p>
        </w:tc>
        <w:tc>
          <w:tcPr>
            <w:tcW w:w="2880" w:type="dxa"/>
          </w:tcPr>
          <w:p w14:paraId="76F1790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preprocess 数据空洞分析、点位覆盖率</w:t>
            </w:r>
          </w:p>
        </w:tc>
        <w:tc>
          <w:tcPr>
            <w:tcW w:w="2880" w:type="dxa"/>
          </w:tcPr>
          <w:p w14:paraId="1245A02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覆盖率 99.86%+</w:t>
            </w:r>
          </w:p>
        </w:tc>
      </w:tr>
      <w:tr w14:paraId="17C387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63F4A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按命名级别参数图谱 + 分部位工况</w:t>
            </w:r>
          </w:p>
        </w:tc>
        <w:tc>
          <w:tcPr>
            <w:tcW w:w="2880" w:type="dxa"/>
          </w:tcPr>
          <w:p w14:paraId="13A60B2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param_hierarchy 图谱、分部位 7/4/3/3 态</w:t>
            </w:r>
          </w:p>
        </w:tc>
        <w:tc>
          <w:tcPr>
            <w:tcW w:w="2880" w:type="dxa"/>
          </w:tcPr>
          <w:p w14:paraId="326EA19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图谱 + 工况列</w:t>
            </w:r>
          </w:p>
        </w:tc>
      </w:tr>
      <w:tr w14:paraId="699ED9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2010D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工况转换时序特征</w:t>
            </w:r>
          </w:p>
        </w:tc>
        <w:tc>
          <w:tcPr>
            <w:tcW w:w="2880" w:type="dxa"/>
          </w:tcPr>
          <w:p w14:paraId="70FEB93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transition.py 转换检测 + 滚动窗口向量化</w:t>
            </w:r>
          </w:p>
        </w:tc>
        <w:tc>
          <w:tcPr>
            <w:tcW w:w="2880" w:type="dxa"/>
          </w:tcPr>
          <w:p w14:paraId="154F2CB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转换时序图</w:t>
            </w:r>
          </w:p>
        </w:tc>
      </w:tr>
      <w:tr w14:paraId="37C6F0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5D054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聚类划分不一致/混淆</w:t>
            </w:r>
          </w:p>
        </w:tc>
        <w:tc>
          <w:tcPr>
            <w:tcW w:w="2880" w:type="dxa"/>
          </w:tcPr>
          <w:p w14:paraId="4001901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cluster_validate.py 聚类验证 + ARI</w:t>
            </w:r>
          </w:p>
        </w:tc>
        <w:tc>
          <w:tcPr>
            <w:tcW w:w="2880" w:type="dxa"/>
          </w:tcPr>
          <w:p w14:paraId="700919F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 0.17 → 0.59</w:t>
            </w:r>
          </w:p>
        </w:tc>
      </w:tr>
      <w:tr w14:paraId="1C996B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C120B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参数关联</w:t>
            </w:r>
          </w:p>
        </w:tc>
        <w:tc>
          <w:tcPr>
            <w:tcW w:w="2880" w:type="dxa"/>
          </w:tcPr>
          <w:p w14:paraId="67D9AE7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Spearman 热力图 + 滞后互相关</w:t>
            </w:r>
          </w:p>
        </w:tc>
        <w:tc>
          <w:tcPr>
            <w:tcW w:w="2880" w:type="dxa"/>
          </w:tcPr>
          <w:p w14:paraId="3D8211C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温度滞后电流 5–15min</w:t>
            </w:r>
          </w:p>
        </w:tc>
      </w:tr>
      <w:tr w14:paraId="571BA6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61D38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分工况参数特征</w:t>
            </w:r>
          </w:p>
        </w:tc>
        <w:tc>
          <w:tcPr>
            <w:tcW w:w="2880" w:type="dxa"/>
          </w:tcPr>
          <w:p w14:paraId="2A792AD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分部位 profile + 箱线图</w:t>
            </w:r>
          </w:p>
        </w:tc>
        <w:tc>
          <w:tcPr>
            <w:tcW w:w="2880" w:type="dxa"/>
          </w:tcPr>
          <w:p w14:paraId="26C2405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分部位统计</w:t>
            </w:r>
          </w:p>
        </w:tc>
      </w:tr>
    </w:tbl>
    <w:p w14:paraId="0E0B7023"/>
    <w:p w14:paraId="2C127D2E">
      <w:r>
        <w:rPr>
          <w:rFonts w:ascii="Calibri" w:hAnsi="Calibri" w:eastAsia="微软雅黑"/>
          <w:b/>
          <w:color w:val="1F4E79"/>
          <w:sz w:val="25"/>
        </w:rPr>
        <w:t>4.2 7.15 反馈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ECD1F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7B5B6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反馈</w:t>
            </w:r>
          </w:p>
        </w:tc>
        <w:tc>
          <w:tcPr>
            <w:tcW w:w="2880" w:type="dxa"/>
          </w:tcPr>
          <w:p w14:paraId="3E7FD19B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落实</w:t>
            </w:r>
          </w:p>
        </w:tc>
        <w:tc>
          <w:tcPr>
            <w:tcW w:w="2880" w:type="dxa"/>
          </w:tcPr>
          <w:p w14:paraId="77997520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效果</w:t>
            </w:r>
          </w:p>
        </w:tc>
      </w:tr>
      <w:tr w14:paraId="45C8BA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784DA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离群点检测</w:t>
            </w:r>
          </w:p>
        </w:tc>
        <w:tc>
          <w:tcPr>
            <w:tcW w:w="2880" w:type="dxa"/>
          </w:tcPr>
          <w:p w14:paraId="4C3029F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阶段二多变量（Mahalanobis/IF/残差）+ 单变量 IQR+3σ</w:t>
            </w:r>
          </w:p>
        </w:tc>
        <w:tc>
          <w:tcPr>
            <w:tcW w:w="2880" w:type="dxa"/>
          </w:tcPr>
          <w:p w14:paraId="7887BB3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异常事件 CSV</w:t>
            </w:r>
          </w:p>
        </w:tc>
      </w:tr>
      <w:tr w14:paraId="15099B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2E42E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状态变化趋势性</w:t>
            </w:r>
          </w:p>
        </w:tc>
        <w:tc>
          <w:tcPr>
            <w:tcW w:w="2880" w:type="dxa"/>
          </w:tcPr>
          <w:p w14:paraId="502E12A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窗口斜率特征 + 残差检测</w:t>
            </w:r>
          </w:p>
        </w:tc>
        <w:tc>
          <w:tcPr>
            <w:tcW w:w="2880" w:type="dxa"/>
          </w:tcPr>
          <w:p w14:paraId="1BC7375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趋势性异常捕获</w:t>
            </w:r>
          </w:p>
        </w:tc>
      </w:tr>
    </w:tbl>
    <w:p w14:paraId="3E3E55DE"/>
    <w:p w14:paraId="155AEED0">
      <w:r>
        <w:rPr>
          <w:rFonts w:ascii="Calibri" w:hAnsi="Calibri" w:eastAsia="微软雅黑"/>
          <w:b/>
          <w:color w:val="1F4E79"/>
          <w:sz w:val="25"/>
        </w:rPr>
        <w:t>4.3 7.22 反馈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0"/>
        <w:gridCol w:w="3295"/>
        <w:gridCol w:w="2781"/>
      </w:tblGrid>
      <w:tr w14:paraId="7C43ED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EEBABD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反馈</w:t>
            </w:r>
          </w:p>
        </w:tc>
        <w:tc>
          <w:tcPr>
            <w:tcW w:w="2880" w:type="dxa"/>
          </w:tcPr>
          <w:p w14:paraId="3F96768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落实</w:t>
            </w:r>
          </w:p>
        </w:tc>
        <w:tc>
          <w:tcPr>
            <w:tcW w:w="2880" w:type="dxa"/>
          </w:tcPr>
          <w:p w14:paraId="03DF54D0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效果</w:t>
            </w:r>
          </w:p>
        </w:tc>
      </w:tr>
      <w:tr w14:paraId="41F7AA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B265F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减少参数、降维</w:t>
            </w:r>
          </w:p>
        </w:tc>
        <w:tc>
          <w:tcPr>
            <w:tcW w:w="2880" w:type="dxa"/>
          </w:tcPr>
          <w:p w14:paraId="1195093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PCA（累计方差 95%）</w:t>
            </w:r>
          </w:p>
        </w:tc>
        <w:tc>
          <w:tcPr>
            <w:tcW w:w="2880" w:type="dxa"/>
          </w:tcPr>
          <w:p w14:paraId="15F09F3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特征维度压缩</w:t>
            </w:r>
          </w:p>
        </w:tc>
      </w:tr>
      <w:tr w14:paraId="68A07B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574C3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野值清洗</w:t>
            </w:r>
          </w:p>
        </w:tc>
        <w:tc>
          <w:tcPr>
            <w:tcW w:w="2880" w:type="dxa"/>
          </w:tcPr>
          <w:p w14:paraId="7F78389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preprocess.detect_and_filter_outliers（IQR/3σ）</w:t>
            </w:r>
          </w:p>
        </w:tc>
        <w:tc>
          <w:tcPr>
            <w:tcW w:w="2880" w:type="dxa"/>
          </w:tcPr>
          <w:p w14:paraId="7AB18D1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基线不被污染</w:t>
            </w:r>
          </w:p>
        </w:tc>
      </w:tr>
      <w:tr w14:paraId="023B7D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94FF7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频域特征</w:t>
            </w:r>
          </w:p>
        </w:tc>
        <w:tc>
          <w:tcPr>
            <w:tcW w:w="2880" w:type="dxa"/>
          </w:tcPr>
          <w:p w14:paraId="783B2B0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FFT 主频/频谱熵/质心/分频占比</w:t>
            </w:r>
          </w:p>
        </w:tc>
        <w:tc>
          <w:tcPr>
            <w:tcW w:w="2880" w:type="dxa"/>
          </w:tcPr>
          <w:p w14:paraId="24AE68A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周期信号区分（效应量小）</w:t>
            </w:r>
          </w:p>
        </w:tc>
      </w:tr>
      <w:tr w14:paraId="01BE3B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F8552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参数相关性特征</w:t>
            </w:r>
          </w:p>
        </w:tc>
        <w:tc>
          <w:tcPr>
            <w:tcW w:w="2880" w:type="dxa"/>
          </w:tcPr>
          <w:p w14:paraId="784ABD6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rolling corr</w:t>
            </w:r>
          </w:p>
        </w:tc>
        <w:tc>
          <w:tcPr>
            <w:tcW w:w="2880" w:type="dxa"/>
          </w:tcPr>
          <w:p w14:paraId="7BA5C36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见 §3.2 教训</w:t>
            </w:r>
          </w:p>
        </w:tc>
      </w:tr>
    </w:tbl>
    <w:p w14:paraId="415CABE8"/>
    <w:p w14:paraId="008F5512">
      <w:r>
        <w:rPr>
          <w:rFonts w:ascii="Calibri" w:hAnsi="Calibri" w:eastAsia="微软雅黑"/>
          <w:b/>
          <w:color w:val="1F4E79"/>
          <w:sz w:val="25"/>
        </w:rPr>
        <w:t>4.4 7.29 反馈（本轮）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65259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99CF30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反馈</w:t>
            </w:r>
          </w:p>
        </w:tc>
        <w:tc>
          <w:tcPr>
            <w:tcW w:w="2880" w:type="dxa"/>
          </w:tcPr>
          <w:p w14:paraId="7A8A2C6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落实</w:t>
            </w:r>
          </w:p>
        </w:tc>
        <w:tc>
          <w:tcPr>
            <w:tcW w:w="2880" w:type="dxa"/>
          </w:tcPr>
          <w:p w14:paraId="0B785718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</w:tr>
      <w:tr w14:paraId="57AD97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DADB9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因果包络</w:t>
            </w:r>
          </w:p>
        </w:tc>
        <w:tc>
          <w:tcPr>
            <w:tcW w:w="2880" w:type="dxa"/>
          </w:tcPr>
          <w:p w14:paraId="3FF402C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—</w:t>
            </w:r>
          </w:p>
        </w:tc>
        <w:tc>
          <w:tcPr>
            <w:tcW w:w="2880" w:type="dxa"/>
          </w:tcPr>
          <w:p w14:paraId="5E4D87A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阶段三，暂缓</w:t>
            </w:r>
          </w:p>
        </w:tc>
      </w:tr>
      <w:tr w14:paraId="7829BC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DD4EF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异常征兆</w:t>
            </w:r>
          </w:p>
        </w:tc>
        <w:tc>
          <w:tcPr>
            <w:tcW w:w="2880" w:type="dxa"/>
          </w:tcPr>
          <w:p w14:paraId="13F16C4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事件归因摘要（interpretation）+ 事件窗口图</w:t>
            </w:r>
          </w:p>
        </w:tc>
        <w:tc>
          <w:tcPr>
            <w:tcW w:w="2880" w:type="dxa"/>
          </w:tcPr>
          <w:p w14:paraId="3E648F3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本轮</w:t>
            </w:r>
          </w:p>
        </w:tc>
      </w:tr>
      <w:tr w14:paraId="1B2355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BDD88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ZZJ 母线电压</w:t>
            </w:r>
          </w:p>
        </w:tc>
        <w:tc>
          <w:tcPr>
            <w:tcW w:w="2880" w:type="dxa"/>
          </w:tcPr>
          <w:p w14:paraId="29324A0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诊断分析</w:t>
            </w:r>
          </w:p>
        </w:tc>
        <w:tc>
          <w:tcPr>
            <w:tcW w:w="2880" w:type="dxa"/>
          </w:tcPr>
          <w:p w14:paraId="5CD9F5F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本轮</w:t>
            </w:r>
          </w:p>
        </w:tc>
      </w:tr>
      <w:tr w14:paraId="5B42CD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B620B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梳理复盘工作</w:t>
            </w:r>
          </w:p>
        </w:tc>
        <w:tc>
          <w:tcPr>
            <w:tcW w:w="2880" w:type="dxa"/>
          </w:tcPr>
          <w:p w14:paraId="46D12BC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本文档</w:t>
            </w:r>
          </w:p>
        </w:tc>
        <w:tc>
          <w:tcPr>
            <w:tcW w:w="2880" w:type="dxa"/>
          </w:tcPr>
          <w:p w14:paraId="4C5E586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本轮</w:t>
            </w:r>
          </w:p>
        </w:tc>
      </w:tr>
      <w:tr w14:paraId="51BD14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EF1FF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具体异常事件可视化</w:t>
            </w:r>
          </w:p>
        </w:tc>
        <w:tc>
          <w:tcPr>
            <w:tcW w:w="2880" w:type="dxa"/>
          </w:tcPr>
          <w:p w14:paraId="39DA98B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run_event_viz.py + src/anomaly_event_viz.py</w:t>
            </w:r>
          </w:p>
        </w:tc>
        <w:tc>
          <w:tcPr>
            <w:tcW w:w="2880" w:type="dxa"/>
          </w:tcPr>
          <w:p w14:paraId="12F0903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本轮</w:t>
            </w:r>
          </w:p>
        </w:tc>
      </w:tr>
    </w:tbl>
    <w:p w14:paraId="78F91CE1"/>
    <w:p w14:paraId="69CE9832">
      <w:pPr>
        <w:jc w:val="center"/>
      </w:pPr>
      <w:r>
        <w:drawing>
          <wp:inline distT="0" distB="0" distL="114300" distR="114300">
            <wp:extent cx="5039995" cy="2497455"/>
            <wp:effectExtent l="0" t="0" r="8255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0547">
      <w:r>
        <w:rPr>
          <w:rFonts w:ascii="Calibri" w:hAnsi="Calibri" w:eastAsia="微软雅黑"/>
          <w:b/>
          <w:color w:val="1F4E79"/>
          <w:sz w:val="30"/>
        </w:rPr>
        <w:t>五、遗留问题与下一步</w:t>
      </w:r>
    </w:p>
    <w:p w14:paraId="15CE324A">
      <w:pPr>
        <w:pStyle w:val="16"/>
      </w:pPr>
      <w:r>
        <w:rPr>
          <w:rFonts w:ascii="Calibri" w:hAnsi="Calibri" w:eastAsia="微软雅黑"/>
          <w:b w:val="0"/>
          <w:sz w:val="21"/>
        </w:rPr>
        <w:t>阶段三（暂缓）：因果包络、异常征兆预警。</w:t>
      </w:r>
    </w:p>
    <w:p w14:paraId="43A65FA5">
      <w:pPr>
        <w:pStyle w:val="16"/>
      </w:pPr>
      <w:r>
        <w:rPr>
          <w:rFonts w:ascii="Calibri" w:hAnsi="Calibri" w:eastAsia="微软雅黑"/>
          <w:b w:val="0"/>
          <w:sz w:val="21"/>
        </w:rPr>
        <w:t>待机-高位物理意义：重跑后 426 段 / 2962 min（高摇臂待机），是否为停机前抬臂操作待确认。</w:t>
      </w:r>
    </w:p>
    <w:p w14:paraId="444AD3D4">
      <w:pPr>
        <w:pStyle w:val="16"/>
      </w:pPr>
      <w:r>
        <w:rPr>
          <w:rFonts w:ascii="Calibri" w:hAnsi="Calibri" w:eastAsia="微软雅黑"/>
          <w:b w:val="0"/>
          <w:sz w:val="21"/>
        </w:rPr>
        <w:t>割煤低位稀疏：仍 335 min / 31 段（重跑后核实），阶段二需注意样本平衡。</w:t>
      </w:r>
    </w:p>
    <w:p w14:paraId="208A39AF">
      <w:pPr>
        <w:pStyle w:val="16"/>
      </w:pPr>
      <w:r>
        <w:rPr>
          <w:rFonts w:ascii="Calibri" w:hAnsi="Calibri" w:eastAsia="微软雅黑"/>
          <w:b w:val="0"/>
          <w:sz w:val="21"/>
        </w:rPr>
        <w:t>牵引部 Mahalanobis 未改善：重跑后异常率 30.6%（CMJ 各部位最高），对特征不敏感，需独立特征工程。</w:t>
      </w:r>
    </w:p>
    <w:p w14:paraId="1A0BB424">
      <w:pPr>
        <w:pStyle w:val="16"/>
      </w:pPr>
      <w:r>
        <w:rPr>
          <w:rFonts w:ascii="Calibri" w:hAnsi="Calibri" w:eastAsia="微软雅黑"/>
          <w:b w:val="0"/>
          <w:sz w:val="21"/>
        </w:rPr>
        <w:t>单变量阈值自适应：特征分布变化会偏移阈值，需动态调整 IQR 倍数。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7308D7"/>
    <w:rsid w:val="14A4376A"/>
    <w:rsid w:val="71AE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1402</Words>
  <Characters>1966</Characters>
  <Lines>0</Lines>
  <Paragraphs>0</Paragraphs>
  <TotalTime>12</TotalTime>
  <ScaleCrop>false</ScaleCrop>
  <LinksUpToDate>false</LinksUpToDate>
  <CharactersWithSpaces>2168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DBAA</cp:lastModifiedBy>
  <dcterms:modified xsi:type="dcterms:W3CDTF">2026-08-04T16:01:54Z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F28AE6E7D576459BB77A03C2146007E5_13</vt:lpwstr>
  </property>
  <property fmtid="{D5CDD505-2E9C-101B-9397-08002B2CF9AE}" pid="4" name="KSOTemplateDocerSaveRecord">
    <vt:lpwstr>eyJoZGlkIjoiYWQ1MDVjMGM0MTI1NzFiMTc3MjIxOWE3YzE3NTRlOGYiLCJ1c2VySWQiOiIxNDM2Mjc2MzI3In0=</vt:lpwstr>
  </property>
</Properties>
</file>