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微软雅黑"/>
          <w:b/>
          <w:color w:val="1F4E79"/>
          <w:sz w:val="36"/>
        </w:rPr>
        <w:t>煤矿设备数据分析建模 · 工作总结</w:t>
      </w:r>
    </w:p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项目</w:t>
      </w:r>
      <w:r>
        <w:rPr>
          <w:rFonts w:ascii="Calibri" w:hAnsi="Calibri" w:eastAsia="微软雅黑"/>
          <w:b w:val="0"/>
          <w:color w:val="595959"/>
          <w:sz w:val="20"/>
        </w:rPr>
        <w:t>：大海则煤矿采煤机（CMJ）+ 转载机（ZZJ）设备数据分析建模 · 暑期实习</w:t>
      </w:r>
    </w:p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周期</w:t>
      </w:r>
      <w:r>
        <w:rPr>
          <w:rFonts w:ascii="Calibri" w:hAnsi="Calibri" w:eastAsia="微软雅黑"/>
          <w:b w:val="0"/>
          <w:color w:val="595959"/>
          <w:sz w:val="20"/>
        </w:rPr>
        <w:t>：2026-07 → 2026-08-04</w:t>
      </w:r>
    </w:p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数据</w:t>
      </w:r>
      <w:r>
        <w:rPr>
          <w:rFonts w:ascii="Calibri" w:hAnsi="Calibri" w:eastAsia="微软雅黑"/>
          <w:b w:val="0"/>
          <w:color w:val="595959"/>
          <w:sz w:val="20"/>
        </w:rPr>
        <w:t>：on-change 存储，重采样为 1min 等间隔宽表</w:t>
      </w:r>
    </w:p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内容</w:t>
      </w:r>
      <w:r>
        <w:rPr>
          <w:rFonts w:ascii="Calibri" w:hAnsi="Calibri" w:eastAsia="微软雅黑"/>
          <w:b w:val="0"/>
          <w:color w:val="595959"/>
          <w:sz w:val="20"/>
        </w:rPr>
        <w:t>：阶段一（工况分类建模）+ 阶段二（异常检测）两阶段分析，产出报告与可视化</w:t>
      </w:r>
    </w:p>
    <w:p>
      <w:r>
        <w:rPr>
          <w:rFonts w:ascii="Calibri" w:hAnsi="Calibri" w:eastAsia="微软雅黑"/>
          <w:b/>
          <w:color w:val="1F4E79"/>
          <w:sz w:val="30"/>
        </w:rPr>
        <w:t>一、工作概况</w:t>
      </w:r>
    </w:p>
    <w:p>
      <w:r>
        <w:rPr>
          <w:rFonts w:ascii="Calibri" w:hAnsi="Calibri" w:eastAsia="微软雅黑"/>
          <w:b w:val="0"/>
          <w:sz w:val="21"/>
        </w:rPr>
        <w:t>围绕煤矿设备（采煤机 CMJ + 转载机 ZZJ）的实时运行数据，完成两阶段分析建模：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阶段一：工况分类建模</w:t>
      </w:r>
      <w:r>
        <w:rPr>
          <w:rFonts w:ascii="Calibri" w:hAnsi="Calibri" w:eastAsia="微软雅黑"/>
          <w:b w:val="0"/>
          <w:sz w:val="21"/>
        </w:rPr>
        <w:t xml:space="preserve"> —— 按物理部位划分独立工况体系，用聚类验证规则合理性并迭代优化；配套参数图谱、工况转换分析、滞后相关、统计检验等数据基础产出。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阶段二：异常检测</w:t>
      </w:r>
      <w:r>
        <w:rPr>
          <w:rFonts w:ascii="Calibri" w:hAnsi="Calibri" w:eastAsia="微软雅黑"/>
          <w:b w:val="0"/>
          <w:sz w:val="21"/>
        </w:rPr>
        <w:t xml:space="preserve"> —— 分工况建立基线，滑动窗口特征 + PCA 降维，多变量（Mahalanobis / Isolation Forest / 残差）+ 单变量（IQR+3σ）四类方法检测，合并为异常事件并逐事件可视化。</w:t>
      </w:r>
    </w:p>
    <w:p>
      <w:r>
        <w:rPr>
          <w:rFonts w:ascii="Calibri" w:hAnsi="Calibri" w:eastAsia="微软雅黑"/>
          <w:b w:val="0"/>
          <w:sz w:val="21"/>
        </w:rPr>
        <w:t>主要成果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分类规则与数据自洽度（ARI）大幅提升</w:t>
      </w:r>
      <w:r>
        <w:rPr>
          <w:rFonts w:ascii="Calibri" w:hAnsi="Calibri" w:eastAsia="微软雅黑"/>
          <w:b w:val="0"/>
          <w:sz w:val="21"/>
        </w:rPr>
        <w:t xml:space="preserve">：截割部 </w:t>
      </w:r>
      <w:r>
        <w:rPr>
          <w:rFonts w:ascii="Calibri" w:hAnsi="Calibri" w:eastAsia="微软雅黑"/>
          <w:b w:val="0"/>
          <w:sz w:val="21"/>
        </w:rPr>
        <w:t>0.17 → 0.57</w:t>
      </w:r>
      <w:r>
        <w:rPr>
          <w:rFonts w:ascii="Calibri" w:hAnsi="Calibri" w:eastAsia="微软雅黑"/>
          <w:b w:val="0"/>
          <w:sz w:val="21"/>
        </w:rPr>
        <w:t xml:space="preserve">，油泵稳定 </w:t>
      </w:r>
      <w:r>
        <w:rPr>
          <w:rFonts w:ascii="Calibri" w:hAnsi="Calibri" w:eastAsia="微软雅黑"/>
          <w:b w:val="0"/>
          <w:sz w:val="21"/>
        </w:rPr>
        <w:t>0.80</w:t>
      </w:r>
      <w:r>
        <w:rPr>
          <w:rFonts w:ascii="Calibri" w:hAnsi="Calibri" w:eastAsia="微软雅黑"/>
          <w:b w:val="0"/>
          <w:sz w:val="21"/>
        </w:rPr>
        <w:t xml:space="preserve">，转载机 </w:t>
      </w:r>
      <w:r>
        <w:rPr>
          <w:rFonts w:ascii="Calibri" w:hAnsi="Calibri" w:eastAsia="微软雅黑"/>
          <w:b w:val="0"/>
          <w:sz w:val="21"/>
        </w:rPr>
        <w:t>0.85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异常检测样本损失问题解决</w:t>
      </w:r>
      <w:r>
        <w:rPr>
          <w:rFonts w:ascii="Calibri" w:hAnsi="Calibri" w:eastAsia="微软雅黑"/>
          <w:b w:val="0"/>
          <w:sz w:val="21"/>
        </w:rPr>
        <w:t>：各部位异常率回归合理区间（CMJ 12.8%–30.6%、ZZJ 28.2%）。</w:t>
      </w:r>
    </w:p>
    <w:p>
      <w:pPr>
        <w:pStyle w:val="ListNumber"/>
      </w:pPr>
      <w:r>
        <w:rPr>
          <w:rFonts w:ascii="Calibri" w:hAnsi="Calibri" w:eastAsia="微软雅黑"/>
          <w:b w:val="0"/>
          <w:sz w:val="21"/>
        </w:rPr>
        <w:t>`run_phase1.py` 性能优化</w:t>
      </w:r>
      <w:r>
        <w:rPr>
          <w:rFonts w:ascii="Calibri" w:hAnsi="Calibri" w:eastAsia="微软雅黑"/>
          <w:b w:val="0"/>
          <w:sz w:val="21"/>
        </w:rPr>
        <w:t xml:space="preserve">：热点函数提速 </w:t>
      </w:r>
      <w:r>
        <w:rPr>
          <w:rFonts w:ascii="Calibri" w:hAnsi="Calibri" w:eastAsia="微软雅黑"/>
          <w:b w:val="0"/>
          <w:sz w:val="21"/>
        </w:rPr>
        <w:t>629× / 3140×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/>
          <w:color w:val="1F4E79"/>
          <w:sz w:val="30"/>
        </w:rPr>
        <w:t>二、阶段一：工况分类建模</w:t>
      </w:r>
    </w:p>
    <w:p>
      <w:r>
        <w:rPr>
          <w:rFonts w:ascii="Calibri" w:hAnsi="Calibri" w:eastAsia="微软雅黑"/>
          <w:b/>
          <w:color w:val="1F4E79"/>
          <w:sz w:val="25"/>
        </w:rPr>
        <w:t>2.1 分类体系设计</w:t>
      </w:r>
    </w:p>
    <w:p>
      <w:r>
        <w:rPr>
          <w:rFonts w:ascii="Calibri" w:hAnsi="Calibri" w:eastAsia="微软雅黑"/>
          <w:b w:val="0"/>
          <w:sz w:val="21"/>
        </w:rPr>
        <w:t>废弃早期全局三级工况（L1/L2/L3），改为</w:t>
      </w:r>
      <w:r>
        <w:rPr>
          <w:rFonts w:ascii="Calibri" w:hAnsi="Calibri" w:eastAsia="微软雅黑"/>
          <w:b w:val="0"/>
          <w:sz w:val="21"/>
        </w:rPr>
        <w:t>分部位独立工况</w:t>
      </w:r>
      <w:r>
        <w:rPr>
          <w:rFonts w:ascii="Calibri" w:hAnsi="Calibri" w:eastAsia="微软雅黑"/>
          <w:b w:val="0"/>
          <w:sz w:val="21"/>
        </w:rPr>
        <w:t xml:space="preserve"> + 设备级衍生：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截割部 7 态：割煤低/中/高位、调架中、待机、待机-高位、停机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牵引部 4 态：牵引中 / 待机 / 停机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油泵 3 态：运行 / 停机；破碎机 3 态：运行 / 停机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设备级衍生：割煤中 / 调架中 / 空载牵引 / 待机 / 停机</w:t>
      </w:r>
    </w:p>
    <w:p>
      <w:r>
        <w:rPr>
          <w:rFonts w:ascii="Calibri" w:hAnsi="Calibri" w:eastAsia="微软雅黑"/>
          <w:b w:val="0"/>
          <w:sz w:val="21"/>
        </w:rPr>
        <w:t xml:space="preserve">拆分依据来自数据本身：聚类特征重要性显示"待机"状态在滚筒高度空间呈双峰（≈3.9m / ≈5.4m），按高度阈值拆分（阈值参数化到 </w:t>
      </w:r>
      <w:r>
        <w:rPr>
          <w:rFonts w:ascii="Calibri" w:hAnsi="Calibri" w:eastAsia="微软雅黑"/>
          <w:b w:val="0"/>
          <w:sz w:val="21"/>
        </w:rPr>
        <w:t>config.py</w:t>
      </w:r>
      <w:r>
        <w:rPr>
          <w:rFonts w:ascii="Calibri" w:hAnsi="Calibri" w:eastAsia="微软雅黑"/>
          <w:b w:val="0"/>
          <w:sz w:val="21"/>
        </w:rPr>
        <w:t>）后，规则与数据自然簇对齐。</w:t>
      </w:r>
    </w:p>
    <w:p>
      <w:r>
        <w:rPr>
          <w:rFonts w:ascii="Calibri" w:hAnsi="Calibri" w:eastAsia="微软雅黑"/>
          <w:b/>
          <w:color w:val="1F4E79"/>
          <w:sz w:val="25"/>
        </w:rPr>
        <w:t>2.2 聚类验证与分类优化（成果）</w:t>
      </w:r>
    </w:p>
    <w:p>
      <w:r>
        <w:rPr>
          <w:rFonts w:ascii="Calibri" w:hAnsi="Calibri" w:eastAsia="微软雅黑"/>
          <w:b w:val="0"/>
          <w:sz w:val="21"/>
        </w:rPr>
        <w:t>用规则工况 vs KMeans 聚类对比（ARI）验证分类合理性，迭代结果：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部位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初始 ARI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优化后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本轮重跑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截割部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0.17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0.59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0.5682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牵引部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0.57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0.556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0.5708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油泵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0.44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0.80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0.7996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破碎机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0.10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0.35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0.3496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转载机 ZZJ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0.8526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0.8526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973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vs_截割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730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  <w:t>方法要点</w:t>
      </w:r>
      <w:r>
        <w:rPr>
          <w:rFonts w:ascii="Calibri" w:hAnsi="Calibri" w:eastAsia="微软雅黑"/>
          <w:b w:val="0"/>
          <w:sz w:val="21"/>
        </w:rPr>
        <w:t>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数据驱动拆分</w:t>
      </w:r>
      <w:r>
        <w:rPr>
          <w:rFonts w:ascii="Calibri" w:hAnsi="Calibri" w:eastAsia="微软雅黑"/>
          <w:b w:val="0"/>
          <w:sz w:val="21"/>
        </w:rPr>
        <w:t>：截割部"待机"按滚筒高度双峰拆分，ARI 提升 3 倍以上（0.17 → 0.57）。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特征取舍需对照实验验证</w:t>
      </w:r>
      <w:r>
        <w:rPr>
          <w:rFonts w:ascii="Calibri" w:hAnsi="Calibri" w:eastAsia="微软雅黑"/>
          <w:b w:val="0"/>
          <w:sz w:val="21"/>
        </w:rPr>
        <w:t>：曾尝试让聚类特征与规则电流阈值对齐（去除温度），ARI 反而从 0.57 崩到 0.39；保留温度特征后恢复 0.57——数据证明聚类真正的驱动簇是温度，强行对齐特征适得其反，直觉需用实验验证。</w:t>
      </w:r>
    </w:p>
    <w:p>
      <w:r>
        <w:rPr>
          <w:rFonts w:ascii="Calibri" w:hAnsi="Calibri" w:eastAsia="微软雅黑"/>
          <w:b/>
          <w:color w:val="1F4E79"/>
          <w:sz w:val="25"/>
        </w:rPr>
        <w:t>2.3 数据基础与特征分析产出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参数层级图谱</w:t>
      </w:r>
      <w:r>
        <w:rPr>
          <w:rFonts w:ascii="Calibri" w:hAnsi="Calibri" w:eastAsia="微软雅黑"/>
          <w:b w:val="0"/>
          <w:sz w:val="21"/>
        </w:rPr>
        <w:t>：按"设备 → 部位 → 部件 → 测点"四级组织全部测点，回答"有哪些参数、归谁管"。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409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m_hierarch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40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滞后互相关</w:t>
      </w:r>
      <w:r>
        <w:rPr>
          <w:rFonts w:ascii="Calibri" w:hAnsi="Calibri" w:eastAsia="微软雅黑"/>
          <w:b w:val="0"/>
          <w:sz w:val="21"/>
        </w:rPr>
        <w:t>：温度响应滞后电流 5–15 min，按部位细分 5 组相关关系。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24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lagged_corr_截割部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工况转换检测 + 分段统计</w:t>
      </w:r>
      <w:r>
        <w:rPr>
          <w:rFonts w:ascii="Calibri" w:hAnsi="Calibri" w:eastAsia="微软雅黑"/>
          <w:b w:val="0"/>
          <w:sz w:val="21"/>
        </w:rPr>
        <w:t>：RLE 游程编码，输出各部位工况转换次数、段数与持续时长分布。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KW + epsilon² 检验</w:t>
      </w:r>
      <w:r>
        <w:rPr>
          <w:rFonts w:ascii="Calibri" w:hAnsi="Calibri" w:eastAsia="微软雅黑"/>
          <w:b w:val="0"/>
          <w:sz w:val="21"/>
        </w:rPr>
        <w:t>：Kruskal-Wallis 检验 + FDR（BH）校正 + 效应量，量化各参数对工况的区分度。</w:t>
      </w:r>
    </w:p>
    <w:p>
      <w:r>
        <w:rPr>
          <w:rFonts w:ascii="Calibri" w:hAnsi="Calibri" w:eastAsia="微软雅黑"/>
          <w:b/>
          <w:color w:val="1F4E79"/>
          <w:sz w:val="25"/>
        </w:rPr>
        <w:t>2.4 性能优化</w:t>
      </w:r>
    </w:p>
    <w:p>
      <w:r>
        <w:rPr>
          <w:rFonts w:ascii="Calibri" w:hAnsi="Calibri" w:eastAsia="微软雅黑"/>
          <w:b w:val="0"/>
          <w:sz w:val="21"/>
        </w:rPr>
        <w:t>run_phase1.py</w:t>
      </w:r>
      <w:r>
        <w:rPr>
          <w:rFonts w:ascii="Calibri" w:hAnsi="Calibri" w:eastAsia="微软雅黑"/>
          <w:b w:val="0"/>
          <w:sz w:val="21"/>
        </w:rPr>
        <w:t xml:space="preserve"> 四大热点函数级基准（数据规模：分段统计 79.5 万行、转换检测 9233 事件）：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20"/>
              </w:rPr>
              <w:t>热点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20"/>
              </w:rPr>
              <w:t>优化前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20"/>
              </w:rPr>
              <w:t>优化后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20"/>
              </w:rPr>
              <w:t>加速比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/>
                <w:sz w:val="20"/>
              </w:rPr>
              <w:t>手段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工况转换检测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11,204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17.8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629×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 xml:space="preserve">RLE 游程编码 + </w:t>
            </w:r>
            <w:r>
              <w:rPr>
                <w:rFonts w:ascii="Calibri" w:hAnsi="Calibri" w:eastAsia="微软雅黑"/>
                <w:b w:val="0"/>
                <w:sz w:val="20"/>
              </w:rPr>
              <w:t>searchsorted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分段统计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108,225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34.5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3140×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MultiIndex.isin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 向量化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KW 检验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77.6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63.3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1.2×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复用单次 groupby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滞后相关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1,227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416 ms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3.0×</w:t>
            </w:r>
          </w:p>
        </w:tc>
        <w:tc>
          <w:tcPr>
            <w:tcW w:type="dxa" w:w="1728"/>
          </w:tcPr>
          <w:p>
            <w:r>
              <w:rPr>
                <w:rFonts w:ascii="Calibri" w:hAnsi="Calibri" w:eastAsia="微软雅黑"/>
                <w:b w:val="0"/>
                <w:sz w:val="20"/>
              </w:rPr>
              <w:t xml:space="preserve">一次性 rank + </w:t>
            </w:r>
            <w:r>
              <w:rPr>
                <w:rFonts w:ascii="Calibri" w:hAnsi="Calibri" w:eastAsia="微软雅黑"/>
                <w:b w:val="0"/>
                <w:sz w:val="20"/>
              </w:rPr>
              <w:t>corr</w:t>
            </w:r>
          </w:p>
        </w:tc>
      </w:tr>
    </w:tbl>
    <w:p/>
    <w:p>
      <w:pPr>
        <w:ind w:left="360"/>
      </w:pPr>
      <w:r>
        <w:rPr>
          <w:rFonts w:ascii="Calibri" w:hAnsi="Calibri" w:eastAsia="微软雅黑"/>
          <w:b w:val="0"/>
          <w:color w:val="595959"/>
          <w:sz w:val="20"/>
        </w:rPr>
        <w:t>注：转换检测的优化同时修正了统计口径——原实现统计"尾部所有同工况帧"会跨中间切换重复计数，RLE 给出真正的连续游程剩余长度。端到端计时受环境负载干扰不可比，故以函数级基准为准。</w:t>
      </w:r>
    </w:p>
    <w:p>
      <w:r>
        <w:rPr>
          <w:rFonts w:ascii="Calibri" w:hAnsi="Calibri" w:eastAsia="微软雅黑"/>
          <w:b/>
          <w:color w:val="1F4E79"/>
          <w:sz w:val="30"/>
        </w:rPr>
        <w:t>三、阶段二：异常检测</w:t>
      </w:r>
    </w:p>
    <w:p>
      <w:r>
        <w:rPr>
          <w:rFonts w:ascii="Calibri" w:hAnsi="Calibri" w:eastAsia="微软雅黑"/>
          <w:b/>
          <w:color w:val="1F4E79"/>
          <w:sz w:val="25"/>
        </w:rPr>
        <w:t>3.1 检测方法架构</w:t>
      </w:r>
    </w:p>
    <w:p>
      <w:r>
        <w:rPr>
          <w:rFonts w:ascii="Calibri" w:hAnsi="Calibri" w:eastAsia="微软雅黑"/>
          <w:b w:val="0"/>
          <w:sz w:val="21"/>
        </w:rPr>
        <w:t>分工况基线 → 30min 滑动窗口特征（RMS / 斜率 / 峰峰值 / 滚动相关）→ PCA 降维 → 四类方法 → 事件合并：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原理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Mahalanobis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马氏距离，协方差奇异时 ridge 回退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分数 + 参数归因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Isolation Forest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随机森林隔离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分数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残差分析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相对基线残差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分数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单变量 IQR+3σ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逐参数离群 + 短段过滤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 w:val="0"/>
                <w:sz w:val="20"/>
              </w:rPr>
              <w:t>标记</w:t>
            </w:r>
          </w:p>
        </w:tc>
      </w:tr>
    </w:tbl>
    <w:p/>
    <w:p>
      <w:r>
        <w:rPr>
          <w:rFonts w:ascii="Calibri" w:hAnsi="Calibri" w:eastAsia="微软雅黑"/>
          <w:b/>
          <w:color w:val="1F4E79"/>
          <w:sz w:val="25"/>
        </w:rPr>
        <w:t>3.2 特征工程：一次问题的发现与解决</w:t>
      </w:r>
    </w:p>
    <w:p>
      <w:r>
        <w:rPr>
          <w:rFonts w:ascii="Calibri" w:hAnsi="Calibri" w:eastAsia="微软雅黑"/>
          <w:b w:val="0"/>
          <w:sz w:val="21"/>
        </w:rPr>
        <w:t>第三轮集成两类新特征（频域 FFT + 滚动相关系数），对比后发现</w:t>
      </w:r>
      <w:r>
        <w:rPr>
          <w:rFonts w:ascii="Calibri" w:hAnsi="Calibri" w:eastAsia="微软雅黑"/>
          <w:b w:val="0"/>
          <w:sz w:val="21"/>
        </w:rPr>
        <w:t>有效样本损失 95.9%</w:t>
      </w:r>
      <w:r>
        <w:rPr>
          <w:rFonts w:ascii="Calibri" w:hAnsi="Calibri" w:eastAsia="微软雅黑"/>
          <w:b w:val="0"/>
          <w:sz w:val="21"/>
        </w:rPr>
        <w:t>（CMJ 39k → 1.6k）。逐层排查定位根因：不是频域特征，而是</w:t>
      </w:r>
      <w:r>
        <w:rPr>
          <w:rFonts w:ascii="Calibri" w:hAnsi="Calibri" w:eastAsia="微软雅黑"/>
          <w:b w:val="0"/>
          <w:sz w:val="21"/>
        </w:rPr>
        <w:t>滚动相关系数在参数恒定段（待机/停机）无定义导致大量 NaN</w:t>
      </w:r>
      <w:r>
        <w:rPr>
          <w:rFonts w:ascii="Calibri" w:hAnsi="Calibri" w:eastAsia="微软雅黑"/>
          <w:b w:val="0"/>
          <w:sz w:val="21"/>
        </w:rPr>
        <w:t>。修复方案：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频域特征关闭（</w:t>
      </w:r>
      <w:r>
        <w:rPr>
          <w:rFonts w:ascii="Calibri" w:hAnsi="Calibri" w:eastAsia="微软雅黑"/>
          <w:b w:val="0"/>
          <w:sz w:val="21"/>
        </w:rPr>
        <w:t>ENABLE_FREQ_FEATURES = False</w:t>
      </w:r>
      <w:r>
        <w:rPr>
          <w:rFonts w:ascii="Calibri" w:hAnsi="Calibri" w:eastAsia="微软雅黑"/>
          <w:b w:val="0"/>
          <w:sz w:val="21"/>
        </w:rPr>
        <w:t>）；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 xml:space="preserve">相关系数列 </w:t>
      </w:r>
      <w:r>
        <w:rPr>
          <w:rFonts w:ascii="Calibri" w:hAnsi="Calibri" w:eastAsia="微软雅黑"/>
          <w:b w:val="0"/>
          <w:sz w:val="21"/>
        </w:rPr>
        <w:t>fillna(0.0)</w:t>
      </w:r>
      <w:r>
        <w:rPr>
          <w:rFonts w:ascii="Calibri" w:hAnsi="Calibri" w:eastAsia="微软雅黑"/>
          <w:b w:val="0"/>
          <w:sz w:val="21"/>
        </w:rPr>
        <w:t xml:space="preserve"> —— 恒定时"无动态相关"记 0，中性且不丢样本。</w:t>
      </w:r>
    </w:p>
    <w:p>
      <w:r>
        <w:rPr>
          <w:rFonts w:ascii="Calibri" w:hAnsi="Calibri" w:eastAsia="微软雅黑"/>
          <w:b w:val="0"/>
          <w:sz w:val="21"/>
        </w:rPr>
        <w:t>结果</w:t>
      </w:r>
      <w:r>
        <w:rPr>
          <w:rFonts w:ascii="Calibri" w:hAnsi="Calibri" w:eastAsia="微软雅黑"/>
          <w:b w:val="0"/>
          <w:sz w:val="21"/>
        </w:rPr>
        <w:t xml:space="preserve">：CMJ 各部位 Mahalanobis 有效样本恢复 </w:t>
      </w:r>
      <w:r>
        <w:rPr>
          <w:rFonts w:ascii="Calibri" w:hAnsi="Calibri" w:eastAsia="微软雅黑"/>
          <w:b w:val="0"/>
          <w:sz w:val="21"/>
        </w:rPr>
        <w:t>39126 / 部位</w:t>
      </w:r>
      <w:r>
        <w:rPr>
          <w:rFonts w:ascii="Calibri" w:hAnsi="Calibri" w:eastAsia="微软雅黑"/>
          <w:b w:val="0"/>
          <w:sz w:val="21"/>
        </w:rPr>
        <w:t xml:space="preserve">，异常率回归合理区间：截割部 20.1% / 牵引部 30.6% / 油泵 20.1% / 破碎机 12.8%；ZZJ 有效样本 87327、异常率 </w:t>
      </w:r>
      <w:r>
        <w:rPr>
          <w:rFonts w:ascii="Calibri" w:hAnsi="Calibri" w:eastAsia="微软雅黑"/>
          <w:b w:val="0"/>
          <w:sz w:val="21"/>
        </w:rPr>
        <w:t>28.2%</w:t>
      </w:r>
      <w:r>
        <w:rPr>
          <w:rFonts w:ascii="Calibri" w:hAnsi="Calibri" w:eastAsia="微软雅黑"/>
          <w:b w:val="0"/>
          <w:sz w:val="21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1426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omalous_segments_截割部_工况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2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/>
          <w:color w:val="1F4E79"/>
          <w:sz w:val="25"/>
        </w:rPr>
        <w:t>3.3 数据诊断案例：ZZJ 母线电压开关量</w:t>
      </w:r>
    </w:p>
    <w:p>
      <w:r>
        <w:rPr>
          <w:rFonts w:ascii="Calibri" w:hAnsi="Calibri" w:eastAsia="微软雅黑"/>
          <w:b w:val="0"/>
          <w:sz w:val="21"/>
        </w:rPr>
        <w:t>ZZJ 异常率一度虚高 45.8%，PCA 载荷分析发现"母线电压"异常主导。</w:t>
      </w:r>
      <w:r>
        <w:rPr>
          <w:rFonts w:ascii="Calibri" w:hAnsi="Calibri" w:eastAsia="微软雅黑"/>
          <w:b w:val="0"/>
          <w:sz w:val="21"/>
        </w:rPr>
        <w:t>诊断结论</w:t>
      </w:r>
      <w:r>
        <w:rPr>
          <w:rFonts w:ascii="Calibri" w:hAnsi="Calibri" w:eastAsia="微软雅黑"/>
          <w:b w:val="0"/>
          <w:sz w:val="21"/>
        </w:rPr>
        <w:t>：母线电压是物理</w:t>
      </w:r>
      <w:r>
        <w:rPr>
          <w:rFonts w:ascii="Calibri" w:hAnsi="Calibri" w:eastAsia="微软雅黑"/>
          <w:b w:val="0"/>
          <w:sz w:val="21"/>
        </w:rPr>
        <w:t>开关量</w:t>
      </w:r>
      <w:r>
        <w:rPr>
          <w:rFonts w:ascii="Calibri" w:hAnsi="Calibri" w:eastAsia="微软雅黑"/>
          <w:b w:val="0"/>
          <w:sz w:val="21"/>
        </w:rPr>
        <w:t>——停机断电 ≈5V / 带载 ≈4412V，双峰分布；工况内方差趋零，毁掉 Mahalanobis 协方差分母（MCD 协方差奇异），导致异常率虚高。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847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zj_bus_voltage_switch_dia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47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  <w:sz w:val="21"/>
        </w:rPr>
        <w:t>处理</w:t>
      </w:r>
      <w:r>
        <w:rPr>
          <w:rFonts w:ascii="Calibri" w:hAnsi="Calibri" w:eastAsia="微软雅黑"/>
          <w:b w:val="0"/>
          <w:sz w:val="21"/>
        </w:rPr>
        <w:t xml:space="preserve">：将该开关量从 ZZJ 特征中排除。PCA 24→1 维、PC1 方差解释率 94.97% → </w:t>
      </w:r>
      <w:r>
        <w:rPr>
          <w:rFonts w:ascii="Calibri" w:hAnsi="Calibri" w:eastAsia="微软雅黑"/>
          <w:b w:val="0"/>
          <w:sz w:val="21"/>
        </w:rPr>
        <w:t>98.04%</w:t>
      </w:r>
      <w:r>
        <w:rPr>
          <w:rFonts w:ascii="Calibri" w:hAnsi="Calibri" w:eastAsia="微软雅黑"/>
          <w:b w:val="0"/>
          <w:sz w:val="21"/>
        </w:rPr>
        <w:t xml:space="preserve">；PC1 载荷恢复物理意义——链条速度 </w:t>
      </w:r>
      <w:r>
        <w:rPr>
          <w:rFonts w:ascii="Calibri" w:hAnsi="Calibri" w:eastAsia="微软雅黑"/>
          <w:b w:val="0"/>
          <w:sz w:val="21"/>
        </w:rPr>
        <w:t>0.841</w:t>
      </w:r>
      <w:r>
        <w:rPr>
          <w:rFonts w:ascii="Calibri" w:hAnsi="Calibri" w:eastAsia="微软雅黑"/>
          <w:b w:val="0"/>
          <w:sz w:val="21"/>
        </w:rPr>
        <w:t xml:space="preserve"> + 电机转速 </w:t>
      </w:r>
      <w:r>
        <w:rPr>
          <w:rFonts w:ascii="Calibri" w:hAnsi="Calibri" w:eastAsia="微软雅黑"/>
          <w:b w:val="0"/>
          <w:sz w:val="21"/>
        </w:rPr>
        <w:t>0.539</w:t>
      </w:r>
      <w:r>
        <w:rPr>
          <w:rFonts w:ascii="Calibri" w:hAnsi="Calibri" w:eastAsia="微软雅黑"/>
          <w:b w:val="0"/>
          <w:sz w:val="21"/>
        </w:rPr>
        <w:t xml:space="preserve"> 主导；异常率回落至 </w:t>
      </w:r>
      <w:r>
        <w:rPr>
          <w:rFonts w:ascii="Calibri" w:hAnsi="Calibri" w:eastAsia="微软雅黑"/>
          <w:b w:val="0"/>
          <w:sz w:val="21"/>
        </w:rPr>
        <w:t>28.2%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 w:val="0"/>
          <w:sz w:val="21"/>
        </w:rPr>
        <w:t>处理原则</w:t>
      </w:r>
      <w:r>
        <w:rPr>
          <w:rFonts w:ascii="Calibri" w:hAnsi="Calibri" w:eastAsia="微软雅黑"/>
          <w:b w:val="0"/>
          <w:sz w:val="21"/>
        </w:rPr>
        <w:t>：不擅改 PCA/阈值，先诊断定位根因再定方案。</w:t>
      </w:r>
    </w:p>
    <w:p>
      <w:r>
        <w:rPr>
          <w:rFonts w:ascii="Calibri" w:hAnsi="Calibri" w:eastAsia="微软雅黑"/>
          <w:b/>
          <w:color w:val="1F4E79"/>
          <w:sz w:val="30"/>
        </w:rPr>
        <w:t>四、异常事件可视化</w:t>
      </w:r>
    </w:p>
    <w:p>
      <w:r>
        <w:rPr>
          <w:rFonts w:ascii="Calibri" w:hAnsi="Calibri" w:eastAsia="微软雅黑"/>
          <w:b w:val="0"/>
          <w:sz w:val="21"/>
        </w:rPr>
        <w:t>基于事件合并结果（连续异常时间戳分组，相邻 &gt;1min 断开），为 5 个部位各生成 Top-10 具体异常事件图 + 全量事件明细：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 xml:space="preserve">事件总数：截割部 </w:t>
      </w:r>
      <w:r>
        <w:rPr>
          <w:rFonts w:ascii="Calibri" w:hAnsi="Calibri" w:eastAsia="微软雅黑"/>
          <w:b w:val="0"/>
          <w:sz w:val="21"/>
        </w:rPr>
        <w:t>2987</w:t>
      </w:r>
      <w:r>
        <w:rPr>
          <w:rFonts w:ascii="Calibri" w:hAnsi="Calibri" w:eastAsia="微软雅黑"/>
          <w:b w:val="0"/>
          <w:sz w:val="21"/>
        </w:rPr>
        <w:t xml:space="preserve"> / 牵引部 3112 / 油泵 2491 / 破碎机 2473 / ZZJ 2024；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每张事件图叠加各参数曲线 + 四方法触发标记 + 参数归因，直接回答"异常发生在哪个工况、砸在哪个参数上"；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 xml:space="preserve">典型事件持续 </w:t>
      </w:r>
      <w:r>
        <w:rPr>
          <w:rFonts w:ascii="Calibri" w:hAnsi="Calibri" w:eastAsia="微软雅黑"/>
          <w:b w:val="0"/>
          <w:sz w:val="21"/>
        </w:rPr>
        <w:t>1–5 分钟</w:t>
      </w:r>
      <w:r>
        <w:rPr>
          <w:rFonts w:ascii="Calibri" w:hAnsi="Calibri" w:eastAsia="微软雅黑"/>
          <w:b w:val="0"/>
          <w:sz w:val="21"/>
        </w:rPr>
        <w:t>；跨天超长事件（4500+ min）为工况恒定段基线失配所致，解读时需与真实长时异常区分。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80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j_截割部_event_0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/>
          <w:color w:val="1F4E79"/>
          <w:sz w:val="30"/>
        </w:rPr>
        <w:t>五、反馈落实</w:t>
      </w:r>
    </w:p>
    <w:p>
      <w:r>
        <w:rPr>
          <w:rFonts w:ascii="Calibri" w:hAnsi="Calibri" w:eastAsia="微软雅黑"/>
          <w:b w:val="0"/>
          <w:sz w:val="21"/>
        </w:rPr>
        <w:t xml:space="preserve">四轮评审反馈逐条落实（7.8 / 7.15 / 7.22 / 7.29），覆盖：缺失数据处理、参数图谱、聚类验证（ARI 0.17 → 0.59）、滞后相关、离群点与趋势检测、降维、频域/相关特征集成、ZZJ 母线电压诊断、具体异常事件可视化。各轮反馈均已闭环，产出文件见各阶段报告与 </w:t>
      </w:r>
      <w:r>
        <w:rPr>
          <w:rFonts w:ascii="Calibri" w:hAnsi="Calibri" w:eastAsia="微软雅黑"/>
          <w:b w:val="0"/>
          <w:sz w:val="21"/>
        </w:rPr>
        <w:t>output/</w:t>
      </w:r>
      <w:r>
        <w:rPr>
          <w:rFonts w:ascii="Calibri" w:hAnsi="Calibri" w:eastAsia="微软雅黑"/>
          <w:b w:val="0"/>
          <w:sz w:val="21"/>
        </w:rPr>
        <w:t>。</w:t>
      </w:r>
    </w:p>
    <w:p>
      <w:r>
        <w:rPr>
          <w:rFonts w:ascii="Calibri" w:hAnsi="Calibri" w:eastAsia="微软雅黑"/>
          <w:b/>
          <w:color w:val="1F4E79"/>
          <w:sz w:val="30"/>
        </w:rPr>
        <w:t>六、收获与反思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数据驱动，而非惯例驱动</w:t>
      </w:r>
      <w:r>
        <w:rPr>
          <w:rFonts w:ascii="Calibri" w:hAnsi="Calibri" w:eastAsia="微软雅黑"/>
          <w:b w:val="0"/>
          <w:sz w:val="21"/>
        </w:rPr>
        <w:t>：分类拆分、特征取舍均以聚类与特征重要性数据为依据；"待机双峰"拆分直接带来 ARI 三倍提升。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先诊断后决策</w:t>
      </w:r>
      <w:r>
        <w:rPr>
          <w:rFonts w:ascii="Calibri" w:hAnsi="Calibri" w:eastAsia="微软雅黑"/>
          <w:b w:val="0"/>
          <w:sz w:val="21"/>
        </w:rPr>
        <w:t>：母线电压案例未直接调阈值，先定位"开关量双峰毁掉协方差"根因再处理；特征集成样本损失先分清"是频域还是 corr"再修复。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对照实验验证直觉</w:t>
      </w:r>
      <w:r>
        <w:rPr>
          <w:rFonts w:ascii="Calibri" w:hAnsi="Calibri" w:eastAsia="微软雅黑"/>
          <w:b w:val="0"/>
          <w:sz w:val="21"/>
        </w:rPr>
        <w:t>：聚类特征对齐的直觉方案被实验证伪（ARI 0.57 → 0.39），确认后回滚——直觉需要数据验证。</w:t>
      </w:r>
    </w:p>
    <w:p>
      <w:r>
        <w:rPr>
          <w:rFonts w:ascii="Calibri" w:hAnsi="Calibri" w:eastAsia="微软雅黑"/>
          <w:b/>
          <w:color w:val="1F4E79"/>
          <w:sz w:val="30"/>
        </w:rPr>
        <w:t>七、下一步计划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阶段三（待启动）</w:t>
      </w:r>
      <w:r>
        <w:rPr>
          <w:rFonts w:ascii="Calibri" w:hAnsi="Calibri" w:eastAsia="微软雅黑"/>
          <w:b w:val="0"/>
          <w:sz w:val="21"/>
        </w:rPr>
        <w:t>：因果包络、异常征兆预警。</w:t>
      </w:r>
    </w:p>
    <w:p>
      <w:pPr>
        <w:pStyle w:val="ListBullet"/>
      </w:pPr>
      <w:r>
        <w:rPr>
          <w:rFonts w:ascii="Calibri" w:hAnsi="Calibri" w:eastAsia="微软雅黑"/>
          <w:b w:val="0"/>
          <w:sz w:val="21"/>
        </w:rPr>
        <w:t>遗留项</w:t>
      </w:r>
      <w:r>
        <w:rPr>
          <w:rFonts w:ascii="Calibri" w:hAnsi="Calibri" w:eastAsia="微软雅黑"/>
          <w:b w:val="0"/>
          <w:sz w:val="21"/>
        </w:rPr>
        <w:t>：待机-高位（426 段 / 2962 min）物理意义确认；割煤低位（335 min / 31 段）样本平衡；牵引部异常率（30.6%，CMJ 最高）独立特征工程；单变量阈值自适应。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