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74BF6">
      <w:r>
        <w:rPr>
          <w:rFonts w:ascii="Calibri" w:hAnsi="Calibri" w:eastAsia="微软雅黑"/>
          <w:b/>
          <w:color w:val="1F4E79"/>
          <w:sz w:val="36"/>
        </w:rPr>
        <w:t>阶段二：异常检测结果可视化分析</w:t>
      </w:r>
    </w:p>
    <w:p w14:paraId="115B5286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 xml:space="preserve">项目：大海则煤矿采煤机（CMJ）+ 转载机（ZZJ）设备数据分析建模 </w:t>
      </w:r>
    </w:p>
    <w:p w14:paraId="39828479">
      <w:pPr>
        <w:ind w:left="360"/>
      </w:pPr>
      <w:bookmarkStart w:id="0" w:name="_GoBack"/>
      <w:bookmarkEnd w:id="0"/>
      <w:r>
        <w:rPr>
          <w:rFonts w:ascii="Calibri" w:hAnsi="Calibri" w:eastAsia="微软雅黑"/>
          <w:b w:val="0"/>
          <w:color w:val="595959"/>
          <w:sz w:val="20"/>
        </w:rPr>
        <w:t>目标：对异常检出结果做可视化分析，并回溯异常产生的根因——区分「数据质量类假异常」与「真实物理异常」</w:t>
      </w:r>
    </w:p>
    <w:p w14:paraId="166C3D31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方法：多变量（Mahalanobis / Isolation Forest）+ 残差（AR 前向预测）+ 单变量（IQR+3σ）四类方法，分工况滑动窗口特征</w:t>
      </w:r>
    </w:p>
    <w:p w14:paraId="7FC62C0B">
      <w:r>
        <w:rPr>
          <w:rFonts w:ascii="Calibri" w:hAnsi="Calibri" w:eastAsia="微软雅黑"/>
          <w:b/>
          <w:color w:val="1F4E79"/>
          <w:sz w:val="30"/>
        </w:rPr>
        <w:t>一、异常检出概览</w:t>
      </w:r>
    </w:p>
    <w:p w14:paraId="76C3C4B5">
      <w:r>
        <w:rPr>
          <w:rFonts w:ascii="Calibri" w:hAnsi="Calibri" w:eastAsia="微软雅黑"/>
          <w:b/>
          <w:color w:val="1F4E79"/>
          <w:sz w:val="25"/>
        </w:rPr>
        <w:t>1.1 检测方法回顾</w:t>
      </w:r>
    </w:p>
    <w:p w14:paraId="70AA0F31">
      <w:r>
        <w:rPr>
          <w:rFonts w:ascii="Calibri" w:hAnsi="Calibri" w:eastAsia="微软雅黑"/>
          <w:b w:val="0"/>
          <w:sz w:val="21"/>
        </w:rPr>
        <w:t>阶段二对每个部位分工况建立基线，用 30min 滑动窗口提取特征（RMS / 斜率 / 峰峰值 / 滚动相关），PCA 降维（保留 95% 方差）后四类方法并行检测，再合并为异常事件：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C333D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4F2B9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w="2880" w:type="dxa"/>
          </w:tcPr>
          <w:p w14:paraId="29E75DA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原理</w:t>
            </w:r>
          </w:p>
        </w:tc>
        <w:tc>
          <w:tcPr>
            <w:tcW w:w="2880" w:type="dxa"/>
          </w:tcPr>
          <w:p w14:paraId="67B7CA2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输出</w:t>
            </w:r>
          </w:p>
        </w:tc>
      </w:tr>
      <w:tr w14:paraId="2A4EAC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EBA6B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Mahalanobis</w:t>
            </w:r>
          </w:p>
        </w:tc>
        <w:tc>
          <w:tcPr>
            <w:tcW w:w="2880" w:type="dxa"/>
          </w:tcPr>
          <w:p w14:paraId="351E86C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马氏距离，各工况 χ² 分位数自适应阈值</w:t>
            </w:r>
          </w:p>
        </w:tc>
        <w:tc>
          <w:tcPr>
            <w:tcW w:w="2880" w:type="dxa"/>
          </w:tcPr>
          <w:p w14:paraId="4D57991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距离分数 + 首要 PC 归因</w:t>
            </w:r>
          </w:p>
        </w:tc>
      </w:tr>
      <w:tr w14:paraId="288961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E62A4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Isolation Forest</w:t>
            </w:r>
          </w:p>
        </w:tc>
        <w:tc>
          <w:tcPr>
            <w:tcW w:w="2880" w:type="dxa"/>
          </w:tcPr>
          <w:p w14:paraId="4386EE4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随机森林隔离，contamination=auto</w:t>
            </w:r>
          </w:p>
        </w:tc>
        <w:tc>
          <w:tcPr>
            <w:tcW w:w="2880" w:type="dxa"/>
          </w:tcPr>
          <w:p w14:paraId="6401E3D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分数</w:t>
            </w:r>
          </w:p>
        </w:tc>
      </w:tr>
      <w:tr w14:paraId="3B0A26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01788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残差分析</w:t>
            </w:r>
          </w:p>
        </w:tc>
        <w:tc>
          <w:tcPr>
            <w:tcW w:w="2880" w:type="dxa"/>
          </w:tcPr>
          <w:p w14:paraId="00F3069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AR 前向预测相对基线残差</w:t>
            </w:r>
          </w:p>
        </w:tc>
        <w:tc>
          <w:tcPr>
            <w:tcW w:w="2880" w:type="dxa"/>
          </w:tcPr>
          <w:p w14:paraId="35C19CE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分数 + 逐物理参数归因</w:t>
            </w:r>
          </w:p>
        </w:tc>
      </w:tr>
      <w:tr w14:paraId="3577BC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90C44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单变量 IQR+3σ</w:t>
            </w:r>
          </w:p>
        </w:tc>
        <w:tc>
          <w:tcPr>
            <w:tcW w:w="2880" w:type="dxa"/>
          </w:tcPr>
          <w:p w14:paraId="1B0A007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逐参数离群 + 短段过滤</w:t>
            </w:r>
          </w:p>
        </w:tc>
        <w:tc>
          <w:tcPr>
            <w:tcW w:w="2880" w:type="dxa"/>
          </w:tcPr>
          <w:p w14:paraId="7E73169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标记 + 严重度</w:t>
            </w:r>
          </w:p>
        </w:tc>
      </w:tr>
    </w:tbl>
    <w:p w14:paraId="06172C9D"/>
    <w:p w14:paraId="6979653F"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关键点：Mahalanobis / Isolation Forest 在 PCA 降维后的主成分空间上检测，归因只能给到 PC；只有残差法与单变量法能直接归因到物理参数。本次分析先把 PC 载荷映射回物理特征，才把「异常」翻译成「哪个传感器坏了」。</w:t>
      </w:r>
    </w:p>
    <w:p w14:paraId="67F78A80">
      <w:r>
        <w:rPr>
          <w:rFonts w:ascii="Calibri" w:hAnsi="Calibri" w:eastAsia="微软雅黑"/>
          <w:b/>
          <w:color w:val="1F4E79"/>
          <w:sz w:val="25"/>
        </w:rPr>
        <w:t>1.2 各部位异常率总览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833DB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57411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部位</w:t>
            </w:r>
          </w:p>
        </w:tc>
        <w:tc>
          <w:tcPr>
            <w:tcW w:w="1728" w:type="dxa"/>
          </w:tcPr>
          <w:p w14:paraId="4DDE9EE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Mahalanobis</w:t>
            </w:r>
          </w:p>
        </w:tc>
        <w:tc>
          <w:tcPr>
            <w:tcW w:w="1728" w:type="dxa"/>
          </w:tcPr>
          <w:p w14:paraId="66D77F5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Isolation Forest</w:t>
            </w:r>
          </w:p>
        </w:tc>
        <w:tc>
          <w:tcPr>
            <w:tcW w:w="1728" w:type="dxa"/>
          </w:tcPr>
          <w:p w14:paraId="6E91692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残差</w:t>
            </w:r>
          </w:p>
        </w:tc>
        <w:tc>
          <w:tcPr>
            <w:tcW w:w="1728" w:type="dxa"/>
          </w:tcPr>
          <w:p w14:paraId="54DA07FD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单变量</w:t>
            </w:r>
          </w:p>
        </w:tc>
      </w:tr>
      <w:tr w14:paraId="1867B0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F24FC3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</w:t>
            </w:r>
          </w:p>
        </w:tc>
        <w:tc>
          <w:tcPr>
            <w:tcW w:w="1728" w:type="dxa"/>
          </w:tcPr>
          <w:p w14:paraId="0369404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7863 / 39126 = 20.1%</w:t>
            </w:r>
          </w:p>
        </w:tc>
        <w:tc>
          <w:tcPr>
            <w:tcW w:w="1728" w:type="dxa"/>
          </w:tcPr>
          <w:p w14:paraId="58935AC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68</w:t>
            </w:r>
          </w:p>
        </w:tc>
        <w:tc>
          <w:tcPr>
            <w:tcW w:w="1728" w:type="dxa"/>
          </w:tcPr>
          <w:p w14:paraId="5A67A10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9589</w:t>
            </w:r>
          </w:p>
        </w:tc>
        <w:tc>
          <w:tcPr>
            <w:tcW w:w="1728" w:type="dxa"/>
          </w:tcPr>
          <w:p w14:paraId="264B98C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2.4%</w:t>
            </w:r>
          </w:p>
        </w:tc>
      </w:tr>
      <w:tr w14:paraId="06BA3D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D4E83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</w:t>
            </w:r>
          </w:p>
        </w:tc>
        <w:tc>
          <w:tcPr>
            <w:tcW w:w="1728" w:type="dxa"/>
          </w:tcPr>
          <w:p w14:paraId="07DCB1D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11987 / 39126 = 30.6%</w:t>
            </w:r>
          </w:p>
        </w:tc>
        <w:tc>
          <w:tcPr>
            <w:tcW w:w="1728" w:type="dxa"/>
          </w:tcPr>
          <w:p w14:paraId="39B117C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40</w:t>
            </w:r>
          </w:p>
        </w:tc>
        <w:tc>
          <w:tcPr>
            <w:tcW w:w="1728" w:type="dxa"/>
          </w:tcPr>
          <w:p w14:paraId="5A55EDF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11268</w:t>
            </w:r>
          </w:p>
        </w:tc>
        <w:tc>
          <w:tcPr>
            <w:tcW w:w="1728" w:type="dxa"/>
          </w:tcPr>
          <w:p w14:paraId="46C2F72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4.0%</w:t>
            </w:r>
          </w:p>
        </w:tc>
      </w:tr>
      <w:tr w14:paraId="55E468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8A1F3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</w:t>
            </w:r>
          </w:p>
        </w:tc>
        <w:tc>
          <w:tcPr>
            <w:tcW w:w="1728" w:type="dxa"/>
          </w:tcPr>
          <w:p w14:paraId="680BACC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7859 / 39126 = 20.1%</w:t>
            </w:r>
          </w:p>
        </w:tc>
        <w:tc>
          <w:tcPr>
            <w:tcW w:w="1728" w:type="dxa"/>
          </w:tcPr>
          <w:p w14:paraId="2169CBC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28</w:t>
            </w:r>
          </w:p>
        </w:tc>
        <w:tc>
          <w:tcPr>
            <w:tcW w:w="1728" w:type="dxa"/>
          </w:tcPr>
          <w:p w14:paraId="4C0A236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9331</w:t>
            </w:r>
          </w:p>
        </w:tc>
        <w:tc>
          <w:tcPr>
            <w:tcW w:w="1728" w:type="dxa"/>
          </w:tcPr>
          <w:p w14:paraId="43AF1B6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5.4%</w:t>
            </w:r>
          </w:p>
        </w:tc>
      </w:tr>
      <w:tr w14:paraId="12EA75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EE7712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</w:t>
            </w:r>
          </w:p>
        </w:tc>
        <w:tc>
          <w:tcPr>
            <w:tcW w:w="1728" w:type="dxa"/>
          </w:tcPr>
          <w:p w14:paraId="68E52BE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5003 / 39126 = 12.8%</w:t>
            </w:r>
          </w:p>
        </w:tc>
        <w:tc>
          <w:tcPr>
            <w:tcW w:w="1728" w:type="dxa"/>
          </w:tcPr>
          <w:p w14:paraId="3E23466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28</w:t>
            </w:r>
          </w:p>
        </w:tc>
        <w:tc>
          <w:tcPr>
            <w:tcW w:w="1728" w:type="dxa"/>
          </w:tcPr>
          <w:p w14:paraId="2926D4E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8561</w:t>
            </w:r>
          </w:p>
        </w:tc>
        <w:tc>
          <w:tcPr>
            <w:tcW w:w="1728" w:type="dxa"/>
          </w:tcPr>
          <w:p w14:paraId="1EFE978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2.9%</w:t>
            </w:r>
          </w:p>
        </w:tc>
      </w:tr>
      <w:tr w14:paraId="1B7224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88134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 ZZJ</w:t>
            </w:r>
          </w:p>
        </w:tc>
        <w:tc>
          <w:tcPr>
            <w:tcW w:w="1728" w:type="dxa"/>
          </w:tcPr>
          <w:p w14:paraId="71CBE18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24621 / 87327 = 28.2%</w:t>
            </w:r>
          </w:p>
        </w:tc>
        <w:tc>
          <w:tcPr>
            <w:tcW w:w="1728" w:type="dxa"/>
          </w:tcPr>
          <w:p w14:paraId="701B3A2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</w:t>
            </w:r>
          </w:p>
        </w:tc>
        <w:tc>
          <w:tcPr>
            <w:tcW w:w="1728" w:type="dxa"/>
          </w:tcPr>
          <w:p w14:paraId="229F2CF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16594</w:t>
            </w:r>
          </w:p>
        </w:tc>
        <w:tc>
          <w:tcPr>
            <w:tcW w:w="1728" w:type="dxa"/>
          </w:tcPr>
          <w:p w14:paraId="0D38016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2.5%</w:t>
            </w:r>
          </w:p>
        </w:tc>
      </w:tr>
    </w:tbl>
    <w:p w14:paraId="4543E6AC"/>
    <w:p w14:paraId="3D577D4D">
      <w:r>
        <w:rPr>
          <w:rFonts w:ascii="Calibri" w:hAnsi="Calibri" w:eastAsia="微软雅黑"/>
          <w:b w:val="0"/>
          <w:sz w:val="21"/>
        </w:rPr>
        <w:t>合并后的事件规模：截割部 2987 / 牵引部 3112 / 油泵 2491 / 破碎机 2473 / ZZJ 2024 起。</w:t>
      </w:r>
    </w:p>
    <w:p w14:paraId="6EB18239">
      <w:r>
        <w:rPr>
          <w:rFonts w:ascii="Calibri" w:hAnsi="Calibri" w:eastAsia="微软雅黑"/>
          <w:b w:val="0"/>
          <w:sz w:val="21"/>
        </w:rPr>
        <w:t>第一处反常已可见：Isolation Forest 的异常量（10–68）远小于 Mahalanobis（5003–24621），两者差两个数量级。IF 基于样本密度隔离，对「恒量段 / 开关跳变」不敏感；Mahalanobis 对协方差奇异极敏感。两者巨大落差本身就是「Mahalanobis 被数据质量类特征放大」的第一条旁证。</w:t>
      </w:r>
    </w:p>
    <w:p w14:paraId="450C6DA0">
      <w:r>
        <w:rPr>
          <w:rFonts w:ascii="Calibri" w:hAnsi="Calibri" w:eastAsia="微软雅黑"/>
          <w:b/>
          <w:color w:val="1F4E79"/>
          <w:sz w:val="30"/>
        </w:rPr>
        <w:t>二、异常检出可视化分析</w:t>
      </w:r>
    </w:p>
    <w:p w14:paraId="2AC891FB">
      <w:r>
        <w:rPr>
          <w:rFonts w:ascii="Calibri" w:hAnsi="Calibri" w:eastAsia="微软雅黑"/>
          <w:b/>
          <w:color w:val="1F4E79"/>
          <w:sz w:val="25"/>
        </w:rPr>
        <w:t>2.1 工况维度：停机 / 待机贡献绝对多数异常</w:t>
      </w:r>
    </w:p>
    <w:p w14:paraId="43ED065C">
      <w:pPr>
        <w:jc w:val="center"/>
      </w:pPr>
      <w:r>
        <w:drawing>
          <wp:inline distT="0" distB="0" distL="114300" distR="114300">
            <wp:extent cx="5039995" cy="1241425"/>
            <wp:effectExtent l="0" t="0" r="825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DF2C">
      <w:pPr>
        <w:jc w:val="center"/>
      </w:pPr>
      <w:r>
        <w:drawing>
          <wp:inline distT="0" distB="0" distL="114300" distR="114300">
            <wp:extent cx="5039995" cy="1224280"/>
            <wp:effectExtent l="0" t="0" r="825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2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7D66B8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1728" w:type="dxa"/>
          </w:tcPr>
          <w:p w14:paraId="1D41AA9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部位</w:t>
            </w:r>
          </w:p>
        </w:tc>
        <w:tc>
          <w:tcPr>
            <w:tcW w:w="1728" w:type="dxa"/>
          </w:tcPr>
          <w:p w14:paraId="51C6104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工况</w:t>
            </w:r>
          </w:p>
        </w:tc>
        <w:tc>
          <w:tcPr>
            <w:tcW w:w="1728" w:type="dxa"/>
          </w:tcPr>
          <w:p w14:paraId="31A7E38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样本数</w:t>
            </w:r>
          </w:p>
        </w:tc>
        <w:tc>
          <w:tcPr>
            <w:tcW w:w="1728" w:type="dxa"/>
          </w:tcPr>
          <w:p w14:paraId="1D72F01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异常率</w:t>
            </w:r>
          </w:p>
        </w:tc>
        <w:tc>
          <w:tcPr>
            <w:tcW w:w="1728" w:type="dxa"/>
          </w:tcPr>
          <w:p w14:paraId="715A1F5F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中位距离</w:t>
            </w:r>
          </w:p>
        </w:tc>
      </w:tr>
      <w:tr w14:paraId="415E2E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D1E9E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</w:t>
            </w:r>
          </w:p>
        </w:tc>
        <w:tc>
          <w:tcPr>
            <w:tcW w:w="1728" w:type="dxa"/>
          </w:tcPr>
          <w:p w14:paraId="0C80EFA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停机</w:t>
            </w:r>
          </w:p>
        </w:tc>
        <w:tc>
          <w:tcPr>
            <w:tcW w:w="1728" w:type="dxa"/>
          </w:tcPr>
          <w:p w14:paraId="3C8D5C6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13090</w:t>
            </w:r>
          </w:p>
        </w:tc>
        <w:tc>
          <w:tcPr>
            <w:tcW w:w="1728" w:type="dxa"/>
          </w:tcPr>
          <w:p w14:paraId="79BB3C1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49.8%</w:t>
            </w:r>
          </w:p>
        </w:tc>
        <w:tc>
          <w:tcPr>
            <w:tcW w:w="1728" w:type="dxa"/>
          </w:tcPr>
          <w:p w14:paraId="5ACA88A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16.15</w:t>
            </w:r>
          </w:p>
        </w:tc>
      </w:tr>
      <w:tr w14:paraId="75D08A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6A0058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</w:t>
            </w:r>
          </w:p>
        </w:tc>
        <w:tc>
          <w:tcPr>
            <w:tcW w:w="1728" w:type="dxa"/>
          </w:tcPr>
          <w:p w14:paraId="2CCA556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待机</w:t>
            </w:r>
          </w:p>
        </w:tc>
        <w:tc>
          <w:tcPr>
            <w:tcW w:w="1728" w:type="dxa"/>
          </w:tcPr>
          <w:p w14:paraId="358307E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7090</w:t>
            </w:r>
          </w:p>
        </w:tc>
        <w:tc>
          <w:tcPr>
            <w:tcW w:w="1728" w:type="dxa"/>
          </w:tcPr>
          <w:p w14:paraId="5AA554A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42.3%</w:t>
            </w:r>
          </w:p>
        </w:tc>
        <w:tc>
          <w:tcPr>
            <w:tcW w:w="1728" w:type="dxa"/>
          </w:tcPr>
          <w:p w14:paraId="39A2AD0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2.79</w:t>
            </w:r>
          </w:p>
        </w:tc>
      </w:tr>
      <w:tr w14:paraId="7C7223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4CEF1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</w:t>
            </w:r>
          </w:p>
        </w:tc>
        <w:tc>
          <w:tcPr>
            <w:tcW w:w="1728" w:type="dxa"/>
          </w:tcPr>
          <w:p w14:paraId="2EE0A09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待机-高位</w:t>
            </w:r>
          </w:p>
        </w:tc>
        <w:tc>
          <w:tcPr>
            <w:tcW w:w="1728" w:type="dxa"/>
          </w:tcPr>
          <w:p w14:paraId="36887E4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2962</w:t>
            </w:r>
          </w:p>
        </w:tc>
        <w:tc>
          <w:tcPr>
            <w:tcW w:w="1728" w:type="dxa"/>
          </w:tcPr>
          <w:p w14:paraId="0D4CBA1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35.6%</w:t>
            </w:r>
          </w:p>
        </w:tc>
        <w:tc>
          <w:tcPr>
            <w:tcW w:w="1728" w:type="dxa"/>
          </w:tcPr>
          <w:p w14:paraId="4F68BC0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2.58</w:t>
            </w:r>
          </w:p>
        </w:tc>
      </w:tr>
      <w:tr w14:paraId="4A47FB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81D454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</w:t>
            </w:r>
          </w:p>
        </w:tc>
        <w:tc>
          <w:tcPr>
            <w:tcW w:w="1728" w:type="dxa"/>
          </w:tcPr>
          <w:p w14:paraId="4DEE39A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待机</w:t>
            </w:r>
          </w:p>
        </w:tc>
        <w:tc>
          <w:tcPr>
            <w:tcW w:w="1728" w:type="dxa"/>
          </w:tcPr>
          <w:p w14:paraId="61F408C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11265</w:t>
            </w:r>
          </w:p>
        </w:tc>
        <w:tc>
          <w:tcPr>
            <w:tcW w:w="1728" w:type="dxa"/>
          </w:tcPr>
          <w:p w14:paraId="4B9FAFA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30.8%</w:t>
            </w:r>
          </w:p>
        </w:tc>
        <w:tc>
          <w:tcPr>
            <w:tcW w:w="1728" w:type="dxa"/>
          </w:tcPr>
          <w:p w14:paraId="487484F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2.32</w:t>
            </w:r>
          </w:p>
        </w:tc>
      </w:tr>
      <w:tr w14:paraId="2F2BE5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B884CB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</w:t>
            </w:r>
          </w:p>
        </w:tc>
        <w:tc>
          <w:tcPr>
            <w:tcW w:w="1728" w:type="dxa"/>
          </w:tcPr>
          <w:p w14:paraId="07A7E54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停机</w:t>
            </w:r>
          </w:p>
        </w:tc>
        <w:tc>
          <w:tcPr>
            <w:tcW w:w="1728" w:type="dxa"/>
          </w:tcPr>
          <w:p w14:paraId="0BC9A24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10548</w:t>
            </w:r>
          </w:p>
        </w:tc>
        <w:tc>
          <w:tcPr>
            <w:tcW w:w="1728" w:type="dxa"/>
          </w:tcPr>
          <w:p w14:paraId="532EABC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36.0%</w:t>
            </w:r>
          </w:p>
        </w:tc>
        <w:tc>
          <w:tcPr>
            <w:tcW w:w="1728" w:type="dxa"/>
          </w:tcPr>
          <w:p w14:paraId="581DC9F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3.61</w:t>
            </w:r>
          </w:p>
        </w:tc>
      </w:tr>
      <w:tr w14:paraId="7B9127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22580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</w:t>
            </w:r>
          </w:p>
        </w:tc>
        <w:tc>
          <w:tcPr>
            <w:tcW w:w="1728" w:type="dxa"/>
          </w:tcPr>
          <w:p w14:paraId="678BB79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带载运行</w:t>
            </w:r>
          </w:p>
        </w:tc>
        <w:tc>
          <w:tcPr>
            <w:tcW w:w="1728" w:type="dxa"/>
          </w:tcPr>
          <w:p w14:paraId="6ED2CBD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51715</w:t>
            </w:r>
          </w:p>
        </w:tc>
        <w:tc>
          <w:tcPr>
            <w:tcW w:w="1728" w:type="dxa"/>
          </w:tcPr>
          <w:p w14:paraId="301200C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39.7%</w:t>
            </w:r>
          </w:p>
        </w:tc>
        <w:tc>
          <w:tcPr>
            <w:tcW w:w="1728" w:type="dxa"/>
          </w:tcPr>
          <w:p w14:paraId="6BE636D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2.83</w:t>
            </w:r>
          </w:p>
        </w:tc>
      </w:tr>
      <w:tr w14:paraId="342B89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B05BC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</w:t>
            </w:r>
          </w:p>
        </w:tc>
        <w:tc>
          <w:tcPr>
            <w:tcW w:w="1728" w:type="dxa"/>
          </w:tcPr>
          <w:p w14:paraId="5A866AB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空载运行</w:t>
            </w:r>
          </w:p>
        </w:tc>
        <w:tc>
          <w:tcPr>
            <w:tcW w:w="1728" w:type="dxa"/>
          </w:tcPr>
          <w:p w14:paraId="683189D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16960</w:t>
            </w:r>
          </w:p>
        </w:tc>
        <w:tc>
          <w:tcPr>
            <w:tcW w:w="1728" w:type="dxa"/>
          </w:tcPr>
          <w:p w14:paraId="5E20F5C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24.8%</w:t>
            </w:r>
          </w:p>
        </w:tc>
        <w:tc>
          <w:tcPr>
            <w:tcW w:w="1728" w:type="dxa"/>
          </w:tcPr>
          <w:p w14:paraId="63789DF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3.10</w:t>
            </w:r>
          </w:p>
        </w:tc>
      </w:tr>
    </w:tbl>
    <w:p w14:paraId="4FD7B246"/>
    <w:p w14:paraId="7B001FBE">
      <w:r>
        <w:rPr>
          <w:rFonts w:ascii="Calibri" w:hAnsi="Calibri" w:eastAsia="微软雅黑"/>
          <w:b w:val="0"/>
          <w:sz w:val="21"/>
        </w:rPr>
        <w:t>模式很清晰：CMJ 各部位的异常集中在停机 / 待机 / 空载，而不是生产运行段。设备停机时「应该」安静，异常率反而最高——这是典型的「基线被污染 / 特征在停机段失态」信号，而不是真实故障信号（真故障应该发生在带载运行段）。唯一例外是 ZZJ，带载运行异常率 39.7% 最高，需单独看（见 3.3）。</w:t>
      </w:r>
    </w:p>
    <w:p w14:paraId="160A1865">
      <w:r>
        <w:rPr>
          <w:rFonts w:ascii="Calibri" w:hAnsi="Calibri" w:eastAsia="微软雅黑"/>
          <w:b/>
          <w:color w:val="1F4E79"/>
          <w:sz w:val="25"/>
        </w:rPr>
        <w:t>2.2 Mahalanobis 距离分布</w:t>
      </w:r>
    </w:p>
    <w:p w14:paraId="243EF37E">
      <w:pPr>
        <w:jc w:val="center"/>
      </w:pPr>
      <w:r>
        <w:drawing>
          <wp:inline distT="0" distB="0" distL="114300" distR="114300">
            <wp:extent cx="5039995" cy="2097405"/>
            <wp:effectExtent l="0" t="0" r="825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9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3250">
      <w:r>
        <w:rPr>
          <w:rFonts w:ascii="Calibri" w:hAnsi="Calibri" w:eastAsia="微软雅黑"/>
          <w:b w:val="0"/>
          <w:sz w:val="21"/>
        </w:rPr>
        <w:t>破碎机「空载运行」的距离分布呈长重尾，中位 3.10 已接近阈值 18.5 的一个数量级内，大量样本被拉过 χ² 阈值。距离的重尾形态指向「某个特征在空载段产生极端离群值」——而不是温和漂移。</w:t>
      </w:r>
    </w:p>
    <w:p w14:paraId="37B5C47C">
      <w:r>
        <w:rPr>
          <w:rFonts w:ascii="Calibri" w:hAnsi="Calibri" w:eastAsia="微软雅黑"/>
          <w:b/>
          <w:color w:val="1F4E79"/>
          <w:sz w:val="25"/>
        </w:rPr>
        <w:t>2.3 参数归因：残差法与单变量法的物理视角</w:t>
      </w:r>
    </w:p>
    <w:p w14:paraId="1968E224">
      <w:pPr>
        <w:jc w:val="center"/>
      </w:pPr>
      <w:r>
        <w:drawing>
          <wp:inline distT="0" distB="0" distL="114300" distR="114300">
            <wp:extent cx="5039995" cy="2287905"/>
            <wp:effectExtent l="0" t="0" r="8255" b="171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8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F7D7">
      <w:pPr>
        <w:jc w:val="center"/>
      </w:pPr>
      <w:r>
        <w:drawing>
          <wp:inline distT="0" distB="0" distL="114300" distR="114300">
            <wp:extent cx="5039995" cy="2390140"/>
            <wp:effectExtent l="0" t="0" r="825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1F05">
      <w:r>
        <w:rPr>
          <w:rFonts w:ascii="Calibri" w:hAnsi="Calibri" w:eastAsia="微软雅黑"/>
          <w:b w:val="0"/>
          <w:sz w:val="21"/>
        </w:rPr>
        <w:t>两张图直接点名了几个高频「异常参数」，将在第三章逐一定性：</w:t>
      </w:r>
    </w:p>
    <w:p w14:paraId="23F998D1">
      <w:pPr>
        <w:pStyle w:val="16"/>
      </w:pPr>
      <w:r>
        <w:rPr>
          <w:rFonts w:ascii="Calibri" w:hAnsi="Calibri" w:eastAsia="微软雅黑"/>
          <w:b w:val="0"/>
          <w:sz w:val="21"/>
        </w:rPr>
        <w:t>破碎机_电机_温度：在 CMJ 全部四个部位的单变量异常里都是第一（截割部 3709 / 油泵 5476 / 牵引部 5208 / 破碎机 6004），但严重度几乎全是「轻微」（严重=0）。</w:t>
      </w:r>
    </w:p>
    <w:p w14:paraId="7E1C8FDA">
      <w:pPr>
        <w:pStyle w:val="16"/>
      </w:pPr>
      <w:r>
        <w:rPr>
          <w:rFonts w:ascii="Calibri" w:hAnsi="Calibri" w:eastAsia="微软雅黑"/>
          <w:b w:val="0"/>
          <w:sz w:val="21"/>
        </w:rPr>
        <w:t>ZZJ 变频器 IGBT1/IGBT2 / 腔体温度、油箱油位/油温：残差法 Top 全部是 ZZJ 热类与油位参数，平均 |z| 5–6，|z| 显著。</w:t>
      </w:r>
    </w:p>
    <w:p w14:paraId="1CE39555">
      <w:r>
        <w:rPr>
          <w:rFonts w:ascii="Calibri" w:hAnsi="Calibri" w:eastAsia="微软雅黑"/>
          <w:b/>
          <w:color w:val="1F4E79"/>
          <w:sz w:val="25"/>
        </w:rPr>
        <w:t>2.4 多方法共现</w:t>
      </w:r>
    </w:p>
    <w:p w14:paraId="72E985DD">
      <w:pPr>
        <w:jc w:val="center"/>
      </w:pPr>
      <w:r>
        <w:drawing>
          <wp:inline distT="0" distB="0" distL="114300" distR="114300">
            <wp:extent cx="5039995" cy="1256665"/>
            <wp:effectExtent l="0" t="0" r="825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5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3176C3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84080C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部位</w:t>
            </w:r>
          </w:p>
        </w:tc>
        <w:tc>
          <w:tcPr>
            <w:tcW w:w="1440" w:type="dxa"/>
          </w:tcPr>
          <w:p w14:paraId="48DF103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1 方法</w:t>
            </w:r>
          </w:p>
        </w:tc>
        <w:tc>
          <w:tcPr>
            <w:tcW w:w="1440" w:type="dxa"/>
          </w:tcPr>
          <w:p w14:paraId="30FB6E0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2 方法</w:t>
            </w:r>
          </w:p>
        </w:tc>
        <w:tc>
          <w:tcPr>
            <w:tcW w:w="1440" w:type="dxa"/>
          </w:tcPr>
          <w:p w14:paraId="4DD6AD19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3 方法</w:t>
            </w:r>
          </w:p>
        </w:tc>
        <w:tc>
          <w:tcPr>
            <w:tcW w:w="1440" w:type="dxa"/>
          </w:tcPr>
          <w:p w14:paraId="123DE63E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4 方法</w:t>
            </w:r>
          </w:p>
        </w:tc>
        <w:tc>
          <w:tcPr>
            <w:tcW w:w="1440" w:type="dxa"/>
          </w:tcPr>
          <w:p w14:paraId="4A4AC02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≥2</w:t>
            </w:r>
          </w:p>
        </w:tc>
      </w:tr>
      <w:tr w14:paraId="61FB1D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1D059C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截割部</w:t>
            </w:r>
          </w:p>
        </w:tc>
        <w:tc>
          <w:tcPr>
            <w:tcW w:w="1440" w:type="dxa"/>
          </w:tcPr>
          <w:p w14:paraId="680EEB0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w="1440" w:type="dxa"/>
          </w:tcPr>
          <w:p w14:paraId="2BD792D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w="1440" w:type="dxa"/>
          </w:tcPr>
          <w:p w14:paraId="615D334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12</w:t>
            </w:r>
          </w:p>
        </w:tc>
        <w:tc>
          <w:tcPr>
            <w:tcW w:w="1440" w:type="dxa"/>
          </w:tcPr>
          <w:p w14:paraId="63D9A8E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13662</w:t>
            </w:r>
          </w:p>
        </w:tc>
        <w:tc>
          <w:tcPr>
            <w:tcW w:w="1440" w:type="dxa"/>
          </w:tcPr>
          <w:p w14:paraId="18A3F21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13675</w:t>
            </w:r>
          </w:p>
        </w:tc>
      </w:tr>
      <w:tr w14:paraId="742037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A17E5B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</w:t>
            </w:r>
          </w:p>
        </w:tc>
        <w:tc>
          <w:tcPr>
            <w:tcW w:w="1440" w:type="dxa"/>
          </w:tcPr>
          <w:p w14:paraId="221DC2A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w="1440" w:type="dxa"/>
          </w:tcPr>
          <w:p w14:paraId="123DEAA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</w:t>
            </w:r>
          </w:p>
        </w:tc>
        <w:tc>
          <w:tcPr>
            <w:tcW w:w="1440" w:type="dxa"/>
          </w:tcPr>
          <w:p w14:paraId="4DA4495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w="1440" w:type="dxa"/>
          </w:tcPr>
          <w:p w14:paraId="77DD65D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17366</w:t>
            </w:r>
          </w:p>
        </w:tc>
        <w:tc>
          <w:tcPr>
            <w:tcW w:w="1440" w:type="dxa"/>
          </w:tcPr>
          <w:p w14:paraId="47A4FAC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17370</w:t>
            </w:r>
          </w:p>
        </w:tc>
      </w:tr>
      <w:tr w14:paraId="202546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BEDE6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油泵</w:t>
            </w:r>
          </w:p>
        </w:tc>
        <w:tc>
          <w:tcPr>
            <w:tcW w:w="1440" w:type="dxa"/>
          </w:tcPr>
          <w:p w14:paraId="7118D68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</w:t>
            </w:r>
          </w:p>
        </w:tc>
        <w:tc>
          <w:tcPr>
            <w:tcW w:w="1440" w:type="dxa"/>
          </w:tcPr>
          <w:p w14:paraId="089327E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41</w:t>
            </w:r>
          </w:p>
        </w:tc>
        <w:tc>
          <w:tcPr>
            <w:tcW w:w="1440" w:type="dxa"/>
          </w:tcPr>
          <w:p w14:paraId="005DBAE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w="1440" w:type="dxa"/>
          </w:tcPr>
          <w:p w14:paraId="1EFA9A6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16235</w:t>
            </w:r>
          </w:p>
        </w:tc>
        <w:tc>
          <w:tcPr>
            <w:tcW w:w="1440" w:type="dxa"/>
          </w:tcPr>
          <w:p w14:paraId="1C9B3EA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16276</w:t>
            </w:r>
          </w:p>
        </w:tc>
      </w:tr>
      <w:tr w14:paraId="37072E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0155B8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</w:t>
            </w:r>
          </w:p>
        </w:tc>
        <w:tc>
          <w:tcPr>
            <w:tcW w:w="1440" w:type="dxa"/>
          </w:tcPr>
          <w:p w14:paraId="1D00567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w="1440" w:type="dxa"/>
          </w:tcPr>
          <w:p w14:paraId="00635B5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w="1440" w:type="dxa"/>
          </w:tcPr>
          <w:p w14:paraId="5804631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w="1440" w:type="dxa"/>
          </w:tcPr>
          <w:p w14:paraId="345A0AA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11226</w:t>
            </w:r>
          </w:p>
        </w:tc>
        <w:tc>
          <w:tcPr>
            <w:tcW w:w="1440" w:type="dxa"/>
          </w:tcPr>
          <w:p w14:paraId="5E18FE7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11228</w:t>
            </w:r>
          </w:p>
        </w:tc>
      </w:tr>
      <w:tr w14:paraId="319644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49D70E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转载机 ZZJ</w:t>
            </w:r>
          </w:p>
        </w:tc>
        <w:tc>
          <w:tcPr>
            <w:tcW w:w="1440" w:type="dxa"/>
          </w:tcPr>
          <w:p w14:paraId="6ADE9B0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</w:t>
            </w:r>
          </w:p>
        </w:tc>
        <w:tc>
          <w:tcPr>
            <w:tcW w:w="1440" w:type="dxa"/>
          </w:tcPr>
          <w:p w14:paraId="26C72D8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</w:t>
            </w:r>
          </w:p>
        </w:tc>
        <w:tc>
          <w:tcPr>
            <w:tcW w:w="1440" w:type="dxa"/>
          </w:tcPr>
          <w:p w14:paraId="32000C7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</w:t>
            </w:r>
          </w:p>
        </w:tc>
        <w:tc>
          <w:tcPr>
            <w:tcW w:w="1440" w:type="dxa"/>
          </w:tcPr>
          <w:p w14:paraId="7EAE16B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35555</w:t>
            </w:r>
          </w:p>
        </w:tc>
        <w:tc>
          <w:tcPr>
            <w:tcW w:w="1440" w:type="dxa"/>
          </w:tcPr>
          <w:p w14:paraId="06FCABC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35558</w:t>
            </w:r>
          </w:p>
        </w:tc>
      </w:tr>
    </w:tbl>
    <w:p w14:paraId="15A89BDD"/>
    <w:p w14:paraId="07692CD8">
      <w:r>
        <w:rPr>
          <w:rFonts w:ascii="Calibri" w:hAnsi="Calibri" w:eastAsia="微软雅黑"/>
          <w:b w:val="0"/>
          <w:sz w:val="21"/>
        </w:rPr>
        <w:t>必须声明：四方法一致 ≠ 四次独立确认。 四种方法共享同一批窗口特征，同一个数据质量根因（如温度钳位）能同时触发 Mahalanobis、残差、单变量的极端值，IF 也会因密度异常而加入。共现表证明的是「异常在时间上高度聚簇」，不构成对根因结论的独立验证——根因必须回到参数值本身去证（第三章）。</w:t>
      </w:r>
    </w:p>
    <w:p w14:paraId="17E62E8D">
      <w:r>
        <w:rPr>
          <w:rFonts w:ascii="Calibri" w:hAnsi="Calibri" w:eastAsia="微软雅黑"/>
          <w:b/>
          <w:color w:val="1F4E79"/>
          <w:sz w:val="30"/>
        </w:rPr>
        <w:t>三、异常原因回溯</w:t>
      </w:r>
    </w:p>
    <w:p w14:paraId="00EA7579">
      <w:r>
        <w:rPr>
          <w:rFonts w:ascii="Calibri" w:hAnsi="Calibri" w:eastAsia="微软雅黑"/>
          <w:b w:val="0"/>
          <w:sz w:val="21"/>
        </w:rPr>
        <w:t>将异常点的首要贡献 PC 经载荷映射回物理参数，得到各部位根因构成：</w:t>
      </w:r>
    </w:p>
    <w:p w14:paraId="371200DE">
      <w:pPr>
        <w:jc w:val="center"/>
      </w:pPr>
      <w:r>
        <w:drawing>
          <wp:inline distT="0" distB="0" distL="114300" distR="114300">
            <wp:extent cx="5039995" cy="2086610"/>
            <wp:effectExtent l="0" t="0" r="825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8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9C7A">
      <w:r>
        <w:rPr>
          <w:rFonts w:ascii="Calibri" w:hAnsi="Calibri" w:eastAsia="微软雅黑"/>
          <w:b/>
          <w:color w:val="1F4E79"/>
          <w:sz w:val="25"/>
        </w:rPr>
        <w:t>3.1 根因一：破碎机电机温度 645°C 钳位（传感器饱和）</w:t>
      </w:r>
    </w:p>
    <w:p w14:paraId="3FADB765">
      <w:r>
        <w:rPr>
          <w:rFonts w:ascii="Calibri" w:hAnsi="Calibri" w:eastAsia="微软雅黑"/>
          <w:b w:val="0"/>
          <w:sz w:val="21"/>
        </w:rPr>
        <w:t>这是全项目最大单一异常来源。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50154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1FFB21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证据</w:t>
            </w:r>
          </w:p>
        </w:tc>
        <w:tc>
          <w:tcPr>
            <w:tcW w:w="4320" w:type="dxa"/>
          </w:tcPr>
          <w:p w14:paraId="2C186087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数值</w:t>
            </w:r>
          </w:p>
        </w:tc>
      </w:tr>
      <w:tr w14:paraId="37B3AF9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1459A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&gt;100°C 窗口数</w:t>
            </w:r>
          </w:p>
        </w:tc>
        <w:tc>
          <w:tcPr>
            <w:tcW w:w="4320" w:type="dxa"/>
          </w:tcPr>
          <w:p w14:paraId="71FF315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4105 / 39180（10.5%）</w:t>
            </w:r>
          </w:p>
        </w:tc>
      </w:tr>
      <w:tr w14:paraId="607331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FCFD9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其中钳位值占比</w:t>
            </w:r>
          </w:p>
        </w:tc>
        <w:tc>
          <w:tcPr>
            <w:tcW w:w="4320" w:type="dxa"/>
          </w:tcPr>
          <w:p w14:paraId="310056D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644.0 ×2808 + 645.0 ×1265 = 99.2%（仅 2 个唯一值）</w:t>
            </w:r>
          </w:p>
        </w:tc>
      </w:tr>
      <w:tr w14:paraId="634550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BA284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异常窗口温度中位</w:t>
            </w:r>
          </w:p>
        </w:tc>
        <w:tc>
          <w:tcPr>
            <w:tcW w:w="4320" w:type="dxa"/>
          </w:tcPr>
          <w:p w14:paraId="1C145C7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644.0°C vs 正常窗口 43.0°C（15×）</w:t>
            </w:r>
          </w:p>
        </w:tc>
      </w:tr>
      <w:tr w14:paraId="4084B4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DB090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 PC1 载荷</w:t>
            </w:r>
          </w:p>
        </w:tc>
        <w:tc>
          <w:tcPr>
            <w:tcW w:w="4320" w:type="dxa"/>
          </w:tcPr>
          <w:p w14:paraId="41F2A66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破碎机温度 0.998（其余特征 &lt;0.06）</w:t>
            </w:r>
          </w:p>
        </w:tc>
      </w:tr>
      <w:tr w14:paraId="5F7F14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9A390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PC1 首要归因异常占比</w:t>
            </w:r>
          </w:p>
        </w:tc>
        <w:tc>
          <w:tcPr>
            <w:tcW w:w="4320" w:type="dxa"/>
          </w:tcPr>
          <w:p w14:paraId="5F56B32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 82.1% / 截割部 47.2% / 油泵 48.3%</w:t>
            </w:r>
          </w:p>
        </w:tc>
      </w:tr>
      <w:tr w14:paraId="06E7E7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05069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异常窗落入钳位区占比</w:t>
            </w:r>
          </w:p>
        </w:tc>
        <w:tc>
          <w:tcPr>
            <w:tcW w:w="4320" w:type="dxa"/>
          </w:tcPr>
          <w:p w14:paraId="30AE65F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82.1%（temp&gt;100）</w:t>
            </w:r>
          </w:p>
        </w:tc>
      </w:tr>
    </w:tbl>
    <w:p w14:paraId="5D64C93A"/>
    <w:p w14:paraId="37782737">
      <w:r>
        <w:rPr>
          <w:rFonts w:ascii="Calibri" w:hAnsi="Calibri" w:eastAsia="微软雅黑"/>
          <w:b w:val="0"/>
          <w:sz w:val="21"/>
        </w:rPr>
        <w:t>机理：破碎机电机温度传感器在空载运行段全部顶到量程上限 644/645°C（钳位），停机段正常（max 83°C）。这个钳位值在窗口 RMS 特征里被放大成 644 恒值，直接成为截割部 / 油泵 / 破碎机 PC1 的唯一主导（载荷 0.998）。于是——</w:t>
      </w:r>
    </w:p>
    <w:p w14:paraId="7DC47337">
      <w:pPr>
        <w:pStyle w:val="16"/>
      </w:pPr>
      <w:r>
        <w:rPr>
          <w:rFonts w:ascii="Calibri" w:hAnsi="Calibri" w:eastAsia="微软雅黑"/>
          <w:b w:val="0"/>
          <w:sz w:val="21"/>
        </w:rPr>
        <w:t>Mahalanobis：钳位段方差趋零，协方差分母被毁，距离被拉爆（对照 ZZJ 母线电压开关量案例，同一类病）；</w:t>
      </w:r>
    </w:p>
    <w:p w14:paraId="34B0AD4A">
      <w:pPr>
        <w:pStyle w:val="16"/>
      </w:pPr>
      <w:r>
        <w:rPr>
          <w:rFonts w:ascii="Calibri" w:hAnsi="Calibri" w:eastAsia="微软雅黑"/>
          <w:b w:val="0"/>
          <w:sz w:val="21"/>
        </w:rPr>
        <w:t>单变量：644 恒值全部落「轻微」离群，刷出 5000–6000 次异常；</w:t>
      </w:r>
    </w:p>
    <w:p w14:paraId="357550FC">
      <w:pPr>
        <w:pStyle w:val="16"/>
      </w:pPr>
      <w:r>
        <w:rPr>
          <w:rFonts w:ascii="Calibri" w:hAnsi="Calibri" w:eastAsia="微软雅黑"/>
          <w:b w:val="0"/>
          <w:sz w:val="21"/>
        </w:rPr>
        <w:t>四方法共现中那 13662 / 11226 个点，绝大多数就长在钳位窗口里。</w:t>
      </w:r>
    </w:p>
    <w:p w14:paraId="1C384682">
      <w:r>
        <w:rPr>
          <w:rFonts w:ascii="Calibri" w:hAnsi="Calibri" w:eastAsia="微软雅黑"/>
          <w:b w:val="0"/>
          <w:sz w:val="21"/>
        </w:rPr>
        <w:t>结论：截割部 / 油泵 / 破碎机异常率的相当一部分是数据质量假异常，不是设备真的过热。破碎机真实温度只能看停机段基线（≤83°C）。</w:t>
      </w:r>
    </w:p>
    <w:p w14:paraId="407AD380">
      <w:r>
        <w:rPr>
          <w:rFonts w:ascii="Calibri" w:hAnsi="Calibri" w:eastAsia="微软雅黑"/>
          <w:b/>
          <w:color w:val="1F4E79"/>
          <w:sz w:val="25"/>
        </w:rPr>
        <w:t>3.2 根因二：牵引电机电压开关量（0 / 854V）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B4913E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C72C2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证据</w:t>
            </w:r>
          </w:p>
        </w:tc>
        <w:tc>
          <w:tcPr>
            <w:tcW w:w="4320" w:type="dxa"/>
          </w:tcPr>
          <w:p w14:paraId="3CB7F80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数值</w:t>
            </w:r>
          </w:p>
        </w:tc>
      </w:tr>
      <w:tr w14:paraId="3B8408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D7DDD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右电机电压 RMS</w:t>
            </w:r>
          </w:p>
        </w:tc>
        <w:tc>
          <w:tcPr>
            <w:tcW w:w="4320" w:type="dxa"/>
          </w:tcPr>
          <w:p w14:paraId="0BADF7C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 值 12091（30.9%），非 0 中位 854V</w:t>
            </w:r>
          </w:p>
        </w:tc>
      </w:tr>
      <w:tr w14:paraId="6997B0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06E4C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左电机电压 RMS</w:t>
            </w:r>
          </w:p>
        </w:tc>
        <w:tc>
          <w:tcPr>
            <w:tcW w:w="4320" w:type="dxa"/>
          </w:tcPr>
          <w:p w14:paraId="175D502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 值 10211（26.1%），非 0 中位 858V</w:t>
            </w:r>
          </w:p>
        </w:tc>
      </w:tr>
      <w:tr w14:paraId="39D06A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4469B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 PC1 载荷</w:t>
            </w:r>
          </w:p>
        </w:tc>
        <w:tc>
          <w:tcPr>
            <w:tcW w:w="4320" w:type="dxa"/>
          </w:tcPr>
          <w:p w14:paraId="3133088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左右电压 0.699 / 0.693</w:t>
            </w:r>
          </w:p>
        </w:tc>
      </w:tr>
      <w:tr w14:paraId="500E8A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90D9A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牵引部异常工况分布</w:t>
            </w:r>
          </w:p>
        </w:tc>
        <w:tc>
          <w:tcPr>
            <w:tcW w:w="4320" w:type="dxa"/>
          </w:tcPr>
          <w:p w14:paraId="45ED0C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停机 49.8% + 待机 42.3% = 异常点中 79.9% 落在停机/待机/空载</w:t>
            </w:r>
          </w:p>
        </w:tc>
      </w:tr>
      <w:tr w14:paraId="617772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08764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牵引部整体异常率</w:t>
            </w:r>
          </w:p>
        </w:tc>
        <w:tc>
          <w:tcPr>
            <w:tcW w:w="4320" w:type="dxa"/>
          </w:tcPr>
          <w:p w14:paraId="7B17524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30.6%，CMJ 最高</w:t>
            </w:r>
          </w:p>
        </w:tc>
      </w:tr>
    </w:tbl>
    <w:p w14:paraId="6CD90BA9"/>
    <w:p w14:paraId="05A23A16">
      <w:r>
        <w:rPr>
          <w:rFonts w:ascii="Calibri" w:hAnsi="Calibri" w:eastAsia="微软雅黑"/>
          <w:b w:val="0"/>
          <w:sz w:val="21"/>
        </w:rPr>
        <w:t>机理：牵引电机电压是开关量——停车时 0V，运行跳变到 ~854V，双峰分布。这在 30min RMS 窗口里表现为「0 vs 854」的巨大离差，工况内协方差被它主导（PC1 载荷 0.70）。停机段距离中位 16.15 远超其余工况（2–3），就是电压 0 值窗口被拉爆的直接证据。这与阶段二已处理的 ZZJ 母线电压开关量是同一类问题，但牵引电压当时未从特征中剔除。</w:t>
      </w:r>
    </w:p>
    <w:p w14:paraId="432001B8">
      <w:r>
        <w:rPr>
          <w:rFonts w:ascii="Calibri" w:hAnsi="Calibri" w:eastAsia="微软雅黑"/>
          <w:b w:val="0"/>
          <w:sz w:val="21"/>
        </w:rPr>
        <w:t>结论：牵引部 30.6% 的异常率，主因是开关量电压污染协方差，而非牵引系统真实异常。</w:t>
      </w:r>
    </w:p>
    <w:p w14:paraId="391262CA">
      <w:r>
        <w:rPr>
          <w:rFonts w:ascii="Calibri" w:hAnsi="Calibri" w:eastAsia="微软雅黑"/>
          <w:b/>
          <w:color w:val="1F4E79"/>
          <w:sz w:val="25"/>
        </w:rPr>
        <w:t>3.3 根因三：ZZJ 链条速度开关式恒量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30CAC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D73C7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证据</w:t>
            </w:r>
          </w:p>
        </w:tc>
        <w:tc>
          <w:tcPr>
            <w:tcW w:w="4320" w:type="dxa"/>
          </w:tcPr>
          <w:p w14:paraId="11729773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数值</w:t>
            </w:r>
          </w:p>
        </w:tc>
      </w:tr>
      <w:tr w14:paraId="2198F4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94144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 PC1 载荷</w:t>
            </w:r>
          </w:p>
        </w:tc>
        <w:tc>
          <w:tcPr>
            <w:tcW w:w="4320" w:type="dxa"/>
          </w:tcPr>
          <w:p w14:paraId="10A77C4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链条速度 0.841 + 电机转速 0.539</w:t>
            </w:r>
          </w:p>
        </w:tc>
      </w:tr>
      <w:tr w14:paraId="2F78E7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508D8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PC1 首要归因异常占比</w:t>
            </w:r>
          </w:p>
        </w:tc>
        <w:tc>
          <w:tcPr>
            <w:tcW w:w="4320" w:type="dxa"/>
          </w:tcPr>
          <w:p w14:paraId="2B74E4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100%（24621/24621）</w:t>
            </w:r>
          </w:p>
        </w:tc>
      </w:tr>
      <w:tr w14:paraId="3C390E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CA671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工况异常率</w:t>
            </w:r>
          </w:p>
        </w:tc>
        <w:tc>
          <w:tcPr>
            <w:tcW w:w="4320" w:type="dxa"/>
          </w:tcPr>
          <w:p w14:paraId="03659D0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带载运行 39.7% / 空载 37.2% / 停机 10.8%</w:t>
            </w:r>
          </w:p>
        </w:tc>
      </w:tr>
    </w:tbl>
    <w:p w14:paraId="04EFC709"/>
    <w:p w14:paraId="2564A09B">
      <w:r>
        <w:rPr>
          <w:rFonts w:ascii="Calibri" w:hAnsi="Calibri" w:eastAsia="微软雅黑"/>
          <w:b w:val="0"/>
          <w:sz w:val="21"/>
        </w:rPr>
        <w:t>机理：ZZJ 链条速度是开关式恒量——生产运行内 p25~p75 为 1794~1876 的窄带恒值，但含 0 / 2193 极值（开停机跳变）。恒量段方差趋零，MCD 协方差被挤窄后，任何轻微偏离（含开关跳变）全标异常。这与 3.1 的钳位、3.2 的电压开关量是同一种数学病：恒量 / 开关量特征污染协方差。ZZJ 异常率 28.2% 的高位主要由此而来。</w:t>
      </w:r>
    </w:p>
    <w:p w14:paraId="09657C28">
      <w:r>
        <w:rPr>
          <w:rFonts w:ascii="Calibri" w:hAnsi="Calibri" w:eastAsia="微软雅黑"/>
          <w:b/>
          <w:color w:val="1F4E79"/>
          <w:sz w:val="25"/>
        </w:rPr>
        <w:t>3.4 真实物理信号：残差法才能看到的热类漂移</w:t>
      </w:r>
    </w:p>
    <w:p w14:paraId="768B0FCB">
      <w:r>
        <w:rPr>
          <w:rFonts w:ascii="Calibri" w:hAnsi="Calibri" w:eastAsia="微软雅黑"/>
          <w:b w:val="0"/>
          <w:sz w:val="21"/>
        </w:rPr>
        <w:t>残差法（相对基线残差，不依赖协方差）给出的归因，才是相对可信的真实信号：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4A2A90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49190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参数</w:t>
            </w:r>
          </w:p>
        </w:tc>
        <w:tc>
          <w:tcPr>
            <w:tcW w:w="1728" w:type="dxa"/>
          </w:tcPr>
          <w:p w14:paraId="7E464178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异常次数</w:t>
            </w:r>
          </w:p>
        </w:tc>
        <w:tc>
          <w:tcPr>
            <w:tcW w:w="1728" w:type="dxa"/>
          </w:tcPr>
          <w:p w14:paraId="4835487C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平均 \</w:t>
            </w:r>
          </w:p>
        </w:tc>
        <w:tc>
          <w:tcPr>
            <w:tcW w:w="1728" w:type="dxa"/>
          </w:tcPr>
          <w:p w14:paraId="6CC527A6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z\</w:t>
            </w:r>
          </w:p>
        </w:tc>
        <w:tc>
          <w:tcPr>
            <w:tcW w:w="1728" w:type="dxa"/>
          </w:tcPr>
          <w:p w14:paraId="36CE0B79">
            <w:pPr>
              <w:spacing w:after="0" w:line="240" w:lineRule="auto"/>
            </w:pPr>
          </w:p>
        </w:tc>
      </w:tr>
      <w:tr w14:paraId="04298B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A211C0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 IGBT1 温度</w:t>
            </w:r>
          </w:p>
        </w:tc>
        <w:tc>
          <w:tcPr>
            <w:tcW w:w="1728" w:type="dxa"/>
          </w:tcPr>
          <w:p w14:paraId="32B6B39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1840</w:t>
            </w:r>
          </w:p>
        </w:tc>
        <w:tc>
          <w:tcPr>
            <w:tcW w:w="1728" w:type="dxa"/>
          </w:tcPr>
          <w:p w14:paraId="4D3838D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5.08</w:t>
            </w:r>
          </w:p>
        </w:tc>
        <w:tc>
          <w:tcPr>
            <w:tcW w:w="1728" w:type="dxa"/>
          </w:tcPr>
          <w:p w14:paraId="381CD812">
            <w:pPr>
              <w:spacing w:after="0" w:line="240" w:lineRule="auto"/>
            </w:pPr>
          </w:p>
        </w:tc>
        <w:tc>
          <w:tcPr>
            <w:tcW w:w="1728" w:type="dxa"/>
          </w:tcPr>
          <w:p w14:paraId="4FDF5256">
            <w:pPr>
              <w:spacing w:after="0" w:line="240" w:lineRule="auto"/>
            </w:pPr>
          </w:p>
        </w:tc>
      </w:tr>
      <w:tr w14:paraId="3AA0DE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E2A73D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 IGBT2 温度</w:t>
            </w:r>
          </w:p>
        </w:tc>
        <w:tc>
          <w:tcPr>
            <w:tcW w:w="1728" w:type="dxa"/>
          </w:tcPr>
          <w:p w14:paraId="7F24E5B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1790</w:t>
            </w:r>
          </w:p>
        </w:tc>
        <w:tc>
          <w:tcPr>
            <w:tcW w:w="1728" w:type="dxa"/>
          </w:tcPr>
          <w:p w14:paraId="141E6C6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5.13</w:t>
            </w:r>
          </w:p>
        </w:tc>
        <w:tc>
          <w:tcPr>
            <w:tcW w:w="1728" w:type="dxa"/>
          </w:tcPr>
          <w:p w14:paraId="497B1E22">
            <w:pPr>
              <w:spacing w:after="0" w:line="240" w:lineRule="auto"/>
            </w:pPr>
          </w:p>
        </w:tc>
        <w:tc>
          <w:tcPr>
            <w:tcW w:w="1728" w:type="dxa"/>
          </w:tcPr>
          <w:p w14:paraId="05AFA5AB">
            <w:pPr>
              <w:spacing w:after="0" w:line="240" w:lineRule="auto"/>
            </w:pPr>
          </w:p>
        </w:tc>
      </w:tr>
      <w:tr w14:paraId="0FA62F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6D1147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 变频器腔体温度</w:t>
            </w:r>
          </w:p>
        </w:tc>
        <w:tc>
          <w:tcPr>
            <w:tcW w:w="1728" w:type="dxa"/>
          </w:tcPr>
          <w:p w14:paraId="3D2CF9C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1781</w:t>
            </w:r>
          </w:p>
        </w:tc>
        <w:tc>
          <w:tcPr>
            <w:tcW w:w="1728" w:type="dxa"/>
          </w:tcPr>
          <w:p w14:paraId="5823FF3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5.14</w:t>
            </w:r>
          </w:p>
        </w:tc>
        <w:tc>
          <w:tcPr>
            <w:tcW w:w="1728" w:type="dxa"/>
          </w:tcPr>
          <w:p w14:paraId="4A12A940">
            <w:pPr>
              <w:spacing w:after="0" w:line="240" w:lineRule="auto"/>
            </w:pPr>
          </w:p>
        </w:tc>
        <w:tc>
          <w:tcPr>
            <w:tcW w:w="1728" w:type="dxa"/>
          </w:tcPr>
          <w:p w14:paraId="4F685085">
            <w:pPr>
              <w:spacing w:after="0" w:line="240" w:lineRule="auto"/>
            </w:pPr>
          </w:p>
        </w:tc>
      </w:tr>
      <w:tr w14:paraId="1221C2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9EDEE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 减速器油箱油位</w:t>
            </w:r>
          </w:p>
        </w:tc>
        <w:tc>
          <w:tcPr>
            <w:tcW w:w="1728" w:type="dxa"/>
          </w:tcPr>
          <w:p w14:paraId="1CA3FB6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1661</w:t>
            </w:r>
          </w:p>
        </w:tc>
        <w:tc>
          <w:tcPr>
            <w:tcW w:w="1728" w:type="dxa"/>
          </w:tcPr>
          <w:p w14:paraId="5EE5F89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5.31</w:t>
            </w:r>
          </w:p>
        </w:tc>
        <w:tc>
          <w:tcPr>
            <w:tcW w:w="1728" w:type="dxa"/>
          </w:tcPr>
          <w:p w14:paraId="3C661516">
            <w:pPr>
              <w:spacing w:after="0" w:line="240" w:lineRule="auto"/>
            </w:pPr>
          </w:p>
        </w:tc>
        <w:tc>
          <w:tcPr>
            <w:tcW w:w="1728" w:type="dxa"/>
          </w:tcPr>
          <w:p w14:paraId="6C6977B9">
            <w:pPr>
              <w:spacing w:after="0" w:line="240" w:lineRule="auto"/>
            </w:pPr>
          </w:p>
        </w:tc>
      </w:tr>
      <w:tr w14:paraId="6D2812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52E11D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 链条速度</w:t>
            </w:r>
          </w:p>
        </w:tc>
        <w:tc>
          <w:tcPr>
            <w:tcW w:w="1728" w:type="dxa"/>
          </w:tcPr>
          <w:p w14:paraId="513E6D5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1480</w:t>
            </w:r>
          </w:p>
        </w:tc>
        <w:tc>
          <w:tcPr>
            <w:tcW w:w="1728" w:type="dxa"/>
          </w:tcPr>
          <w:p w14:paraId="7ED45E2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5.66</w:t>
            </w:r>
          </w:p>
        </w:tc>
        <w:tc>
          <w:tcPr>
            <w:tcW w:w="1728" w:type="dxa"/>
          </w:tcPr>
          <w:p w14:paraId="28588299">
            <w:pPr>
              <w:spacing w:after="0" w:line="240" w:lineRule="auto"/>
            </w:pPr>
          </w:p>
        </w:tc>
        <w:tc>
          <w:tcPr>
            <w:tcW w:w="1728" w:type="dxa"/>
          </w:tcPr>
          <w:p w14:paraId="7A185F13">
            <w:pPr>
              <w:spacing w:after="0" w:line="240" w:lineRule="auto"/>
            </w:pPr>
          </w:p>
        </w:tc>
      </w:tr>
      <w:tr w14:paraId="727096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0FA3E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 电机转速</w:t>
            </w:r>
          </w:p>
        </w:tc>
        <w:tc>
          <w:tcPr>
            <w:tcW w:w="1728" w:type="dxa"/>
          </w:tcPr>
          <w:p w14:paraId="0D36C0F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1459</w:t>
            </w:r>
          </w:p>
        </w:tc>
        <w:tc>
          <w:tcPr>
            <w:tcW w:w="1728" w:type="dxa"/>
          </w:tcPr>
          <w:p w14:paraId="0A9A2F9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5.68</w:t>
            </w:r>
          </w:p>
        </w:tc>
        <w:tc>
          <w:tcPr>
            <w:tcW w:w="1728" w:type="dxa"/>
          </w:tcPr>
          <w:p w14:paraId="5F4D7CBD">
            <w:pPr>
              <w:spacing w:after="0" w:line="240" w:lineRule="auto"/>
            </w:pPr>
          </w:p>
        </w:tc>
        <w:tc>
          <w:tcPr>
            <w:tcW w:w="1728" w:type="dxa"/>
          </w:tcPr>
          <w:p w14:paraId="041BD00D">
            <w:pPr>
              <w:spacing w:after="0" w:line="240" w:lineRule="auto"/>
            </w:pPr>
          </w:p>
        </w:tc>
      </w:tr>
      <w:tr w14:paraId="50BF18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7465D8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 油箱油温</w:t>
            </w:r>
          </w:p>
        </w:tc>
        <w:tc>
          <w:tcPr>
            <w:tcW w:w="1728" w:type="dxa"/>
          </w:tcPr>
          <w:p w14:paraId="303A3C93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1410</w:t>
            </w:r>
          </w:p>
        </w:tc>
        <w:tc>
          <w:tcPr>
            <w:tcW w:w="1728" w:type="dxa"/>
          </w:tcPr>
          <w:p w14:paraId="1D8C0F8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6.34</w:t>
            </w:r>
          </w:p>
        </w:tc>
        <w:tc>
          <w:tcPr>
            <w:tcW w:w="1728" w:type="dxa"/>
          </w:tcPr>
          <w:p w14:paraId="5C198531">
            <w:pPr>
              <w:spacing w:after="0" w:line="240" w:lineRule="auto"/>
            </w:pPr>
          </w:p>
        </w:tc>
        <w:tc>
          <w:tcPr>
            <w:tcW w:w="1728" w:type="dxa"/>
          </w:tcPr>
          <w:p w14:paraId="689FFCF3">
            <w:pPr>
              <w:spacing w:after="0" w:line="240" w:lineRule="auto"/>
            </w:pPr>
          </w:p>
        </w:tc>
      </w:tr>
      <w:tr w14:paraId="1852DA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8F80A8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 冷却水温度</w:t>
            </w:r>
          </w:p>
        </w:tc>
        <w:tc>
          <w:tcPr>
            <w:tcW w:w="1728" w:type="dxa"/>
          </w:tcPr>
          <w:p w14:paraId="05F1B63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1402</w:t>
            </w:r>
          </w:p>
        </w:tc>
        <w:tc>
          <w:tcPr>
            <w:tcW w:w="1728" w:type="dxa"/>
          </w:tcPr>
          <w:p w14:paraId="5717E24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4.83</w:t>
            </w:r>
          </w:p>
        </w:tc>
        <w:tc>
          <w:tcPr>
            <w:tcW w:w="1728" w:type="dxa"/>
          </w:tcPr>
          <w:p w14:paraId="0923D781">
            <w:pPr>
              <w:spacing w:after="0" w:line="240" w:lineRule="auto"/>
            </w:pPr>
          </w:p>
        </w:tc>
        <w:tc>
          <w:tcPr>
            <w:tcW w:w="1728" w:type="dxa"/>
          </w:tcPr>
          <w:p w14:paraId="31004F2A">
            <w:pPr>
              <w:spacing w:after="0" w:line="240" w:lineRule="auto"/>
            </w:pPr>
          </w:p>
        </w:tc>
      </w:tr>
    </w:tbl>
    <w:p w14:paraId="53FB266A"/>
    <w:p w14:paraId="5BA39EF3">
      <w:r>
        <w:rPr>
          <w:rFonts w:ascii="Calibri" w:hAnsi="Calibri" w:eastAsia="微软雅黑"/>
          <w:b w:val="0"/>
          <w:sz w:val="21"/>
        </w:rPr>
        <w:t>IGBT 结温、变频器腔体温度、减速器油温的残差持续偏离基线（平均 |z| 5–6），是带载运行段最可能真实的过热征兆；油箱油位异常（单变量 8084 次，含 180 严重 + 327 较重）也有真实变化成分。这些参数在 PC 空间里被恒量特征淹没，只有残差法和单变量法能看到它们——这是「为什么保留残差法」的实证理由。</w:t>
      </w:r>
    </w:p>
    <w:p w14:paraId="0B2EDDFC">
      <w:r>
        <w:rPr>
          <w:rFonts w:ascii="Calibri" w:hAnsi="Calibri" w:eastAsia="微软雅黑"/>
          <w:b/>
          <w:color w:val="1F4E79"/>
          <w:sz w:val="25"/>
        </w:rPr>
        <w:t>3.5 根因层级汇总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7DE80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FC663F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层级</w:t>
            </w:r>
          </w:p>
        </w:tc>
        <w:tc>
          <w:tcPr>
            <w:tcW w:w="1728" w:type="dxa"/>
          </w:tcPr>
          <w:p w14:paraId="5C2E6102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根因</w:t>
            </w:r>
          </w:p>
        </w:tc>
        <w:tc>
          <w:tcPr>
            <w:tcW w:w="1728" w:type="dxa"/>
          </w:tcPr>
          <w:p w14:paraId="4E4B802A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影响部位</w:t>
            </w:r>
          </w:p>
        </w:tc>
        <w:tc>
          <w:tcPr>
            <w:tcW w:w="1728" w:type="dxa"/>
          </w:tcPr>
          <w:p w14:paraId="38C29F34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证据链</w:t>
            </w:r>
          </w:p>
        </w:tc>
        <w:tc>
          <w:tcPr>
            <w:tcW w:w="1728" w:type="dxa"/>
          </w:tcPr>
          <w:p w14:paraId="15E73F85">
            <w:pPr>
              <w:spacing w:after="0" w:line="240" w:lineRule="auto"/>
            </w:pPr>
            <w:r>
              <w:rPr>
                <w:rFonts w:ascii="Calibri" w:hAnsi="Calibri" w:eastAsia="微软雅黑"/>
                <w:b/>
                <w:sz w:val="20"/>
              </w:rPr>
              <w:t>判定</w:t>
            </w:r>
          </w:p>
        </w:tc>
      </w:tr>
      <w:tr w14:paraId="3530BA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035F46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数据质量</w:t>
            </w:r>
          </w:p>
        </w:tc>
        <w:tc>
          <w:tcPr>
            <w:tcW w:w="1728" w:type="dxa"/>
          </w:tcPr>
          <w:p w14:paraId="6E946AD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破碎机温度 645°C 钳位</w:t>
            </w:r>
          </w:p>
        </w:tc>
        <w:tc>
          <w:tcPr>
            <w:tcW w:w="1728" w:type="dxa"/>
          </w:tcPr>
          <w:p w14:paraId="3E0A476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截割/油泵/破碎机</w:t>
            </w:r>
          </w:p>
        </w:tc>
        <w:tc>
          <w:tcPr>
            <w:tcW w:w="1728" w:type="dxa"/>
          </w:tcPr>
          <w:p w14:paraId="2920D4E1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2 唯一值 ×4000+、PC1 载荷 0.998、异常窗中位 644</w:t>
            </w:r>
          </w:p>
        </w:tc>
        <w:tc>
          <w:tcPr>
            <w:tcW w:w="1728" w:type="dxa"/>
          </w:tcPr>
          <w:p w14:paraId="08FD3EE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假异常</w:t>
            </w:r>
          </w:p>
        </w:tc>
      </w:tr>
      <w:tr w14:paraId="10FD43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D82E86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数据质量</w:t>
            </w:r>
          </w:p>
        </w:tc>
        <w:tc>
          <w:tcPr>
            <w:tcW w:w="1728" w:type="dxa"/>
          </w:tcPr>
          <w:p w14:paraId="074A540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牵引电压开关量 0/854V</w:t>
            </w:r>
          </w:p>
        </w:tc>
        <w:tc>
          <w:tcPr>
            <w:tcW w:w="1728" w:type="dxa"/>
          </w:tcPr>
          <w:p w14:paraId="096799E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牵引部</w:t>
            </w:r>
          </w:p>
        </w:tc>
        <w:tc>
          <w:tcPr>
            <w:tcW w:w="1728" w:type="dxa"/>
          </w:tcPr>
          <w:p w14:paraId="44E4BDB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0 值 30.9%、PC1 载荷 0.70、停机异常率 49.8%</w:t>
            </w:r>
          </w:p>
        </w:tc>
        <w:tc>
          <w:tcPr>
            <w:tcW w:w="1728" w:type="dxa"/>
          </w:tcPr>
          <w:p w14:paraId="66938A25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假异常</w:t>
            </w:r>
          </w:p>
        </w:tc>
      </w:tr>
      <w:tr w14:paraId="644248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27B6CE4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数据质量</w:t>
            </w:r>
          </w:p>
        </w:tc>
        <w:tc>
          <w:tcPr>
            <w:tcW w:w="1728" w:type="dxa"/>
          </w:tcPr>
          <w:p w14:paraId="5D8AB79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链条速度开关式恒量</w:t>
            </w:r>
          </w:p>
        </w:tc>
        <w:tc>
          <w:tcPr>
            <w:tcW w:w="1728" w:type="dxa"/>
          </w:tcPr>
          <w:p w14:paraId="4B19526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</w:t>
            </w:r>
          </w:p>
        </w:tc>
        <w:tc>
          <w:tcPr>
            <w:tcW w:w="1728" w:type="dxa"/>
          </w:tcPr>
          <w:p w14:paraId="1CE0C202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PC1 载荷 0.841、100% PC1 归因</w:t>
            </w:r>
          </w:p>
        </w:tc>
        <w:tc>
          <w:tcPr>
            <w:tcW w:w="1728" w:type="dxa"/>
          </w:tcPr>
          <w:p w14:paraId="430082D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假异常</w:t>
            </w:r>
          </w:p>
        </w:tc>
      </w:tr>
      <w:tr w14:paraId="5C2ED6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71D296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方法学</w:t>
            </w:r>
          </w:p>
        </w:tc>
        <w:tc>
          <w:tcPr>
            <w:tcW w:w="1728" w:type="dxa"/>
          </w:tcPr>
          <w:p w14:paraId="7A3EDA78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恒量/开关量特征污染协方差</w:t>
            </w:r>
          </w:p>
        </w:tc>
        <w:tc>
          <w:tcPr>
            <w:tcW w:w="1728" w:type="dxa"/>
          </w:tcPr>
          <w:p w14:paraId="44FD5129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全部</w:t>
            </w:r>
          </w:p>
        </w:tc>
        <w:tc>
          <w:tcPr>
            <w:tcW w:w="1728" w:type="dxa"/>
          </w:tcPr>
          <w:p w14:paraId="04234CD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Mahalanobis 异常率 ≫ IF、距离重尾</w:t>
            </w:r>
          </w:p>
        </w:tc>
        <w:tc>
          <w:tcPr>
            <w:tcW w:w="1728" w:type="dxa"/>
          </w:tcPr>
          <w:p w14:paraId="0C63CF1E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放大因子</w:t>
            </w:r>
          </w:p>
        </w:tc>
      </w:tr>
      <w:tr w14:paraId="132FD6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9E910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物理真实</w:t>
            </w:r>
          </w:p>
        </w:tc>
        <w:tc>
          <w:tcPr>
            <w:tcW w:w="1728" w:type="dxa"/>
          </w:tcPr>
          <w:p w14:paraId="325AF0CC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IGBT/腔体/油温残差漂移</w:t>
            </w:r>
          </w:p>
        </w:tc>
        <w:tc>
          <w:tcPr>
            <w:tcW w:w="1728" w:type="dxa"/>
          </w:tcPr>
          <w:p w14:paraId="215C7E37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 带载段</w:t>
            </w:r>
          </w:p>
        </w:tc>
        <w:tc>
          <w:tcPr>
            <w:tcW w:w="1728" w:type="dxa"/>
          </w:tcPr>
          <w:p w14:paraId="0E3059C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平均</w:t>
            </w:r>
          </w:p>
        </w:tc>
        <w:tc>
          <w:tcPr>
            <w:tcW w:w="1728" w:type="dxa"/>
          </w:tcPr>
          <w:p w14:paraId="3E0495AF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</w:t>
            </w:r>
          </w:p>
        </w:tc>
      </w:tr>
      <w:tr w14:paraId="357B49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ACFB8AD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物理真实</w:t>
            </w:r>
          </w:p>
        </w:tc>
        <w:tc>
          <w:tcPr>
            <w:tcW w:w="1728" w:type="dxa"/>
          </w:tcPr>
          <w:p w14:paraId="134D5D9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油箱油位异常</w:t>
            </w:r>
          </w:p>
        </w:tc>
        <w:tc>
          <w:tcPr>
            <w:tcW w:w="1728" w:type="dxa"/>
          </w:tcPr>
          <w:p w14:paraId="495B2AEB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ZZJ</w:t>
            </w:r>
          </w:p>
        </w:tc>
        <w:tc>
          <w:tcPr>
            <w:tcW w:w="1728" w:type="dxa"/>
          </w:tcPr>
          <w:p w14:paraId="09E287B0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8084 次、含 180 严重</w:t>
            </w:r>
          </w:p>
        </w:tc>
        <w:tc>
          <w:tcPr>
            <w:tcW w:w="1728" w:type="dxa"/>
          </w:tcPr>
          <w:p w14:paraId="314F3DCA">
            <w:pPr>
              <w:spacing w:after="0" w:line="240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需结合维保记录</w:t>
            </w:r>
          </w:p>
        </w:tc>
      </w:tr>
    </w:tbl>
    <w:p w14:paraId="42D6354A"/>
    <w:p w14:paraId="09989B34">
      <w:r>
        <w:rPr>
          <w:rFonts w:ascii="Calibri" w:hAnsi="Calibri" w:eastAsia="微软雅黑"/>
          <w:b/>
          <w:color w:val="1F4E79"/>
          <w:sz w:val="30"/>
        </w:rPr>
        <w:t>四、结论与建议</w:t>
      </w:r>
    </w:p>
    <w:p w14:paraId="0085FB39">
      <w:r>
        <w:rPr>
          <w:rFonts w:ascii="Calibri" w:hAnsi="Calibri" w:eastAsia="微软雅黑"/>
          <w:b/>
          <w:color w:val="1F4E79"/>
          <w:sz w:val="25"/>
        </w:rPr>
        <w:t>4.1 结论</w:t>
      </w:r>
    </w:p>
    <w:p w14:paraId="77486EAE">
      <w:pPr>
        <w:pStyle w:val="14"/>
      </w:pPr>
      <w:r>
        <w:rPr>
          <w:rFonts w:ascii="Calibri" w:hAnsi="Calibri" w:eastAsia="微软雅黑"/>
          <w:b w:val="0"/>
          <w:sz w:val="21"/>
        </w:rPr>
        <w:t>阶段二的异常检出结果高度可用，但需分层解读：Mahalanobis 异常率（CMJ 12.8%–30.6%、ZZJ 28.2%）的大部分由三类数据质量根因驱动——破碎机温度钳位、牵引电压开关量、链条速度恒量。它们共同的特点是恒量 / 开关量特征污染协方差，把基线压窄、把正常波动标成异常。</w:t>
      </w:r>
    </w:p>
    <w:p w14:paraId="5ECF20FF">
      <w:pPr>
        <w:pStyle w:val="14"/>
      </w:pPr>
      <w:r>
        <w:rPr>
          <w:rFonts w:ascii="Calibri" w:hAnsi="Calibri" w:eastAsia="微软雅黑"/>
          <w:b w:val="0"/>
          <w:sz w:val="21"/>
        </w:rPr>
        <w:t>真实信号藏在残差法里：ZZJ IGBT / 腔体 / 油温的平均 |z| 5–6 是最可能真实的过热征兆；油箱油位含真实变化成分。多变量方法在恒量特征面前「瞎了」，残差法相对免疫——两个通道必须并存。</w:t>
      </w:r>
    </w:p>
    <w:p w14:paraId="7244A937">
      <w:pPr>
        <w:pStyle w:val="14"/>
      </w:pPr>
      <w:r>
        <w:rPr>
          <w:rFonts w:ascii="Calibri" w:hAnsi="Calibri" w:eastAsia="微软雅黑"/>
          <w:b w:val="0"/>
          <w:sz w:val="21"/>
        </w:rPr>
        <w:t>Isolation Forest 与 Mahalanobis 的巨大落差（10–68 vs 5003–24621）是「Mahalanobis 被数据质量特征放大」最简洁的交叉印证。</w:t>
      </w:r>
    </w:p>
    <w:p w14:paraId="07D48D07">
      <w:r>
        <w:rPr>
          <w:rFonts w:ascii="Calibri" w:hAnsi="Calibri" w:eastAsia="微软雅黑"/>
          <w:b/>
          <w:color w:val="1F4E79"/>
          <w:sz w:val="25"/>
        </w:rPr>
        <w:t>4.2 建议</w:t>
      </w:r>
    </w:p>
    <w:p w14:paraId="123286D0">
      <w:pPr>
        <w:pStyle w:val="14"/>
      </w:pPr>
      <w:r>
        <w:rPr>
          <w:rFonts w:ascii="Calibri" w:hAnsi="Calibri" w:eastAsia="微软雅黑"/>
          <w:b w:val="0"/>
          <w:sz w:val="21"/>
        </w:rPr>
        <w:t>剔除或归一化三类特征（沿用母线电压先例）：破碎机温度对钳位段截断或加饱和掩码；牵引电压 / 链条速度列为开关量从协方差特征中排除。处理后 Mahalanobis 异常率预计回归个位数区间。</w:t>
      </w:r>
    </w:p>
    <w:p w14:paraId="26A06210">
      <w:pPr>
        <w:pStyle w:val="14"/>
      </w:pPr>
      <w:r>
        <w:rPr>
          <w:rFonts w:ascii="Calibri" w:hAnsi="Calibri" w:eastAsia="微软雅黑"/>
          <w:b w:val="0"/>
          <w:sz w:val="21"/>
        </w:rPr>
        <w:t>保留残差法通道并为其单列归因输出（当前已具备逐参数归因），作为真实热信号的主入口。</w:t>
      </w:r>
    </w:p>
    <w:p w14:paraId="179368BC">
      <w:pPr>
        <w:pStyle w:val="14"/>
      </w:pPr>
      <w:r>
        <w:rPr>
          <w:rFonts w:ascii="Calibri" w:hAnsi="Calibri" w:eastAsia="微软雅黑"/>
          <w:b w:val="0"/>
          <w:sz w:val="21"/>
        </w:rPr>
        <w:t>单变量阈值自适应：钳位段（如破碎机温度 &gt;600°C 恒值）应识别为「量程饱和」而非「轻微异常」，阈值应按工况内有效量程重算。</w:t>
      </w:r>
    </w:p>
    <w:p w14:paraId="5A39BB35">
      <w:pPr>
        <w:pStyle w:val="14"/>
      </w:pPr>
      <w:r>
        <w:rPr>
          <w:rFonts w:ascii="Calibri" w:hAnsi="Calibri" w:eastAsia="微软雅黑"/>
          <w:b w:val="0"/>
          <w:sz w:val="21"/>
        </w:rPr>
        <w:t>异常事件库与维修记录对齐：对油箱油位、IGBT 温度等真实候选，用维修/巡检记录做命中验证，确认后再纳入预警模型。</w:t>
      </w:r>
    </w:p>
    <w:p w14:paraId="384DE63F">
      <w:r>
        <w:rPr>
          <w:rFonts w:ascii="Calibri" w:hAnsi="Calibri" w:eastAsia="微软雅黑"/>
          <w:b/>
          <w:color w:val="1F4E79"/>
          <w:sz w:val="30"/>
        </w:rPr>
        <w:t>五、遗留与下一步</w:t>
      </w:r>
    </w:p>
    <w:p w14:paraId="3B6324F3">
      <w:pPr>
        <w:pStyle w:val="16"/>
      </w:pPr>
      <w:r>
        <w:rPr>
          <w:rFonts w:ascii="Calibri" w:hAnsi="Calibri" w:eastAsia="微软雅黑"/>
          <w:b w:val="0"/>
          <w:sz w:val="21"/>
        </w:rPr>
        <w:t>破碎机温度钳位为采集侧问题，需现场确认传感器量程与空载工况下的真实温度；</w:t>
      </w:r>
    </w:p>
    <w:p w14:paraId="1F098B73">
      <w:pPr>
        <w:pStyle w:val="16"/>
      </w:pPr>
      <w:r>
        <w:rPr>
          <w:rFonts w:ascii="Calibri" w:hAnsi="Calibri" w:eastAsia="微软雅黑"/>
          <w:b w:val="0"/>
          <w:sz w:val="21"/>
        </w:rPr>
        <w:t>牵引电压「0/854V」需确认是否为采集缺失 vs 真实断电——若为采集缺失应补滤波而非剔除；</w:t>
      </w:r>
    </w:p>
    <w:p w14:paraId="7985B682">
      <w:pPr>
        <w:pStyle w:val="16"/>
      </w:pPr>
      <w:r>
        <w:rPr>
          <w:rFonts w:ascii="Calibri" w:hAnsi="Calibri" w:eastAsia="微软雅黑"/>
          <w:b w:val="0"/>
          <w:sz w:val="21"/>
        </w:rPr>
        <w:t>阶段三（跨设备关联预警）应在剔除三类污染特征后的干净异常库上建模，否则污染特征会传导到联合工况。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B3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663</Words>
  <Characters>994</Characters>
  <Lines>0</Lines>
  <Paragraphs>0</Paragraphs>
  <TotalTime>0</TotalTime>
  <ScaleCrop>false</ScaleCrop>
  <LinksUpToDate>false</LinksUpToDate>
  <CharactersWithSpaces>1087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DBAA</cp:lastModifiedBy>
  <dcterms:modified xsi:type="dcterms:W3CDTF">2026-08-17T17:29:32Z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eyJoZGlkIjoiYWQ1MDVjMGM0MTI1NzFiMTc3MjIxOWE3YzE3NTRlOGYiLCJ1c2VySWQiOiIxNDM2Mjc2MzI3In0=</vt:lpwstr>
  </property>
  <property fmtid="{D5CDD505-2E9C-101B-9397-08002B2CF9AE}" pid="3" name="KSOProductBuildVer">
    <vt:lpwstr>2052-12.1.0.28043</vt:lpwstr>
  </property>
  <property fmtid="{D5CDD505-2E9C-101B-9397-08002B2CF9AE}" pid="4" name="ICV">
    <vt:lpwstr>2C96D44AC24E4A68B87581148E72942C_12</vt:lpwstr>
  </property>
</Properties>
</file>