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6"/>
        </w:rPr>
        <w:t>阶段三周报：跨设备关联异常检测（CMJ → ZZJ）</w:t>
      </w:r>
    </w:p>
    <w:p>
      <w:r>
        <w:rPr>
          <w:rFonts w:ascii="Calibri" w:hAnsi="Calibri" w:eastAsia="微软雅黑"/>
          <w:b w:val="0"/>
          <w:sz w:val="21"/>
        </w:rPr>
        <w:t>周期</w:t>
      </w:r>
      <w:r>
        <w:rPr>
          <w:rFonts w:ascii="Calibri" w:hAnsi="Calibri" w:eastAsia="微软雅黑"/>
          <w:b w:val="0"/>
          <w:sz w:val="21"/>
        </w:rPr>
        <w:t xml:space="preserve">：2026-08-01 ~ 08-11 · </w:t>
      </w:r>
      <w:r>
        <w:rPr>
          <w:rFonts w:ascii="Calibri" w:hAnsi="Calibri" w:eastAsia="微软雅黑"/>
          <w:b w:val="0"/>
          <w:sz w:val="21"/>
        </w:rPr>
        <w:t>阶段</w:t>
      </w:r>
      <w:r>
        <w:rPr>
          <w:rFonts w:ascii="Calibri" w:hAnsi="Calibri" w:eastAsia="微软雅黑"/>
          <w:b w:val="0"/>
          <w:sz w:val="21"/>
        </w:rPr>
        <w:t xml:space="preserve">：三 · </w:t>
      </w:r>
      <w:r>
        <w:rPr>
          <w:rFonts w:ascii="Calibri" w:hAnsi="Calibri" w:eastAsia="微软雅黑"/>
          <w:b w:val="0"/>
          <w:sz w:val="21"/>
        </w:rPr>
        <w:t>核心问题</w:t>
      </w:r>
      <w:r>
        <w:rPr>
          <w:rFonts w:ascii="Calibri" w:hAnsi="Calibri" w:eastAsia="微软雅黑"/>
          <w:b w:val="0"/>
          <w:sz w:val="21"/>
        </w:rPr>
        <w:t>：采煤机（CMJ）→ 转载机（ZZJ）物理耦合关系下的关联异常检测</w:t>
      </w:r>
    </w:p>
    <w:p>
      <w:r>
        <w:rPr>
          <w:rFonts w:ascii="Calibri" w:hAnsi="Calibri" w:eastAsia="微软雅黑"/>
          <w:b/>
          <w:color w:val="1F4E79"/>
          <w:sz w:val="30"/>
        </w:rPr>
        <w:t>一、本阶段目标</w:t>
      </w:r>
    </w:p>
    <w:p>
      <w:r>
        <w:rPr>
          <w:rFonts w:ascii="Calibri" w:hAnsi="Calibri" w:eastAsia="微软雅黑"/>
          <w:b w:val="0"/>
          <w:sz w:val="21"/>
        </w:rPr>
        <w:t>挖掘上游采煤机（CMJ）到下游转载机（ZZJ）的物理耦合关系，检测"上游割煤但下游负载不匹配"的</w:t>
      </w:r>
      <w:r>
        <w:rPr>
          <w:rFonts w:ascii="Calibri" w:hAnsi="Calibri" w:eastAsia="微软雅黑"/>
          <w:b w:val="0"/>
          <w:sz w:val="21"/>
        </w:rPr>
        <w:t>关联异常</w:t>
      </w:r>
      <w:r>
        <w:rPr>
          <w:rFonts w:ascii="Calibri" w:hAnsi="Calibri" w:eastAsia="微软雅黑"/>
          <w:b w:val="0"/>
          <w:sz w:val="21"/>
        </w:rPr>
        <w:t>——即堵煤 / 卡链 / 断链 / 煤流堆积风险。</w:t>
      </w:r>
    </w:p>
    <w:p>
      <w:r>
        <w:rPr>
          <w:rFonts w:ascii="Calibri" w:hAnsi="Calibri" w:eastAsia="微软雅黑"/>
          <w:b w:val="0"/>
          <w:sz w:val="21"/>
        </w:rPr>
        <w:t>运输链物理结构：</w:t>
      </w:r>
      <w:r>
        <w:rPr>
          <w:rFonts w:ascii="Calibri" w:hAnsi="Calibri" w:eastAsia="微软雅黑"/>
          <w:b w:val="0"/>
          <w:sz w:val="21"/>
        </w:rPr>
        <w:t>CMJ 割煤 → CMJ 破碎机 → 溜槽 → ZZJ 转载机</w:t>
      </w:r>
      <w:r>
        <w:rPr>
          <w:rFonts w:ascii="Calibri" w:hAnsi="Calibri" w:eastAsia="微软雅黑"/>
          <w:b w:val="0"/>
          <w:sz w:val="21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代理量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测点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上游产量（X）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割煤速度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采煤机_牵引部位_采煤机速度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截割功率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采煤机_截割部位_左/右滚筒_电机_电流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截割断面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采煤机_截割部位_左/右滚筒_高度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下游负载（y）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转载负载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三机_转载机_电机_电流 / 转矩 / 链条速度</w:t>
            </w:r>
          </w:p>
        </w:tc>
      </w:tr>
    </w:tbl>
    <w:p/>
    <w:p>
      <w:r>
        <w:rPr>
          <w:rFonts w:ascii="Calibri" w:hAnsi="Calibri" w:eastAsia="微软雅黑"/>
          <w:b/>
          <w:color w:val="1F4E79"/>
          <w:sz w:val="30"/>
        </w:rPr>
        <w:t>二、关键发现一：恒流控制下幅度耦合不可学习（诚实报告）</w:t>
      </w:r>
    </w:p>
    <w:p>
      <w:r>
        <w:rPr>
          <w:rFonts w:ascii="Calibri" w:hAnsi="Calibri" w:eastAsia="微软雅黑"/>
          <w:b w:val="0"/>
          <w:sz w:val="21"/>
        </w:rPr>
        <w:t>计划假设</w:t>
      </w:r>
      <w:r>
        <w:rPr>
          <w:rFonts w:ascii="Calibri" w:hAnsi="Calibri" w:eastAsia="微软雅黑"/>
          <w:b w:val="0"/>
          <w:sz w:val="21"/>
        </w:rPr>
        <w:t>：CMJ 高速割煤 + 高滚筒电流 → ZZJ 高负载电流，回归可学。</w:t>
      </w:r>
    </w:p>
    <w:p>
      <w:r>
        <w:rPr>
          <w:rFonts w:ascii="Calibri" w:hAnsi="Calibri" w:eastAsia="微软雅黑"/>
          <w:b w:val="0"/>
          <w:sz w:val="21"/>
        </w:rPr>
        <w:t>实测结论：幅度层耦合不可学习</w:t>
      </w:r>
      <w:r>
        <w:rPr>
          <w:rFonts w:ascii="Calibri" w:hAnsi="Calibri" w:eastAsia="微软雅黑"/>
          <w:b w:val="0"/>
          <w:sz w:val="21"/>
        </w:rPr>
        <w:t>。ZZJ 变频器采用</w:t>
      </w:r>
      <w:r>
        <w:rPr>
          <w:rFonts w:ascii="Calibri" w:hAnsi="Calibri" w:eastAsia="微软雅黑"/>
          <w:b w:val="0"/>
          <w:sz w:val="21"/>
        </w:rPr>
        <w:t>恒流控制</w:t>
      </w:r>
      <w:r>
        <w:rPr>
          <w:rFonts w:ascii="Calibri" w:hAnsi="Calibri" w:eastAsia="微软雅黑"/>
          <w:b w:val="0"/>
          <w:sz w:val="21"/>
        </w:rPr>
        <w:t>，将转载电机电流维持在设定值附近（生产运行域内量化到 103 个离散档位，中位 86A、IQR[79,94]A），下游电流幅度与上游产量幅度</w:t>
      </w:r>
      <w:r>
        <w:rPr>
          <w:rFonts w:ascii="Calibri" w:hAnsi="Calibri" w:eastAsia="微软雅黑"/>
          <w:b w:val="0"/>
          <w:sz w:val="21"/>
        </w:rPr>
        <w:t>无关</w:t>
      </w:r>
      <w:r>
        <w:rPr>
          <w:rFonts w:ascii="Calibri" w:hAnsi="Calibri" w:eastAsia="微软雅黑"/>
          <w:b w:val="0"/>
          <w:sz w:val="21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验证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线性回归 R²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0.074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幅度几乎无线性关系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RF 训练 R²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0.875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模型在训练集过拟合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RF 验证 R²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-0.069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时间序 holdout 上完全失效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RF 验证 MAE vs y 标准差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10.0A vs 12.5A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预测 ≈ 常数，无信息量</w:t>
            </w:r>
          </w:p>
        </w:tc>
      </w:tr>
    </w:tbl>
    <w:p/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结论</w:t>
      </w:r>
      <w:r>
        <w:rPr>
          <w:rFonts w:ascii="Calibri" w:hAnsi="Calibri" w:eastAsia="微软雅黑"/>
          <w:b w:val="0"/>
          <w:color w:val="595959"/>
          <w:sz w:val="20"/>
        </w:rPr>
        <w:t>：生产运行域（正常采煤）内，回归残差异常</w:t>
      </w:r>
      <w:r>
        <w:rPr>
          <w:rFonts w:ascii="Calibri" w:hAnsi="Calibri" w:eastAsia="微软雅黑"/>
          <w:b w:val="0"/>
          <w:color w:val="595959"/>
          <w:sz w:val="20"/>
        </w:rPr>
        <w:t>不可用</w:t>
      </w:r>
      <w:r>
        <w:rPr>
          <w:rFonts w:ascii="Calibri" w:hAnsi="Calibri" w:eastAsia="微软雅黑"/>
          <w:b w:val="0"/>
          <w:color w:val="595959"/>
          <w:sz w:val="20"/>
        </w:rPr>
        <w:t>——不是模型不够好，而是恒流控制抹平了幅度耦合。耦合真身在更低层。</w:t>
      </w:r>
    </w:p>
    <w:p>
      <w:r>
        <w:rPr>
          <w:rFonts w:ascii="Calibri" w:hAnsi="Calibri" w:eastAsia="微软雅黑"/>
          <w:b/>
          <w:color w:val="1F4E79"/>
          <w:sz w:val="30"/>
        </w:rPr>
        <w:t>三、关键发现二：耦合真身在二元开关层 + 规则事件层</w:t>
      </w:r>
    </w:p>
    <w:p>
      <w:r>
        <w:rPr>
          <w:rFonts w:ascii="Calibri" w:hAnsi="Calibri" w:eastAsia="微软雅黑"/>
          <w:b w:val="0"/>
          <w:sz w:val="21"/>
        </w:rPr>
        <w:t>恒流控制抹平了</w:t>
      </w:r>
      <w:r>
        <w:rPr>
          <w:rFonts w:ascii="Calibri" w:hAnsi="Calibri" w:eastAsia="微软雅黑"/>
          <w:b w:val="0"/>
          <w:sz w:val="21"/>
        </w:rPr>
        <w:t>幅度层</w:t>
      </w:r>
      <w:r>
        <w:rPr>
          <w:rFonts w:ascii="Calibri" w:hAnsi="Calibri" w:eastAsia="微软雅黑"/>
          <w:b w:val="0"/>
          <w:sz w:val="21"/>
        </w:rPr>
        <w:t>，但</w:t>
      </w:r>
      <w:r>
        <w:rPr>
          <w:rFonts w:ascii="Calibri" w:hAnsi="Calibri" w:eastAsia="微软雅黑"/>
          <w:b w:val="0"/>
          <w:sz w:val="21"/>
        </w:rPr>
        <w:t>开关层</w:t>
      </w:r>
      <w:r>
        <w:rPr>
          <w:rFonts w:ascii="Calibri" w:hAnsi="Calibri" w:eastAsia="微软雅黑"/>
          <w:b w:val="0"/>
          <w:sz w:val="21"/>
        </w:rPr>
        <w:t xml:space="preserve">（割煤 ↔ 带载）依然强耦合。由 </w:t>
      </w:r>
      <w:r>
        <w:rPr>
          <w:rFonts w:ascii="Calibri" w:hAnsi="Calibri" w:eastAsia="微软雅黑"/>
          <w:b w:val="0"/>
          <w:sz w:val="21"/>
        </w:rPr>
        <w:t>设备_工况 × 转载机_工况</w:t>
      </w:r>
      <w:r>
        <w:rPr>
          <w:rFonts w:ascii="Calibri" w:hAnsi="Calibri" w:eastAsia="微软雅黑"/>
          <w:b w:val="0"/>
          <w:sz w:val="21"/>
        </w:rPr>
        <w:t xml:space="preserve"> 合成联合系统工况：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联合工况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物理含义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关联信号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生产运行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割煤中 + 带载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正常采煤基线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采煤-转载错配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割煤中 + 空载/停机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堵煤 / 断链 / 转载未启动风险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转载余流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停机/待机 + 带载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残余煤流 / 转载滞后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全线停机 / 全线待机 / 空载循环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双设备协同空转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非异常基线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crosstab 验证：</w:t>
      </w:r>
      <w:r>
        <w:rPr>
          <w:rFonts w:ascii="Calibri" w:hAnsi="Calibri" w:eastAsia="微软雅黑"/>
          <w:b w:val="0"/>
          <w:sz w:val="21"/>
        </w:rPr>
        <w:t>割煤中 → 带载占 96.6%</w:t>
      </w:r>
      <w:r>
        <w:rPr>
          <w:rFonts w:ascii="Calibri" w:hAnsi="Calibri" w:eastAsia="微软雅黑"/>
          <w:b w:val="0"/>
          <w:sz w:val="21"/>
        </w:rPr>
        <w:t>，物理耦合在开关层真实存在且占主导。</w:t>
      </w:r>
    </w:p>
    <w:p>
      <w:r>
        <w:rPr>
          <w:rFonts w:ascii="Calibri" w:hAnsi="Calibri" w:eastAsia="微软雅黑"/>
          <w:b/>
          <w:color w:val="1F4E79"/>
          <w:sz w:val="30"/>
        </w:rPr>
        <w:t>四、主检测器：联合工况规则事件</w:t>
      </w:r>
    </w:p>
    <w:p>
      <w:r>
        <w:rPr>
          <w:rFonts w:ascii="Calibri" w:hAnsi="Calibri" w:eastAsia="微软雅黑"/>
          <w:b w:val="0"/>
          <w:sz w:val="21"/>
        </w:rPr>
        <w:t>回归不可学后，主检测器切换为</w:t>
      </w:r>
      <w:r>
        <w:rPr>
          <w:rFonts w:ascii="Calibri" w:hAnsi="Calibri" w:eastAsia="微软雅黑"/>
          <w:b w:val="0"/>
          <w:sz w:val="21"/>
        </w:rPr>
        <w:t>联合工况规则事件</w:t>
      </w:r>
      <w:r>
        <w:rPr>
          <w:rFonts w:ascii="Calibri" w:hAnsi="Calibri" w:eastAsia="微软雅黑"/>
          <w:b w:val="0"/>
          <w:sz w:val="21"/>
        </w:rPr>
        <w:t>——错配 / 余流标签本身即编码物理规则，无需回归：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规则事件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段数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覆盖点数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采煤-转载错配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123 段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612 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转载余流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1532 段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6809 点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典型案例（04-15）</w:t>
      </w:r>
      <w:r>
        <w:rPr>
          <w:rFonts w:ascii="Calibri" w:hAnsi="Calibri" w:eastAsia="微软雅黑"/>
          <w:b w:val="0"/>
          <w:sz w:val="21"/>
        </w:rPr>
        <w:t>：采煤机持续高速割煤，但转载机未带载，</w:t>
      </w:r>
      <w:r>
        <w:rPr>
          <w:rFonts w:ascii="Calibri" w:hAnsi="Calibri" w:eastAsia="微软雅黑"/>
          <w:b w:val="0"/>
          <w:sz w:val="21"/>
        </w:rPr>
        <w:t>连续 309 分钟长时错配</w:t>
      </w:r>
      <w:r>
        <w:rPr>
          <w:rFonts w:ascii="Calibri" w:hAnsi="Calibri" w:eastAsia="微软雅黑"/>
          <w:b w:val="0"/>
          <w:sz w:val="21"/>
        </w:rPr>
        <w:t>（08:00 ~ 16:00）——煤流长期堆积在下游设备的显著风险信号。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89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联合工况堆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8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  <w:t>图 1</w:t>
      </w:r>
      <w:r>
        <w:rPr>
          <w:rFonts w:ascii="Calibri" w:hAnsi="Calibri" w:eastAsia="微软雅黑"/>
          <w:b w:val="0"/>
          <w:sz w:val="21"/>
        </w:rPr>
        <w:t>：联合系统工况堆叠（04-01 ~ 04-07 采样）。红色 = 采煤-转载错配，黄色 = 转载余流，可见错配/余流呈零星块状分布——均为可治理的离散风险段，而非系统性失控。</w:t>
      </w:r>
    </w:p>
    <w:p>
      <w:r>
        <w:rPr>
          <w:rFonts w:ascii="Calibri" w:hAnsi="Calibri" w:eastAsia="微软雅黑"/>
          <w:b/>
          <w:color w:val="1F4E79"/>
          <w:sz w:val="30"/>
        </w:rPr>
        <w:t>五、跨设备 Mahalanobis 关联异常</w:t>
      </w:r>
    </w:p>
    <w:p>
      <w:r>
        <w:rPr>
          <w:rFonts w:ascii="Calibri" w:hAnsi="Calibri" w:eastAsia="微软雅黑"/>
          <w:b w:val="0"/>
          <w:sz w:val="21"/>
        </w:rPr>
        <w:t>特征 = CMJ 产量代理（5 维）+ ZZJ 负载（2 维），按联合工况分组，χ² 分位数 α=0.001 判异常。</w:t>
      </w:r>
    </w:p>
    <w:p>
      <w:r>
        <w:rPr>
          <w:rFonts w:ascii="Calibri" w:hAnsi="Calibri" w:eastAsia="微软雅黑"/>
          <w:b w:val="0"/>
          <w:sz w:val="21"/>
        </w:rPr>
        <w:t>特征筛选</w:t>
      </w:r>
      <w:r>
        <w:rPr>
          <w:rFonts w:ascii="Calibri" w:hAnsi="Calibri" w:eastAsia="微软雅黑"/>
          <w:b w:val="0"/>
          <w:sz w:val="21"/>
        </w:rPr>
        <w:t>：剔除母线电压（开关量双峰）与</w:t>
      </w:r>
      <w:r>
        <w:rPr>
          <w:rFonts w:ascii="Calibri" w:hAnsi="Calibri" w:eastAsia="微软雅黑"/>
          <w:b w:val="0"/>
          <w:sz w:val="21"/>
        </w:rPr>
        <w:t>链条速度</w:t>
      </w:r>
      <w:r>
        <w:rPr>
          <w:rFonts w:ascii="Calibri" w:hAnsi="Calibri" w:eastAsia="微软雅黑"/>
          <w:b w:val="0"/>
          <w:sz w:val="21"/>
        </w:rPr>
        <w:t>（开关式恒量重尾，p25~p75=1794~1876 却含 0/2193 极值）——恒量特征污染协方差，实测致异常率 17% 泛滥。剔除后：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剔除前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剔除后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总异常率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17%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6.27%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生产运行域异常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3945 点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 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物理不匹配域异常占比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~95%</w:t>
            </w:r>
            <w:r>
              <w:rPr>
                <w:rFonts w:ascii="Calibri" w:hAnsi="Calibri" w:eastAsia="微软雅黑"/>
                <w:b w:val="0"/>
                <w:sz w:val="20"/>
              </w:rPr>
              <w:t>（余流 1937 + 错配 315）</w:t>
            </w:r>
          </w:p>
        </w:tc>
      </w:tr>
    </w:tbl>
    <w:p/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剔除后 95% 的跨设备异常集中在物理不匹配域（错配/余流），与规则事件主检测器</w:t>
      </w:r>
      <w:r>
        <w:rPr>
          <w:rFonts w:ascii="Calibri" w:hAnsi="Calibri" w:eastAsia="微软雅黑"/>
          <w:b w:val="0"/>
          <w:color w:val="595959"/>
          <w:sz w:val="20"/>
        </w:rPr>
        <w:t>互相印证</w:t>
      </w:r>
      <w:r>
        <w:rPr>
          <w:rFonts w:ascii="Calibri" w:hAnsi="Calibri" w:eastAsia="微软雅黑"/>
          <w:b w:val="0"/>
          <w:color w:val="595959"/>
          <w:sz w:val="20"/>
        </w:rPr>
        <w:t>——Mahalanobis 起佐证作用，不喧宾夺主。</w:t>
      </w:r>
    </w:p>
    <w:p>
      <w:r>
        <w:rPr>
          <w:rFonts w:ascii="Calibri" w:hAnsi="Calibri" w:eastAsia="微软雅黑"/>
          <w:b/>
          <w:color w:val="1F4E79"/>
          <w:sz w:val="30"/>
        </w:rPr>
        <w:t>六、事件传导关联（CMJ 先行 → ZZJ 跟随）</w:t>
      </w:r>
    </w:p>
    <w:p>
      <w:r>
        <w:rPr>
          <w:rFonts w:ascii="Calibri" w:hAnsi="Calibri" w:eastAsia="微软雅黑"/>
          <w:b w:val="0"/>
          <w:sz w:val="21"/>
        </w:rPr>
        <w:t>阶段二单设备异常事件（merged_events）跨设备时间对齐，验证"上游先行 → 下游跟随"方向假设：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传导率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中位滞后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CMJ → ZZJ</w:t>
            </w:r>
            <w:r>
              <w:rPr>
                <w:rFonts w:ascii="Calibri" w:hAnsi="Calibri" w:eastAsia="微软雅黑"/>
                <w:b w:val="0"/>
                <w:sz w:val="20"/>
              </w:rPr>
              <w:t>（假设方向）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22.14%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ZZJ → CMJ（反向）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15.45%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</w:tr>
    </w:tbl>
    <w:p/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方向结论</w:t>
      </w:r>
      <w:r>
        <w:rPr>
          <w:rFonts w:ascii="Calibri" w:hAnsi="Calibri" w:eastAsia="微软雅黑"/>
          <w:b w:val="0"/>
          <w:color w:val="595959"/>
          <w:sz w:val="20"/>
        </w:rPr>
        <w:t>：CMJ 先行 → ZZJ 跟随 传导率显著高于反向（22.14% vs 15.45%），且中位滞后 4 分钟与煤流物理传播时间量级吻合——"上游事件驱动下游事件"的传导假设成立。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34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关联时间线_错配案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34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  <w:t>图 2</w:t>
      </w:r>
      <w:r>
        <w:rPr>
          <w:rFonts w:ascii="Calibri" w:hAnsi="Calibri" w:eastAsia="微软雅黑"/>
          <w:b w:val="0"/>
          <w:sz w:val="21"/>
        </w:rPr>
        <w:t>：04-15 错配案例双设备时间线。红区 = 错配事件区间：上游 CMJ 速度/电流持续活跃，下游 ZZJ 电流≈0——"上游在割、下游不接"的断流铁证。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39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产量负载散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  <w:t>图 3</w:t>
      </w:r>
      <w:r>
        <w:rPr>
          <w:rFonts w:ascii="Calibri" w:hAnsi="Calibri" w:eastAsia="微软雅黑"/>
          <w:b w:val="0"/>
          <w:sz w:val="21"/>
        </w:rPr>
        <w:t>：产量-负载散点。左：生产运行域 ZZJ 电流挤在 80~86A 恒流带，与上游速度无关（恒流控制直接可视）；右：错配域上游高速割煤但下游电流≈0（关联异常）。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7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事件传导滞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7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  <w:t>图 4</w:t>
      </w:r>
      <w:r>
        <w:rPr>
          <w:rFonts w:ascii="Calibri" w:hAnsi="Calibri" w:eastAsia="微软雅黑"/>
          <w:b w:val="0"/>
          <w:sz w:val="21"/>
        </w:rPr>
        <w:t>：CMJ → ZZJ 事件传导滞后分布。中位滞后约 4 分钟，与煤流从采煤机到转载机的物理传播时间量级一致。</w:t>
      </w:r>
    </w:p>
    <w:p>
      <w:r>
        <w:rPr>
          <w:rFonts w:ascii="Calibri" w:hAnsi="Calibri" w:eastAsia="微软雅黑"/>
          <w:b/>
          <w:color w:val="1F4E79"/>
          <w:sz w:val="30"/>
        </w:rPr>
        <w:t>七、总结与下一步</w:t>
      </w:r>
    </w:p>
    <w:p>
      <w:r>
        <w:rPr>
          <w:rFonts w:ascii="Calibri" w:hAnsi="Calibri" w:eastAsia="微软雅黑"/>
          <w:b w:val="0"/>
          <w:sz w:val="21"/>
        </w:rPr>
        <w:t>本阶段结论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ZZJ 恒流控制 → 幅度层耦合不可学（R² ≈ 0），已诚实报告，避免用假回归掩盖真相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耦合真身在</w:t>
      </w:r>
      <w:r>
        <w:rPr>
          <w:rFonts w:ascii="Calibri" w:hAnsi="Calibri" w:eastAsia="微软雅黑"/>
          <w:b w:val="0"/>
          <w:sz w:val="21"/>
        </w:rPr>
        <w:t>二元开关层</w:t>
      </w:r>
      <w:r>
        <w:rPr>
          <w:rFonts w:ascii="Calibri" w:hAnsi="Calibri" w:eastAsia="微软雅黑"/>
          <w:b w:val="0"/>
          <w:sz w:val="21"/>
        </w:rPr>
        <w:t xml:space="preserve">（割煤↔带载 96.6%）→ 主检测器 = </w:t>
      </w:r>
      <w:r>
        <w:rPr>
          <w:rFonts w:ascii="Calibri" w:hAnsi="Calibri" w:eastAsia="微软雅黑"/>
          <w:b w:val="0"/>
          <w:sz w:val="21"/>
        </w:rPr>
        <w:t>联合工况规则事件</w:t>
      </w:r>
      <w:r>
        <w:rPr>
          <w:rFonts w:ascii="Calibri" w:hAnsi="Calibri" w:eastAsia="微软雅黑"/>
          <w:b w:val="0"/>
          <w:sz w:val="21"/>
        </w:rPr>
        <w:t>（错配 123 段 / 余流 1532 段）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 xml:space="preserve">04-15 案例 </w:t>
      </w:r>
      <w:r>
        <w:rPr>
          <w:rFonts w:ascii="Calibri" w:hAnsi="Calibri" w:eastAsia="微软雅黑"/>
          <w:b w:val="0"/>
          <w:sz w:val="21"/>
        </w:rPr>
        <w:t>309 分钟连续错配</w:t>
      </w:r>
      <w:r>
        <w:rPr>
          <w:rFonts w:ascii="Calibri" w:hAnsi="Calibri" w:eastAsia="微软雅黑"/>
          <w:b w:val="0"/>
          <w:sz w:val="21"/>
        </w:rPr>
        <w:t>为显著风险信号，值得深入核查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跨设备 Mahalanobis 剔除恒量特征后与规则事件互相印证（95% 异常落在物理不匹配域）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事件传导确认方向：</w:t>
      </w:r>
      <w:r>
        <w:rPr>
          <w:rFonts w:ascii="Calibri" w:hAnsi="Calibri" w:eastAsia="微软雅黑"/>
          <w:b w:val="0"/>
          <w:sz w:val="21"/>
        </w:rPr>
        <w:t>CMJ 先行 → ZZJ 跟随</w:t>
      </w:r>
      <w:r>
        <w:rPr>
          <w:rFonts w:ascii="Calibri" w:hAnsi="Calibri" w:eastAsia="微软雅黑"/>
          <w:b w:val="0"/>
          <w:sz w:val="21"/>
        </w:rPr>
        <w:t>（22.14% vs 15.45%，中位滞后 4min）</w:t>
      </w:r>
    </w:p>
    <w:p>
      <w:r>
        <w:rPr>
          <w:rFonts w:ascii="Calibri" w:hAnsi="Calibri" w:eastAsia="微软雅黑"/>
          <w:b w:val="0"/>
          <w:sz w:val="21"/>
        </w:rPr>
        <w:t>下一步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对 04-15 长时错配做人工核查（是否有设备故障记录佐证）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错配/余流事件与维修工单时间对齐，验证检测精度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完善周报，合并小组其他成员成果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