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Microsoft YaHei" w:hAnsi="Microsoft YaHei" w:eastAsia="Microsoft YaHei"/>
          <w:b/>
          <w:color w:val="1F548D"/>
          <w:sz w:val="44"/>
        </w:rPr>
        <w:t>AgriShield Agent</w:t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/>
          <w:sz w:val="34"/>
        </w:rPr>
        <w:t>农业保险灾后查勘与定损辅助系统</w:t>
      </w:r>
    </w:p>
    <w:p>
      <w:pPr>
        <w:spacing w:before="0" w:after="360" w:line="240" w:lineRule="auto"/>
        <w:jc w:val="center"/>
      </w:pPr>
      <w:r>
        <w:rPr>
          <w:rFonts w:ascii="Microsoft YaHei" w:hAnsi="Microsoft YaHei" w:eastAsia="Microsoft YaHei"/>
          <w:b w:val="0"/>
          <w:color w:val="5F5F5F"/>
          <w:sz w:val="25"/>
        </w:rPr>
        <w:t>MVP 精细化实施规格书（Agent 受控版）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文档属性</w:t>
            </w:r>
          </w:p>
        </w:tc>
        <w:tc>
          <w:tcPr>
            <w:tcW w:type="dxa" w:w="4872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文档用途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作为项目立项、产品设计、Agent 约束、开发执行和试点验收的统一基线文件。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适用对象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业务负责人、产品经理、后端/前端/算法工程师、测试人员、试点运营人员。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控制目标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 Agent 限定为受控调度器，减少自由发挥，确保业务流程、数值结果和输出格式可追溯。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MVP 主线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只聚焦灾后查勘与定损辅助，不承诺自动赔付、承保定价和全灾种全流程覆盖。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一、文档目标与控制原则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本规格书不是宣传材料，而是执行控制文件。项目后续无论由人工团队实现，还是由代码 Agent 协助实现，都必须以本文件作为边界定义、接口依据和验收基线。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控制原则的核心是：业务边界先定死，工具接口先定死，Agent 能做什么和不能做什么先定死，所有自动化结果必须落到“可复核的计算结果 + 可解释的业务规则 + 人工审核签字”三层闭环。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先固定主场景：灾后查勘与定损辅助。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先固定主流程：报案、资料校验、识别、核验、规则判断、报告、审核、归档。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先固定主工具：空间计算、影像识别、规则引擎、报告引擎，不允许 Agent 自创工具链。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先固定输出格式：结构化 JSON、标准化表单、固定模板报告。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二、项目定位、范围与非目标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项目定位：建设一个面向农业保险理赔场景的灾后查勘与定损辅助系统，为查勘员和审核人员提供案件管理、影像分析、空间核验、规则判断、报告生成和审计留痕能力。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D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类别</w:t>
            </w:r>
          </w:p>
        </w:tc>
        <w:tc>
          <w:tcPr>
            <w:tcW w:type="dxa" w:w="3248"/>
            <w:shd w:fill="D9EAD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纳入范围</w:t>
            </w:r>
          </w:p>
        </w:tc>
        <w:tc>
          <w:tcPr>
            <w:tcW w:type="dxa" w:w="3248"/>
            <w:shd w:fill="D9EAD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明确排除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业务范围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报案后的查勘与定损辅助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承保前动态定价、自动赔付、资金清算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灾种范围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优先支持洪涝，可预留倒伏扩展位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同时覆盖所有灾种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终端范围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Web 管理端为主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首期就上线移动端 App、监管大屏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智能化范围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 做受控调度和文案整理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 自主决策面积、金额、赔付结论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区域范围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至 2 个试点区域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全国统一铺开</w:t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MVP 的成功标准不是“概念完整”，而是“真实案件链路可跑通”。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凡是不能在 2 至 3 个月内形成稳定试点结果的能力，都不应进入首期强承诺。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三、角色分工与责任边界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核心职责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不可替代的责任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查勘员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提交案件基础资料、上传现场影像、补充查勘说明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保证现场资料真实性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理赔审核人员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复核识别结果、确认定损建议、签署审核结论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对最终业务结论负责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系统后端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流程编排、权限控制、日志记录、接口管理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保证流程可控和数据一致性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算法服务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输出识别结果和空间计算结果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保证模型版本、参数和结果可追溯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解析任务、补齐缺失项提示、调用已注册工具、组装报告草稿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不得越权计算和决策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四、端到端业务流程与阶段关卡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首期系统必须按照固定状态机运行，不允许 Agent 任意跳步。建议案件生命周期定义为：`INIT -&gt; MATERIAL_CHECK -&gt; PREPROCESS_READY -&gt; SCREENING_DONE -&gt; UAV_DONE(optional) -&gt; COMPLIANCE_DONE -&gt; RULE_DONE -&gt; REPORT_DRAFTED -&gt; HUMAN_REVIEW -&gt; ARCHIVED`。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1949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输入</w:t>
            </w:r>
          </w:p>
        </w:tc>
        <w:tc>
          <w:tcPr>
            <w:tcW w:type="dxa" w:w="1949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系统动作</w:t>
            </w:r>
          </w:p>
        </w:tc>
        <w:tc>
          <w:tcPr>
            <w:tcW w:type="dxa" w:w="1949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人工关卡</w:t>
            </w:r>
          </w:p>
        </w:tc>
        <w:tc>
          <w:tcPr>
            <w:tcW w:type="dxa" w:w="1949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通过条件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 报案建案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保单号、地块、灾害时间、作物类型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创建案件、分配案件编号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人工确认基础案件信息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案件主键建立，状态进入 MATERIAL_CHECK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2. 资料完整性校验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边界文件、现场照片、无人机影像（可选）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检查必填字段和文件可读性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人工补传缺失材料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必填字段齐全，影像可读取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3. 数据预处理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边界、影像、时空范围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统一坐标、去重、裁剪、生成索引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异常文件人工确认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进入 PREPROCESS_READY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4. 卫星初筛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试点区域遥感数据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生成疑似受灾范围和异常区域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人工决定是否进入精查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完成 SCREENING_DONE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5. 无人机精查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DOM 影像、查勘备注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提取细粒度受灾区域或实际种植边界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人工确认影像质量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完成 UAV_DONE 或跳过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6. 合规面积核验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受灾区域、多边形红线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做求交、剔除越界、计算面积和比例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COMPLIANCE_DONE 且结果入库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7. 规则判断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面积比例、灾种、地块属性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输出建议等级和复核提示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高风险案件必须复核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RULE_DONE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 报告生成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案件信息、证据、规则结果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生成标准化报告草稿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人工审阅报告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REPORT_DRAFTED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 人工审核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报告草稿、原始证据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留痕记录审核动作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审核人签字或驳回</w:t>
            </w:r>
          </w:p>
        </w:tc>
        <w:tc>
          <w:tcPr>
            <w:tcW w:type="dxa" w:w="1949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通过后 ARCHIVED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五、功能模块详细规格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关键输入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控制要求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 保单与地块管理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保单号、农户、作物、保额、承保边界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支持导入/编辑/锁定承保红线；记录地块版本号；禁止无审批修改历史边界。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2. 案件管理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案件号、报案时间、灾害类型、状态、责任人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支持建案、转派、退回、关闭；状态机不可跳级。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3. 资料采集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边界文件、遥感结果、无人机影像、照片、备注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对文件格式、时间、空间范围进行校验；不合格资料必须阻断后续步骤。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4. 遥感初筛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区域、时间窗、灾种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输出疑似受灾多边形、初筛置信度、参考底图；结果只作为辅助，不直接定损。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5. 无人机精查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DOM 影像、查勘说明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提取精细受灾范围、实际种植边界、可疑区域标注；无法识别时必须回退人工判读。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6. 合规核验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识别结果、承保红线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求交、面积统计、越界剔除、面积口径统一；这是首期最关键的可信计算模块。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7. 规则引擎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受损比例、灾种、作物、金额阈值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输出建议等级、是否升级人工复核、报告提示语；规则应配置化。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 报告引擎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案件基础信息、地图、图像、规则结果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输出固定模板 Word/PDF 报告，字段来源必须可追踪到数据表或工具结果。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 审计与归档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操作日志、模型版本、审批记录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支持审计查询、案件回放、版本追踪；任何自动结果都必须留下来源。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六、Agent 受控设计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Agent 在本项目中的唯一合理定位，是“受控调度器 + 交互整理器”，而不是“自由决策者”。它负责理解用户请求、补齐缺失信息提示、调用白名单工具、汇编结果草稿，但不得直接生成关键业务数值。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F4CC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控制项</w:t>
            </w:r>
          </w:p>
        </w:tc>
        <w:tc>
          <w:tcPr>
            <w:tcW w:type="dxa" w:w="3248"/>
            <w:shd w:fill="F4CC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必须执行</w:t>
            </w:r>
          </w:p>
        </w:tc>
        <w:tc>
          <w:tcPr>
            <w:tcW w:type="dxa" w:w="3248"/>
            <w:shd w:fill="F4CC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严格禁止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工具使用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仅能调用注册工具，并按 JSON 参数契约传参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调用未注册工具、拼接隐式命令、自由联网求值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数值处理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原样引用工具返回值并标注来源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自行估算面积、金额、比例、等级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流程控制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按状态机推进，缺资料时阻断并追问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跳过 MATERIAL_CHECK 或 HUMAN_REVIEW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文案生成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把结构化结果整理成报告草稿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擅自改写关键数值、弱化风险提示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异常处理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工具失败时返回标准错误码并请求人工处理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连续盲重试、替代计算、绕开失败节点</w:t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Agent 每次输出都必须包含当前案件状态、缺失字段列表、下一步动作、调用工具名、工具参数摘要。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当保单号、承保边界、灾害时间、作物类型中任一关键字段缺失时，Agent 只能追问，不能下钻调用识别工具。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Agent 的所有 tool call 必须写入审计日志，记录 prompt 版本、参数、返回值摘要和耗时。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七、Agent Prompt 与响应契约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建议将 Agent 的系统提示词固定为规则文档，而不是自然语言散写。系统提示词至少应包含角色定义、允许动作、禁止动作、状态机约束、工具白名单和响应 JSON 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case_id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案件唯一标识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state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当前状态，必须属于已定义状态机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missing_fields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仍缺失的关键字段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next_action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ASK_USER / CALL_TOOL / WAIT_REVIEW / GENERATE_REPORT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tool_name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string|null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 next_action 为 CALL_TOOL 时必填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tool_args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object|null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工具参数对象，必须符合固定 schema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notes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给人工或系统的简短说明，不得包含自由估算</w:t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响应必须优先结构化，禁止先写大段自由文本再夹带指令。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报告草稿中的数值字段必须带来源标签，例如“受灾面积来源：compliance_result.valid_damage_area_mu”。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八、核心工具与接口契约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接口/工具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输入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输出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约束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create_claim()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保单号、报案时间、灾种、地块编号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claim_id、state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缺少保单号时不得建案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validate_materials()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claim_id、文件清单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missing_fields、file_errors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返回缺失项而不是自动忽略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run_satellite_screening()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claim_id、time_window、plot_geom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suspected_damage_geom、confidence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输出只作初筛参考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run_uav_analysis()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claim_id、dom_asset_id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damage_mask、planting_boundary、quality_flag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quality_flag 异常时不得进入核验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run_compliance_calc()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claim_id、damage_geom、insured_geom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valid_damage_area、damage_ratio、clip_log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必须输出剔除日志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run_rule_engine()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claim_id、damage_ratio、crop_type、threshold_set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risk_level、review_required、rule_trace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规则版本号必须回写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generate_report()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claim_id、sections、assets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report_docx_url、report_pdf_url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报告模板必须固定版本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九、数据模型最小集合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为了控制实现复杂度，首期只定义最小必要数据模型，不做过度泛化。以下字段为建议的最小集合，后续可在不破坏兼容性的前提下扩展。</w:t>
      </w:r>
    </w:p>
    <w:p>
      <w:pPr>
        <w:pStyle w:val="Heading2"/>
        <w:spacing w:before="60" w:after="60" w:line="288" w:lineRule="auto"/>
      </w:pPr>
      <w:r>
        <w:rPr>
          <w:rFonts w:ascii="Microsoft YaHei" w:hAnsi="Microsoft YaHei" w:eastAsia="Microsoft YaHei"/>
          <w:b/>
          <w:sz w:val="24"/>
        </w:rPr>
        <w:t>1. claim_case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案件主键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policy_id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关联保单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disaster_type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首期至少支持 flood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loss_date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灾害发生日期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state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状态机字段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assignee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当前处理人</w:t>
            </w:r>
          </w:p>
        </w:tc>
      </w:tr>
    </w:tbl>
    <w:p>
      <w:pPr>
        <w:pStyle w:val="Heading2"/>
        <w:spacing w:before="60" w:after="60" w:line="288" w:lineRule="auto"/>
      </w:pPr>
      <w:r>
        <w:rPr>
          <w:rFonts w:ascii="Microsoft YaHei" w:hAnsi="Microsoft YaHei" w:eastAsia="Microsoft YaHei"/>
          <w:b/>
          <w:sz w:val="24"/>
        </w:rPr>
        <w:t>2. insured_plot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plot_id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地块主键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policy_id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所属保单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crop_type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作物类型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insured_area_mu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投保面积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insured_geom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geometry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承保红线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geom_version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边界版本</w:t>
            </w:r>
          </w:p>
        </w:tc>
      </w:tr>
    </w:tbl>
    <w:p>
      <w:pPr>
        <w:pStyle w:val="Heading2"/>
        <w:spacing w:before="60" w:after="60" w:line="288" w:lineRule="auto"/>
      </w:pPr>
      <w:r>
        <w:rPr>
          <w:rFonts w:ascii="Microsoft YaHei" w:hAnsi="Microsoft YaHei" w:eastAsia="Microsoft YaHei"/>
          <w:b/>
          <w:sz w:val="24"/>
        </w:rPr>
        <w:t>3. asset_file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asset_id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文件主键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所属案件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asset_type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photo/dom/satellite/result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storage_url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对象存储地址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capture_time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采集时间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quality_flag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质量结果</w:t>
            </w:r>
          </w:p>
        </w:tc>
      </w:tr>
    </w:tbl>
    <w:p>
      <w:pPr>
        <w:pStyle w:val="Heading2"/>
        <w:spacing w:before="60" w:after="60" w:line="288" w:lineRule="auto"/>
      </w:pPr>
      <w:r>
        <w:rPr>
          <w:rFonts w:ascii="Microsoft YaHei" w:hAnsi="Microsoft YaHei" w:eastAsia="Microsoft YaHei"/>
          <w:b/>
          <w:sz w:val="24"/>
        </w:rPr>
        <w:t>4. analysis_result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result_id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结果主键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所属案件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result_type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screening/uav/compliance/rule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result_json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json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结构化结果体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model_or_rule_version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版本号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生成时间</w:t>
            </w:r>
          </w:p>
        </w:tc>
      </w:tr>
    </w:tbl>
    <w:p>
      <w:pPr>
        <w:pStyle w:val="Heading2"/>
        <w:spacing w:before="60" w:after="60" w:line="288" w:lineRule="auto"/>
      </w:pPr>
      <w:r>
        <w:rPr>
          <w:rFonts w:ascii="Microsoft YaHei" w:hAnsi="Microsoft YaHei" w:eastAsia="Microsoft YaHei"/>
          <w:b/>
          <w:sz w:val="24"/>
        </w:rPr>
        <w:t>5. audit_log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2436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log_id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日志主键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claim_id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actor_type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enum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human/system/agent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action_name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动作名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payload_summary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摘要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操作时间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十、规则引擎与审核升级规则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规则引擎必须与模型识别解耦。模型只输出几何或分类结果，规则引擎依据业务配置表输出建议等级和人工复核要求。这样可以避免把业务政策写死在模型里。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规则项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建议口径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控制要求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受损面积比例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valid_damage_area / insured_area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比例口径统一，禁止 Agent 自己换算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高风险触发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受损比例高于阈值或预估金额高于阈值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必须升级人工复核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材料异常触发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影像缺失、质量差、边界冲突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不得自动出具通过结论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规则版本管理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每次执行记录 rule_version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报告中必须展示版本号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人工改判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允许审核人改判并写明原因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改判必须留痕且不可覆盖原结果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十一、前后端与交互要求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界面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必须具备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不做或延后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案件列表页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按状态筛选、按区域筛选、按责任人筛选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复杂 BI 看板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案件详情页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基础信息、地块地图、文件区、分析结果区、报告区、日志区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多主题定制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审核页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通过、驳回、改判、备注、签字留痕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自动电子签章集成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地图页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承保红线、识别范围、求交结果叠加展示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三维地图和实时流媒体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十二、研发阶段划分与交付清单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周期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目标</w:t>
            </w:r>
          </w:p>
        </w:tc>
        <w:tc>
          <w:tcPr>
            <w:tcW w:type="dxa" w:w="2436"/>
            <w:shd w:fill="FFF2C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交付物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 0：需求冻结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1-2 周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确认试点区域、灾种、字段、状态机、报告模板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需求规格书、字段字典、流程图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 1：底座建设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2-3 周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完成案件、保单、地块、文件、日志模型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数据库脚本、基础 API、对象存储方案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 2：核心链路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3-4 周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完成初筛、核验、规则、报告主链路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可跑通的 MVP 服务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 3：Agent 接入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1-2 周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接入受控调度 Agent，打通结构化响应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Prompt 版本、工具注册表、日志追踪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 4：试点与修正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2-4 周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真实案件试点、回收问题、收敛规则</w:t>
            </w:r>
          </w:p>
        </w:tc>
        <w:tc>
          <w:tcPr>
            <w:tcW w:type="dxa" w:w="2436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试点报告、问题清单、二期建议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十三、验收标准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验收维度</w:t>
            </w:r>
          </w:p>
        </w:tc>
        <w:tc>
          <w:tcPr>
            <w:tcW w:type="dxa" w:w="4872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最低要求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功能验收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从建案到归档的主流程可在测试环境完整跑通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关键字段齐全，缺失字段能被系统拦截而不是静默通过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空间验收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承保边界外区域可被稳定剔除，面积计算口径一致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规则验收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同一案件重复执行规则引擎结果一致，规则版本可追溯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 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 不出现越权计算、跳步调用、绕开审核的行为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报告验收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报告字段完整、格式统一、关键数值可追溯到原始结果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审计验收</w:t>
            </w:r>
          </w:p>
        </w:tc>
        <w:tc>
          <w:tcPr>
            <w:tcW w:type="dxa" w:w="4872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关键操作均有日志，支持按案件回放执行过程</w:t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建议额外准备 10 至 20 个金标测试案件，用于验证 Agent 是否严格服从流程和字段约束。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每次 Prompt、规则或模型变更后，必须跑回归案例集，不能直接上线。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十四、项目风险与缓解措施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风险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表现</w:t>
            </w:r>
          </w:p>
        </w:tc>
        <w:tc>
          <w:tcPr>
            <w:tcW w:type="dxa" w:w="3248"/>
            <w:shd w:fill="DCE6F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缓解措施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地块底图质量差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红线错误导致核验结果失真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先做边界清洗和版本管理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影像质量不稳定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无人机模糊或时效不足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增加 quality_flag 和人工回退策略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Agent 自由发挥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越权推断、篡改数值、跳步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白名单工具 + 状态机 + JSON 契约 + 强审计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规则频繁变动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业务口径不一致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把阈值和规则版本配置化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试点样本不足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模型效果无法稳评估</w:t>
            </w:r>
          </w:p>
        </w:tc>
        <w:tc>
          <w:tcPr>
            <w:tcW w:type="dxa" w:w="3248"/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先收集样本和人工判读基线</w:t>
            </w:r>
          </w:p>
        </w:tc>
      </w:tr>
    </w:tbl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十五、对实际开发的控制建议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如果项目要由 Agent 深度参与实现，建议把控制再前置到工程治理层，而不是只依赖一段 Prompt。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建立工具注册表。每个工具必须有唯一名字、输入 schema、输出 schema、错误码定义。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建立流程配置表。案件状态机、允许迁移路径、人工审批点不能只写在 prompt 里。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建立规则配置库。面积阈值、升级条件、文案模板、报告模板全部版本化。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建立回归案例集。每次 Agent prompt 或工具逻辑变更都跑固定案例。</w:t>
      </w:r>
    </w:p>
    <w:p>
      <w:pPr>
        <w:pStyle w:val="ListNumber"/>
        <w:spacing w:before="0"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建立审计面板。任何一次 Agent 调用都能追溯到参数、工具、结果和人工确认动作。</w:t>
      </w:r>
    </w:p>
    <w:p>
      <w:pPr>
        <w:pStyle w:val="Heading1"/>
        <w:spacing w:before="120" w:after="120" w:line="288" w:lineRule="auto"/>
      </w:pPr>
      <w:r>
        <w:rPr>
          <w:rFonts w:ascii="Microsoft YaHei" w:hAnsi="Microsoft YaHei" w:eastAsia="Microsoft YaHei"/>
          <w:b/>
          <w:color w:val="1F548D"/>
          <w:sz w:val="30"/>
        </w:rPr>
        <w:t>十六、结论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本项目要想真正受控，关键不是把 Agent 写得更“聪明”，而是把 Agent 放在更“窄”的轨道里运行。只要把业务范围、状态机、工具契约、规则口径和人工审核点先固定住，Agent 就只能在你允许的范围内工作。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因此，建议以本规格书为首期唯一基线文件推进开发：先做受控 MVP，再逐步扩展智能化深度，而不是一开始就追求复杂的自主 Agent。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5F5F5F"/>
        <w:sz w:val="18"/>
      </w:rPr>
      <w:t>AgriShield Agent MVP 精细化实施规格书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