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第2.7.3項 臨床的有効性の概要</w:t>
      </w:r>
    </w:p>
    <w:p>
      <w:r>
        <w:rPr>
          <w:sz w:val="22"/>
        </w:rPr>
        <w:t>本項では、DBX-101 (開発コード) の臨床開発プログラムにおいて実施された主要な有効性試験の結果を要約する。本要約は、ICH M4E (R2) Common Technical Document ガイドラインに基づいて作成されている。</w:t>
      </w:r>
    </w:p>
    <w:p>
      <w:pPr>
        <w:pStyle w:val="Heading1"/>
      </w:pPr>
      <w:r>
        <w:t>1. 臨床開発プログラムの背景</w:t>
      </w:r>
    </w:p>
    <w:p>
      <w:r>
        <w:rPr>
          <w:sz w:val="22"/>
        </w:rPr>
        <w:t>DBX-101 の臨床開発は、2022 年 4 月に第 I 相試験 (DBX101-JP-001) が日本で開始された。第 I 相試験では、単回投与および反復投与時の安全性、忍容性、および薬物動態が評価された。その結果、100 mg および 200 mg 用量で忍容性が確認され、第 II 相試験の推奨用量として設定された。</w:t>
      </w:r>
    </w:p>
    <w:p>
      <w:r>
        <w:rPr>
          <w:sz w:val="22"/>
        </w:rPr>
        <w:t>続いて 2023 年 3 月には、対象疾患を有する患者を対象とした無作為化二重盲検比較試験 (DBX101-JP-002) が開始された。同時に、対象疾患のサブタイプに対する単群非盲検試験 (DBX101-GLB-003) が国際共同試験として開始された。</w:t>
      </w:r>
    </w:p>
    <w:p>
      <w:pPr>
        <w:pStyle w:val="Heading1"/>
      </w:pPr>
      <w:r>
        <w:t>2. 個別試験の概要</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vAlign w:val="center"/>
          </w:tcPr>
          <w:p>
            <w:r>
              <w:rPr>
                <w:b/>
                <w:sz w:val="20"/>
              </w:rPr>
              <w:t>試験番号</w:t>
            </w:r>
          </w:p>
        </w:tc>
        <w:tc>
          <w:tcPr>
            <w:tcW w:type="dxa" w:w="1234"/>
            <w:shd w:val="clear" w:color="auto" w:fill="D9E2F3"/>
            <w:vAlign w:val="center"/>
          </w:tcPr>
          <w:p>
            <w:r>
              <w:rPr>
                <w:b/>
                <w:sz w:val="20"/>
              </w:rPr>
              <w:t>相</w:t>
            </w:r>
          </w:p>
        </w:tc>
        <w:tc>
          <w:tcPr>
            <w:tcW w:type="dxa" w:w="1234"/>
            <w:shd w:val="clear" w:color="auto" w:fill="D9E2F3"/>
            <w:vAlign w:val="center"/>
          </w:tcPr>
          <w:p>
            <w:r>
              <w:rPr>
                <w:b/>
                <w:sz w:val="20"/>
              </w:rPr>
              <w:t>デザイン</w:t>
            </w:r>
          </w:p>
        </w:tc>
        <w:tc>
          <w:tcPr>
            <w:tcW w:type="dxa" w:w="1234"/>
            <w:shd w:val="clear" w:color="auto" w:fill="D9E2F3"/>
            <w:vAlign w:val="center"/>
          </w:tcPr>
          <w:p>
            <w:r>
              <w:rPr>
                <w:b/>
                <w:sz w:val="20"/>
              </w:rPr>
              <w:t>対象</w:t>
            </w:r>
          </w:p>
        </w:tc>
        <w:tc>
          <w:tcPr>
            <w:tcW w:type="dxa" w:w="1234"/>
            <w:shd w:val="clear" w:color="auto" w:fill="D9E2F3"/>
            <w:vAlign w:val="center"/>
          </w:tcPr>
          <w:p>
            <w:r>
              <w:rPr>
                <w:b/>
                <w:sz w:val="20"/>
              </w:rPr>
              <w:t>登録数</w:t>
            </w:r>
          </w:p>
        </w:tc>
        <w:tc>
          <w:tcPr>
            <w:tcW w:type="dxa" w:w="1234"/>
            <w:shd w:val="clear" w:color="auto" w:fill="D9E2F3"/>
            <w:vAlign w:val="center"/>
          </w:tcPr>
          <w:p>
            <w:r>
              <w:rPr>
                <w:b/>
                <w:sz w:val="20"/>
              </w:rPr>
              <w:t>主要評価項目</w:t>
            </w:r>
          </w:p>
        </w:tc>
        <w:tc>
          <w:tcPr>
            <w:tcW w:type="dxa" w:w="1234"/>
            <w:shd w:val="clear" w:color="auto" w:fill="D9E2F3"/>
            <w:vAlign w:val="center"/>
          </w:tcPr>
          <w:p>
            <w:r>
              <w:rPr>
                <w:b/>
                <w:sz w:val="20"/>
              </w:rPr>
              <w:t>実施期間</w:t>
            </w:r>
          </w:p>
        </w:tc>
      </w:tr>
      <w:tr>
        <w:tc>
          <w:tcPr>
            <w:tcW w:type="dxa" w:w="1234"/>
            <w:vAlign w:val="center"/>
          </w:tcPr>
          <w:p>
            <w:r>
              <w:rPr>
                <w:sz w:val="20"/>
              </w:rPr>
              <w:t>DBX101-JP-001</w:t>
            </w:r>
          </w:p>
        </w:tc>
        <w:tc>
          <w:tcPr>
            <w:tcW w:type="dxa" w:w="1234"/>
            <w:vAlign w:val="center"/>
          </w:tcPr>
          <w:p>
            <w:r>
              <w:rPr>
                <w:sz w:val="20"/>
              </w:rPr>
              <w:t>第I相</w:t>
            </w:r>
          </w:p>
        </w:tc>
        <w:tc>
          <w:tcPr>
            <w:tcW w:type="dxa" w:w="1234"/>
            <w:vAlign w:val="center"/>
          </w:tcPr>
          <w:p>
            <w:r>
              <w:rPr>
                <w:sz w:val="20"/>
              </w:rPr>
              <w:t>非盲検 用量漸増</w:t>
            </w:r>
          </w:p>
        </w:tc>
        <w:tc>
          <w:tcPr>
            <w:tcW w:type="dxa" w:w="1234"/>
            <w:vAlign w:val="center"/>
          </w:tcPr>
          <w:p>
            <w:r>
              <w:rPr>
                <w:sz w:val="20"/>
              </w:rPr>
              <w:t>進行固形癌</w:t>
            </w:r>
          </w:p>
        </w:tc>
        <w:tc>
          <w:tcPr>
            <w:tcW w:type="dxa" w:w="1234"/>
            <w:vAlign w:val="center"/>
          </w:tcPr>
          <w:p>
            <w:r>
              <w:rPr>
                <w:sz w:val="20"/>
              </w:rPr>
              <w:t>18</w:t>
            </w:r>
          </w:p>
        </w:tc>
        <w:tc>
          <w:tcPr>
            <w:tcW w:type="dxa" w:w="1234"/>
            <w:vAlign w:val="center"/>
          </w:tcPr>
          <w:p>
            <w:r>
              <w:rPr>
                <w:sz w:val="20"/>
              </w:rPr>
              <w:t>最大耐用量</w:t>
            </w:r>
          </w:p>
        </w:tc>
        <w:tc>
          <w:tcPr>
            <w:tcW w:type="dxa" w:w="1234"/>
            <w:vAlign w:val="center"/>
          </w:tcPr>
          <w:p>
            <w:r>
              <w:rPr>
                <w:sz w:val="20"/>
              </w:rPr>
              <w:t>2022-04 〜 2023-02</w:t>
            </w:r>
          </w:p>
        </w:tc>
      </w:tr>
      <w:tr>
        <w:tc>
          <w:tcPr>
            <w:tcW w:type="dxa" w:w="1234"/>
            <w:vAlign w:val="center"/>
          </w:tcPr>
          <w:p>
            <w:r>
              <w:rPr>
                <w:sz w:val="20"/>
              </w:rPr>
              <w:t>DBX101-JP-002</w:t>
            </w:r>
          </w:p>
        </w:tc>
        <w:tc>
          <w:tcPr>
            <w:tcW w:type="dxa" w:w="1234"/>
            <w:vAlign w:val="center"/>
          </w:tcPr>
          <w:p>
            <w:r>
              <w:rPr>
                <w:sz w:val="20"/>
              </w:rPr>
              <w:t>第II相</w:t>
            </w:r>
          </w:p>
        </w:tc>
        <w:tc>
          <w:tcPr>
            <w:tcW w:type="dxa" w:w="1234"/>
            <w:vAlign w:val="center"/>
          </w:tcPr>
          <w:p>
            <w:r>
              <w:rPr>
                <w:sz w:val="20"/>
              </w:rPr>
              <w:t>無作為化 二重盲検 比較</w:t>
            </w:r>
          </w:p>
        </w:tc>
        <w:tc>
          <w:tcPr>
            <w:tcW w:type="dxa" w:w="1234"/>
            <w:vAlign w:val="center"/>
          </w:tcPr>
          <w:p>
            <w:r>
              <w:rPr>
                <w:sz w:val="20"/>
              </w:rPr>
              <w:t>対象疾患</w:t>
            </w:r>
          </w:p>
        </w:tc>
        <w:tc>
          <w:tcPr>
            <w:tcW w:type="dxa" w:w="1234"/>
            <w:vAlign w:val="center"/>
          </w:tcPr>
          <w:p>
            <w:r>
              <w:rPr>
                <w:sz w:val="20"/>
              </w:rPr>
              <w:t>180</w:t>
            </w:r>
          </w:p>
        </w:tc>
        <w:tc>
          <w:tcPr>
            <w:tcW w:type="dxa" w:w="1234"/>
            <w:vAlign w:val="center"/>
          </w:tcPr>
          <w:p>
            <w:r>
              <w:rPr>
                <w:sz w:val="20"/>
              </w:rPr>
              <w:t>PFS</w:t>
            </w:r>
          </w:p>
        </w:tc>
        <w:tc>
          <w:tcPr>
            <w:tcW w:type="dxa" w:w="1234"/>
            <w:vAlign w:val="center"/>
          </w:tcPr>
          <w:p>
            <w:r>
              <w:rPr>
                <w:sz w:val="20"/>
              </w:rPr>
              <w:t>2023-03 〜 2026-04</w:t>
            </w:r>
          </w:p>
        </w:tc>
      </w:tr>
      <w:tr>
        <w:tc>
          <w:tcPr>
            <w:tcW w:type="dxa" w:w="1234"/>
            <w:vAlign w:val="center"/>
          </w:tcPr>
          <w:p>
            <w:r>
              <w:rPr>
                <w:sz w:val="20"/>
              </w:rPr>
              <w:t>DBX101-GLB-003</w:t>
            </w:r>
          </w:p>
        </w:tc>
        <w:tc>
          <w:tcPr>
            <w:tcW w:type="dxa" w:w="1234"/>
            <w:vAlign w:val="center"/>
          </w:tcPr>
          <w:p>
            <w:r>
              <w:rPr>
                <w:sz w:val="20"/>
              </w:rPr>
              <w:t>第II相</w:t>
            </w:r>
          </w:p>
        </w:tc>
        <w:tc>
          <w:tcPr>
            <w:tcW w:type="dxa" w:w="1234"/>
            <w:vAlign w:val="center"/>
          </w:tcPr>
          <w:p>
            <w:r>
              <w:rPr>
                <w:sz w:val="20"/>
              </w:rPr>
              <w:t>非盲検 単群</w:t>
            </w:r>
          </w:p>
        </w:tc>
        <w:tc>
          <w:tcPr>
            <w:tcW w:type="dxa" w:w="1234"/>
            <w:vAlign w:val="center"/>
          </w:tcPr>
          <w:p>
            <w:r>
              <w:rPr>
                <w:sz w:val="20"/>
              </w:rPr>
              <w:t>対象疾患サブタイプA</w:t>
            </w:r>
          </w:p>
        </w:tc>
        <w:tc>
          <w:tcPr>
            <w:tcW w:type="dxa" w:w="1234"/>
            <w:vAlign w:val="center"/>
          </w:tcPr>
          <w:p>
            <w:r>
              <w:rPr>
                <w:sz w:val="20"/>
              </w:rPr>
              <w:t>45</w:t>
            </w:r>
          </w:p>
        </w:tc>
        <w:tc>
          <w:tcPr>
            <w:tcW w:type="dxa" w:w="1234"/>
            <w:vAlign w:val="center"/>
          </w:tcPr>
          <w:p>
            <w:r>
              <w:rPr>
                <w:sz w:val="20"/>
              </w:rPr>
              <w:t>ORR</w:t>
            </w:r>
          </w:p>
        </w:tc>
        <w:tc>
          <w:tcPr>
            <w:tcW w:type="dxa" w:w="1234"/>
            <w:vAlign w:val="center"/>
          </w:tcPr>
          <w:p>
            <w:r>
              <w:rPr>
                <w:sz w:val="20"/>
              </w:rPr>
              <w:t>2023-05 〜 2026-05</w:t>
            </w:r>
          </w:p>
        </w:tc>
      </w:tr>
      <w:tr>
        <w:tc>
          <w:tcPr>
            <w:tcW w:type="dxa" w:w="1234"/>
            <w:vAlign w:val="center"/>
          </w:tcPr>
          <w:p>
            <w:r>
              <w:rPr>
                <w:sz w:val="20"/>
              </w:rPr>
              <w:t>DBX101-JP-004</w:t>
            </w:r>
          </w:p>
        </w:tc>
        <w:tc>
          <w:tcPr>
            <w:tcW w:type="dxa" w:w="1234"/>
            <w:vAlign w:val="center"/>
          </w:tcPr>
          <w:p>
            <w:r>
              <w:rPr>
                <w:sz w:val="20"/>
              </w:rPr>
              <w:t>第I/II相</w:t>
            </w:r>
          </w:p>
        </w:tc>
        <w:tc>
          <w:tcPr>
            <w:tcW w:type="dxa" w:w="1234"/>
            <w:vAlign w:val="center"/>
          </w:tcPr>
          <w:p>
            <w:r>
              <w:rPr>
                <w:sz w:val="20"/>
              </w:rPr>
              <w:t>併用療法 用量漸増</w:t>
            </w:r>
          </w:p>
        </w:tc>
        <w:tc>
          <w:tcPr>
            <w:tcW w:type="dxa" w:w="1234"/>
            <w:vAlign w:val="center"/>
          </w:tcPr>
          <w:p>
            <w:r>
              <w:rPr>
                <w:sz w:val="20"/>
              </w:rPr>
              <w:t>対象疾患 未治療</w:t>
            </w:r>
          </w:p>
        </w:tc>
        <w:tc>
          <w:tcPr>
            <w:tcW w:type="dxa" w:w="1234"/>
            <w:vAlign w:val="center"/>
          </w:tcPr>
          <w:p>
            <w:r>
              <w:rPr>
                <w:sz w:val="20"/>
              </w:rPr>
              <w:t>36</w:t>
            </w:r>
          </w:p>
        </w:tc>
        <w:tc>
          <w:tcPr>
            <w:tcW w:type="dxa" w:w="1234"/>
            <w:vAlign w:val="center"/>
          </w:tcPr>
          <w:p>
            <w:r>
              <w:rPr>
                <w:sz w:val="20"/>
              </w:rPr>
              <w:t>MTD + ORR</w:t>
            </w:r>
          </w:p>
        </w:tc>
        <w:tc>
          <w:tcPr>
            <w:tcW w:type="dxa" w:w="1234"/>
            <w:vAlign w:val="center"/>
          </w:tcPr>
          <w:p>
            <w:r>
              <w:rPr>
                <w:sz w:val="20"/>
              </w:rPr>
              <w:t>2024-06 〜 継続中</w:t>
            </w:r>
          </w:p>
        </w:tc>
      </w:tr>
      <w:tr>
        <w:tc>
          <w:tcPr>
            <w:tcW w:type="dxa" w:w="1234"/>
            <w:vAlign w:val="center"/>
          </w:tcPr>
          <w:p>
            <w:r>
              <w:rPr>
                <w:sz w:val="20"/>
              </w:rPr>
              <w:t>DBX101-JPN-005</w:t>
            </w:r>
          </w:p>
        </w:tc>
        <w:tc>
          <w:tcPr>
            <w:tcW w:type="dxa" w:w="1234"/>
            <w:vAlign w:val="center"/>
          </w:tcPr>
          <w:p>
            <w:r>
              <w:rPr>
                <w:sz w:val="20"/>
              </w:rPr>
              <w:t>特別調査</w:t>
            </w:r>
          </w:p>
        </w:tc>
        <w:tc>
          <w:tcPr>
            <w:tcW w:type="dxa" w:w="1234"/>
            <w:vAlign w:val="center"/>
          </w:tcPr>
          <w:p>
            <w:r>
              <w:rPr>
                <w:sz w:val="20"/>
              </w:rPr>
              <w:t>観察研究</w:t>
            </w:r>
          </w:p>
        </w:tc>
        <w:tc>
          <w:tcPr>
            <w:tcW w:type="dxa" w:w="1234"/>
            <w:vAlign w:val="center"/>
          </w:tcPr>
          <w:p>
            <w:r>
              <w:rPr>
                <w:sz w:val="20"/>
              </w:rPr>
              <w:t>対象疾患 (実診療下)</w:t>
            </w:r>
          </w:p>
        </w:tc>
        <w:tc>
          <w:tcPr>
            <w:tcW w:type="dxa" w:w="1234"/>
            <w:vAlign w:val="center"/>
          </w:tcPr>
          <w:p>
            <w:r>
              <w:rPr>
                <w:sz w:val="20"/>
              </w:rPr>
              <w:t>1,842</w:t>
            </w:r>
          </w:p>
        </w:tc>
        <w:tc>
          <w:tcPr>
            <w:tcW w:type="dxa" w:w="1234"/>
            <w:vAlign w:val="center"/>
          </w:tcPr>
          <w:p>
            <w:r>
              <w:rPr>
                <w:sz w:val="20"/>
              </w:rPr>
              <w:t>安全性・有効性</w:t>
            </w:r>
          </w:p>
        </w:tc>
        <w:tc>
          <w:tcPr>
            <w:tcW w:type="dxa" w:w="1234"/>
            <w:vAlign w:val="center"/>
          </w:tcPr>
          <w:p>
            <w:r>
              <w:rPr>
                <w:sz w:val="20"/>
              </w:rPr>
              <w:t>2024-08 〜 継続中</w:t>
            </w:r>
          </w:p>
        </w:tc>
      </w:tr>
    </w:tbl>
    <w:p/>
    <w:p>
      <w:pPr>
        <w:pStyle w:val="Heading1"/>
      </w:pPr>
      <w:r>
        <w:t>3. 主要有効性結果 — DBX101-JP-002 試験</w:t>
      </w:r>
    </w:p>
    <w:p>
      <w:r>
        <w:rPr>
          <w:sz w:val="22"/>
        </w:rPr>
        <w:t>本申請の主要な有効性データは、無作為化二重盲検比較試験である DBX101-JP-002 試験から得られた。本試験では、標準治療に不応または不耐となった対象疾患患者 180 例を、DBX-101 100 mg 群、DBX-101 200 mg 群、または対照群 (標準治療) に 1:1:1 で無作為に割付けた。</w:t>
      </w:r>
    </w:p>
    <w:p>
      <w:r>
        <w:rPr>
          <w:sz w:val="22"/>
        </w:rPr>
        <w:t>主要評価項目である独立中央判定 (BICR) に基づく無増悪生存期間 (PFS) の中央値は、DBX-101 高用量群で 10.4 か月 (95%CI: 8.6 - 12.1)、対照群で 6.5 か月 (95%CI: 5.2 - 7.8) であり、ハザード比 0.68 (95%CI: 0.55 - 0.84, 片側 p=0.0004) と統計学的に有意な延長が認められた。</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vAlign w:val="center"/>
          </w:tcPr>
          <w:p>
            <w:r>
              <w:rPr>
                <w:b/>
                <w:sz w:val="20"/>
              </w:rPr>
              <w:t>エンドポイント</w:t>
            </w:r>
          </w:p>
        </w:tc>
        <w:tc>
          <w:tcPr>
            <w:tcW w:type="dxa" w:w="1440"/>
            <w:shd w:val="clear" w:color="auto" w:fill="D9E2F3"/>
            <w:vAlign w:val="center"/>
          </w:tcPr>
          <w:p>
            <w:r>
              <w:rPr>
                <w:b/>
                <w:sz w:val="20"/>
              </w:rPr>
              <w:t>DBX-101 100 mg (n=60)</w:t>
            </w:r>
          </w:p>
        </w:tc>
        <w:tc>
          <w:tcPr>
            <w:tcW w:type="dxa" w:w="1440"/>
            <w:shd w:val="clear" w:color="auto" w:fill="D9E2F3"/>
            <w:vAlign w:val="center"/>
          </w:tcPr>
          <w:p>
            <w:r>
              <w:rPr>
                <w:b/>
                <w:sz w:val="20"/>
              </w:rPr>
              <w:t>DBX-101 200 mg (n=60)</w:t>
            </w:r>
          </w:p>
        </w:tc>
        <w:tc>
          <w:tcPr>
            <w:tcW w:type="dxa" w:w="1440"/>
            <w:shd w:val="clear" w:color="auto" w:fill="D9E2F3"/>
            <w:vAlign w:val="center"/>
          </w:tcPr>
          <w:p>
            <w:r>
              <w:rPr>
                <w:b/>
                <w:sz w:val="20"/>
              </w:rPr>
              <w:t>対照群 (n=60)</w:t>
            </w:r>
          </w:p>
        </w:tc>
        <w:tc>
          <w:tcPr>
            <w:tcW w:type="dxa" w:w="1440"/>
            <w:shd w:val="clear" w:color="auto" w:fill="D9E2F3"/>
            <w:vAlign w:val="center"/>
          </w:tcPr>
          <w:p>
            <w:r>
              <w:rPr>
                <w:b/>
                <w:sz w:val="20"/>
              </w:rPr>
              <w:t>HR (95%CI)</w:t>
            </w:r>
          </w:p>
        </w:tc>
        <w:tc>
          <w:tcPr>
            <w:tcW w:type="dxa" w:w="1440"/>
            <w:shd w:val="clear" w:color="auto" w:fill="D9E2F3"/>
            <w:vAlign w:val="center"/>
          </w:tcPr>
          <w:p>
            <w:r>
              <w:rPr>
                <w:b/>
                <w:sz w:val="20"/>
              </w:rPr>
              <w:t>p値</w:t>
            </w:r>
          </w:p>
        </w:tc>
      </w:tr>
      <w:tr>
        <w:tc>
          <w:tcPr>
            <w:tcW w:type="dxa" w:w="1440"/>
            <w:vAlign w:val="center"/>
          </w:tcPr>
          <w:p>
            <w:r>
              <w:rPr>
                <w:sz w:val="20"/>
              </w:rPr>
              <w:t>PFS 中央値 (月)</w:t>
            </w:r>
          </w:p>
        </w:tc>
        <w:tc>
          <w:tcPr>
            <w:tcW w:type="dxa" w:w="1440"/>
            <w:vAlign w:val="center"/>
          </w:tcPr>
          <w:p>
            <w:r>
              <w:rPr>
                <w:sz w:val="20"/>
              </w:rPr>
              <w:t>8.2 (6.9-9.8)</w:t>
            </w:r>
          </w:p>
        </w:tc>
        <w:tc>
          <w:tcPr>
            <w:tcW w:type="dxa" w:w="1440"/>
            <w:vAlign w:val="center"/>
          </w:tcPr>
          <w:p>
            <w:r>
              <w:rPr>
                <w:sz w:val="20"/>
              </w:rPr>
              <w:t>10.4 (8.6-12.1)</w:t>
            </w:r>
          </w:p>
        </w:tc>
        <w:tc>
          <w:tcPr>
            <w:tcW w:type="dxa" w:w="1440"/>
            <w:vAlign w:val="center"/>
          </w:tcPr>
          <w:p>
            <w:r>
              <w:rPr>
                <w:sz w:val="20"/>
              </w:rPr>
              <w:t>6.5 (5.2-7.8)</w:t>
            </w:r>
          </w:p>
        </w:tc>
        <w:tc>
          <w:tcPr>
            <w:tcW w:type="dxa" w:w="1440"/>
            <w:vAlign w:val="center"/>
          </w:tcPr>
          <w:p>
            <w:r>
              <w:rPr>
                <w:sz w:val="20"/>
              </w:rPr>
              <w:t>0.68 (0.55-0.84)</w:t>
            </w:r>
          </w:p>
        </w:tc>
        <w:tc>
          <w:tcPr>
            <w:tcW w:type="dxa" w:w="1440"/>
            <w:vAlign w:val="center"/>
          </w:tcPr>
          <w:p>
            <w:r>
              <w:rPr>
                <w:sz w:val="20"/>
              </w:rPr>
              <w:t>0.0004</w:t>
            </w:r>
          </w:p>
        </w:tc>
      </w:tr>
      <w:tr>
        <w:tc>
          <w:tcPr>
            <w:tcW w:type="dxa" w:w="1440"/>
            <w:vAlign w:val="center"/>
          </w:tcPr>
          <w:p>
            <w:r>
              <w:rPr>
                <w:sz w:val="20"/>
              </w:rPr>
              <w:t>OS 中央値 (月)</w:t>
            </w:r>
          </w:p>
        </w:tc>
        <w:tc>
          <w:tcPr>
            <w:tcW w:type="dxa" w:w="1440"/>
            <w:vAlign w:val="center"/>
          </w:tcPr>
          <w:p>
            <w:r>
              <w:rPr>
                <w:sz w:val="20"/>
              </w:rPr>
              <w:t>18.3 (15.1-22.0)</w:t>
            </w:r>
          </w:p>
        </w:tc>
        <w:tc>
          <w:tcPr>
            <w:tcW w:type="dxa" w:w="1440"/>
            <w:vAlign w:val="center"/>
          </w:tcPr>
          <w:p>
            <w:r>
              <w:rPr>
                <w:sz w:val="20"/>
              </w:rPr>
              <w:t>21.7 (18.2-25.9)</w:t>
            </w:r>
          </w:p>
        </w:tc>
        <w:tc>
          <w:tcPr>
            <w:tcW w:type="dxa" w:w="1440"/>
            <w:vAlign w:val="center"/>
          </w:tcPr>
          <w:p>
            <w:r>
              <w:rPr>
                <w:sz w:val="20"/>
              </w:rPr>
              <w:t>16.1 (13.4-19.2)</w:t>
            </w:r>
          </w:p>
        </w:tc>
        <w:tc>
          <w:tcPr>
            <w:tcW w:type="dxa" w:w="1440"/>
            <w:vAlign w:val="center"/>
          </w:tcPr>
          <w:p>
            <w:r>
              <w:rPr>
                <w:sz w:val="20"/>
              </w:rPr>
              <w:t>0.79 (0.61-1.02)</w:t>
            </w:r>
          </w:p>
        </w:tc>
        <w:tc>
          <w:tcPr>
            <w:tcW w:type="dxa" w:w="1440"/>
            <w:vAlign w:val="center"/>
          </w:tcPr>
          <w:p>
            <w:r>
              <w:rPr>
                <w:sz w:val="20"/>
              </w:rPr>
              <w:t>0.068</w:t>
            </w:r>
          </w:p>
        </w:tc>
      </w:tr>
      <w:tr>
        <w:tc>
          <w:tcPr>
            <w:tcW w:type="dxa" w:w="1440"/>
            <w:vAlign w:val="center"/>
          </w:tcPr>
          <w:p>
            <w:r>
              <w:rPr>
                <w:sz w:val="20"/>
              </w:rPr>
              <w:t>ORR n (%)</w:t>
            </w:r>
          </w:p>
        </w:tc>
        <w:tc>
          <w:tcPr>
            <w:tcW w:type="dxa" w:w="1440"/>
            <w:vAlign w:val="center"/>
          </w:tcPr>
          <w:p>
            <w:r>
              <w:rPr>
                <w:sz w:val="20"/>
              </w:rPr>
              <w:t>22 (36.7)</w:t>
            </w:r>
          </w:p>
        </w:tc>
        <w:tc>
          <w:tcPr>
            <w:tcW w:type="dxa" w:w="1440"/>
            <w:vAlign w:val="center"/>
          </w:tcPr>
          <w:p>
            <w:r>
              <w:rPr>
                <w:sz w:val="20"/>
              </w:rPr>
              <w:t>31 (51.7)</w:t>
            </w:r>
          </w:p>
        </w:tc>
        <w:tc>
          <w:tcPr>
            <w:tcW w:type="dxa" w:w="1440"/>
            <w:vAlign w:val="center"/>
          </w:tcPr>
          <w:p>
            <w:r>
              <w:rPr>
                <w:sz w:val="20"/>
              </w:rPr>
              <w:t>12 (20.0)</w:t>
            </w:r>
          </w:p>
        </w:tc>
        <w:tc>
          <w:tcPr>
            <w:tcW w:type="dxa" w:w="1440"/>
            <w:vAlign w:val="center"/>
          </w:tcPr>
          <w:p>
            <w:r>
              <w:rPr>
                <w:sz w:val="20"/>
              </w:rPr>
              <w:t>N/A</w:t>
            </w:r>
          </w:p>
        </w:tc>
        <w:tc>
          <w:tcPr>
            <w:tcW w:type="dxa" w:w="1440"/>
            <w:vAlign w:val="center"/>
          </w:tcPr>
          <w:p>
            <w:r>
              <w:rPr>
                <w:sz w:val="20"/>
              </w:rPr>
              <w:t>&lt;0.001</w:t>
            </w:r>
          </w:p>
        </w:tc>
      </w:tr>
      <w:tr>
        <w:tc>
          <w:tcPr>
            <w:tcW w:type="dxa" w:w="1440"/>
            <w:vAlign w:val="center"/>
          </w:tcPr>
          <w:p>
            <w:r>
              <w:rPr>
                <w:sz w:val="20"/>
              </w:rPr>
              <w:t>DCR n (%)</w:t>
            </w:r>
          </w:p>
        </w:tc>
        <w:tc>
          <w:tcPr>
            <w:tcW w:type="dxa" w:w="1440"/>
            <w:vAlign w:val="center"/>
          </w:tcPr>
          <w:p>
            <w:r>
              <w:rPr>
                <w:sz w:val="20"/>
              </w:rPr>
              <w:t>48 (80.0)</w:t>
            </w:r>
          </w:p>
        </w:tc>
        <w:tc>
          <w:tcPr>
            <w:tcW w:type="dxa" w:w="1440"/>
            <w:vAlign w:val="center"/>
          </w:tcPr>
          <w:p>
            <w:r>
              <w:rPr>
                <w:sz w:val="20"/>
              </w:rPr>
              <w:t>54 (90.0)</w:t>
            </w:r>
          </w:p>
        </w:tc>
        <w:tc>
          <w:tcPr>
            <w:tcW w:type="dxa" w:w="1440"/>
            <w:vAlign w:val="center"/>
          </w:tcPr>
          <w:p>
            <w:r>
              <w:rPr>
                <w:sz w:val="20"/>
              </w:rPr>
              <w:t>36 (60.0)</w:t>
            </w:r>
          </w:p>
        </w:tc>
        <w:tc>
          <w:tcPr>
            <w:tcW w:type="dxa" w:w="1440"/>
            <w:vAlign w:val="center"/>
          </w:tcPr>
          <w:p>
            <w:r>
              <w:rPr>
                <w:sz w:val="20"/>
              </w:rPr>
              <w:t>N/A</w:t>
            </w:r>
          </w:p>
        </w:tc>
        <w:tc>
          <w:tcPr>
            <w:tcW w:type="dxa" w:w="1440"/>
            <w:vAlign w:val="center"/>
          </w:tcPr>
          <w:p>
            <w:r>
              <w:rPr>
                <w:sz w:val="20"/>
              </w:rPr>
              <w:t>&lt;0.001</w:t>
            </w:r>
          </w:p>
        </w:tc>
      </w:tr>
      <w:tr>
        <w:tc>
          <w:tcPr>
            <w:tcW w:type="dxa" w:w="1440"/>
            <w:vAlign w:val="center"/>
          </w:tcPr>
          <w:p>
            <w:r>
              <w:rPr>
                <w:sz w:val="20"/>
              </w:rPr>
              <w:t>奏効期間 中央値 (月)</w:t>
            </w:r>
          </w:p>
        </w:tc>
        <w:tc>
          <w:tcPr>
            <w:tcW w:type="dxa" w:w="1440"/>
            <w:vAlign w:val="center"/>
          </w:tcPr>
          <w:p>
            <w:r>
              <w:rPr>
                <w:sz w:val="20"/>
              </w:rPr>
              <w:t>7.5 (5.8-9.6)</w:t>
            </w:r>
          </w:p>
        </w:tc>
        <w:tc>
          <w:tcPr>
            <w:tcW w:type="dxa" w:w="1440"/>
            <w:vAlign w:val="center"/>
          </w:tcPr>
          <w:p>
            <w:r>
              <w:rPr>
                <w:sz w:val="20"/>
              </w:rPr>
              <w:t>9.8 (7.2-12.4)</w:t>
            </w:r>
          </w:p>
        </w:tc>
        <w:tc>
          <w:tcPr>
            <w:tcW w:type="dxa" w:w="1440"/>
            <w:vAlign w:val="center"/>
          </w:tcPr>
          <w:p>
            <w:r>
              <w:rPr>
                <w:sz w:val="20"/>
              </w:rPr>
              <w:t>5.2 (3.6-7.1)</w:t>
            </w:r>
          </w:p>
        </w:tc>
        <w:tc>
          <w:tcPr>
            <w:tcW w:type="dxa" w:w="1440"/>
            <w:vAlign w:val="center"/>
          </w:tcPr>
          <w:p>
            <w:r>
              <w:rPr>
                <w:sz w:val="20"/>
              </w:rPr>
              <w:t>N/A</w:t>
            </w:r>
          </w:p>
        </w:tc>
        <w:tc>
          <w:tcPr>
            <w:tcW w:type="dxa" w:w="1440"/>
            <w:vAlign w:val="center"/>
          </w:tcPr>
          <w:p>
            <w:r>
              <w:rPr>
                <w:sz w:val="20"/>
              </w:rPr>
              <w:t>N/A</w:t>
            </w:r>
          </w:p>
        </w:tc>
      </w:tr>
      <w:tr>
        <w:tc>
          <w:tcPr>
            <w:tcW w:type="dxa" w:w="1440"/>
            <w:vAlign w:val="center"/>
          </w:tcPr>
          <w:p>
            <w:r>
              <w:rPr>
                <w:sz w:val="20"/>
              </w:rPr>
              <w:t>治療期間 中央値 (月)</w:t>
            </w:r>
          </w:p>
        </w:tc>
        <w:tc>
          <w:tcPr>
            <w:tcW w:type="dxa" w:w="1440"/>
            <w:vAlign w:val="center"/>
          </w:tcPr>
          <w:p>
            <w:r>
              <w:rPr>
                <w:sz w:val="20"/>
              </w:rPr>
              <w:t>7.2 (5.4-9.1)</w:t>
            </w:r>
          </w:p>
        </w:tc>
        <w:tc>
          <w:tcPr>
            <w:tcW w:type="dxa" w:w="1440"/>
            <w:vAlign w:val="center"/>
          </w:tcPr>
          <w:p>
            <w:r>
              <w:rPr>
                <w:sz w:val="20"/>
              </w:rPr>
              <w:t>9.5 (7.0-12.3)</w:t>
            </w:r>
          </w:p>
        </w:tc>
        <w:tc>
          <w:tcPr>
            <w:tcW w:type="dxa" w:w="1440"/>
            <w:vAlign w:val="center"/>
          </w:tcPr>
          <w:p>
            <w:r>
              <w:rPr>
                <w:sz w:val="20"/>
              </w:rPr>
              <w:t>5.8 (4.1-7.6)</w:t>
            </w:r>
          </w:p>
        </w:tc>
        <w:tc>
          <w:tcPr>
            <w:tcW w:type="dxa" w:w="1440"/>
            <w:vAlign w:val="center"/>
          </w:tcPr>
          <w:p>
            <w:r>
              <w:rPr>
                <w:sz w:val="20"/>
              </w:rPr>
              <w:t>N/A</w:t>
            </w:r>
          </w:p>
        </w:tc>
        <w:tc>
          <w:tcPr>
            <w:tcW w:type="dxa" w:w="1440"/>
            <w:vAlign w:val="center"/>
          </w:tcPr>
          <w:p>
            <w:r>
              <w:rPr>
                <w:sz w:val="20"/>
              </w:rPr>
              <w:t>N/A</w:t>
            </w:r>
          </w:p>
        </w:tc>
      </w:tr>
    </w:tbl>
    <w:p/>
    <w:p>
      <w:r>
        <w:drawing>
          <wp:inline xmlns:a="http://schemas.openxmlformats.org/drawingml/2006/main" xmlns:pic="http://schemas.openxmlformats.org/drawingml/2006/picture">
            <wp:extent cx="5486400" cy="303862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038622"/>
                    </a:xfrm>
                    <a:prstGeom prst="rect"/>
                  </pic:spPr>
                </pic:pic>
              </a:graphicData>
            </a:graphic>
          </wp:inline>
        </w:drawing>
      </w:r>
    </w:p>
    <w:p>
      <w:pPr>
        <w:jc w:val="center"/>
      </w:pPr>
      <w:r>
        <w:rPr>
          <w:i/>
          <w:color w:val="555555"/>
          <w:sz w:val="18"/>
        </w:rPr>
        <w:t>図1. 主要評価項目 (無増悪生存期間) の Kaplan-Meier 曲線 (投与群別、模擬データ)</w:t>
      </w:r>
    </w:p>
    <w:p>
      <w:r>
        <w:rPr>
          <w:sz w:val="22"/>
        </w:rPr>
        <w:t>Kaplan-Meier 曲線に示されるとおり、DBX-101 200 mg 群では、対照群と比較して投与開始後全観察期間を通じて、無増悪生存確率が高く維持された。12 か月時点の PFS 率は、DBX-101 200 mg 群で 42%、100 mg 群で 32%、対照群で 18% であった。</w:t>
      </w:r>
    </w:p>
    <w:p>
      <w:pPr>
        <w:pStyle w:val="Heading1"/>
      </w:pPr>
      <w:r>
        <w:t>4. 部分集団解析</w:t>
      </w:r>
    </w:p>
    <w:p>
      <w:r>
        <w:rPr>
          <w:sz w:val="22"/>
        </w:rPr>
        <w:t>事前に規定された部分集団因子 (年齢、性別、ECOG PS、疾患重症度、前治療数等) について、主要評価項目のハザード比を評価した。全ての部分集団において、DBX-101 は対照群と比較して PFS を延長する方向性を示した。</w:t>
      </w:r>
    </w:p>
    <w:p>
      <w:r>
        <w:drawing>
          <wp:inline xmlns:a="http://schemas.openxmlformats.org/drawingml/2006/main" xmlns:pic="http://schemas.openxmlformats.org/drawingml/2006/picture">
            <wp:extent cx="5486400" cy="354505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545058"/>
                    </a:xfrm>
                    <a:prstGeom prst="rect"/>
                  </pic:spPr>
                </pic:pic>
              </a:graphicData>
            </a:graphic>
          </wp:inline>
        </w:drawing>
      </w:r>
    </w:p>
    <w:p>
      <w:pPr>
        <w:jc w:val="center"/>
      </w:pPr>
      <w:r>
        <w:rPr>
          <w:i/>
          <w:color w:val="555555"/>
          <w:sz w:val="18"/>
        </w:rPr>
        <w:t>図2. 部分集団別 主要評価項目 (PFS) ハザード比のフォレストプロット (模擬データ)</w:t>
      </w:r>
    </w:p>
    <w:p>
      <w:r>
        <w:rPr>
          <w:sz w:val="22"/>
        </w:rPr>
        <w:t>特に、前治療 1 レジメンの患者においてハザード比 0.55 (95%CI: 0.39 - 0.78) と、より強い治療効果が示唆された。ECOG PS 0 の患者、および軽症患者においても、全体集団を上回る効果が観察された。</w:t>
      </w:r>
    </w:p>
    <w:p>
      <w:pPr>
        <w:pStyle w:val="Heading1"/>
      </w:pPr>
      <w:r>
        <w:t>5. 副次評価項目 — 客観的奏効率 (ORR) および奏効期間</w:t>
      </w:r>
    </w:p>
    <w:p>
      <w:r>
        <w:rPr>
          <w:sz w:val="22"/>
        </w:rPr>
        <w:t>客観的奏効率 (ORR) は、DBX-101 200 mg 群で 51.7% (95%CI: 38.4 - 64.8)、100 mg 群で 36.7% (95%CI: 24.6 - 50.1)、対照群で 20.0% (95%CI: 10.8 - 32.3) であった。対照群に対する 200 mg 群の絶対差は 31.7% (95%CI: 15.2 - 46.2, p&lt;0.001) と、統計学的に有意な改善が示された。</w:t>
      </w:r>
    </w:p>
    <w:p>
      <w:r>
        <w:drawing>
          <wp:inline xmlns:a="http://schemas.openxmlformats.org/drawingml/2006/main" xmlns:pic="http://schemas.openxmlformats.org/drawingml/2006/picture">
            <wp:extent cx="5486400" cy="303862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038622"/>
                    </a:xfrm>
                    <a:prstGeom prst="rect"/>
                  </pic:spPr>
                </pic:pic>
              </a:graphicData>
            </a:graphic>
          </wp:inline>
        </w:drawing>
      </w:r>
    </w:p>
    <w:p>
      <w:pPr>
        <w:jc w:val="center"/>
      </w:pPr>
      <w:r>
        <w:rPr>
          <w:i/>
          <w:color w:val="555555"/>
          <w:sz w:val="18"/>
        </w:rPr>
        <w:t>図3. 腫瘍縮小効果 ウォーターフォールプロット (DBX-101 200 mg 群、模擬データ)</w:t>
      </w:r>
    </w:p>
    <w:p>
      <w:r>
        <w:rPr>
          <w:sz w:val="22"/>
        </w:rPr>
        <w:t>ウォーターフォールプロットに示されるとおり、DBX-101 200 mg 群の 55 例中、PR 基準を満たす腫瘍縮小 (≥ 30% 縮小) が 28 例で確認された。また、進行 (PD) 基準を超える増大 (≥ 20% 増大) は 6 例に留まっており、対照群と比較して顕著に少なかった。</w:t>
      </w:r>
    </w:p>
    <w:p>
      <w:pPr>
        <w:pStyle w:val="Heading1"/>
      </w:pPr>
      <w:r>
        <w:t>6. 全生存期間 (OS) の考察</w:t>
      </w:r>
    </w:p>
    <w:p>
      <w:r>
        <w:rPr>
          <w:sz w:val="22"/>
        </w:rPr>
        <w:t>OS については、DBX-101 高用量群で対照群に比してハザード比 0.79 (95%CI: 0.61 - 1.02)と延長傾向が認められたが、本試験のデータカットオフ時点においては統計学的な有意差 (p=0.068) には至らなかった。OS イベント発生数は 105 件 (60% 発生) であり、追跡調査は継続中である。更新解析結果は、2026 年下期の申請資料補完で提出予定である。</w:t>
      </w:r>
    </w:p>
    <w:p>
      <w:pPr>
        <w:pStyle w:val="Heading1"/>
      </w:pPr>
      <w:r>
        <w:t>7. 用量反応関係の解析</w:t>
      </w:r>
    </w:p>
    <w:p>
      <w:r>
        <w:rPr>
          <w:sz w:val="22"/>
        </w:rPr>
        <w:t>DBX-101 100 mg 群と 200 mg 群の比較において、全ての主要な有効性エンドポイント(PFS、ORR、DCR、DOR) について、200 mg 群の方が数値的に良好な結果が観察された。この用量反応関係は、事前に規定された用量反応解析における Cochran-Armitage 検定でも統計学的有意 (傾向性検定 p&lt;0.001) が示された。</w:t>
      </w:r>
    </w:p>
    <w:p>
      <w:r>
        <w:rPr>
          <w:sz w:val="22"/>
        </w:rPr>
        <w:t>薬物動態解析においても、200 mg 群では 100 mg 群に比して定常状態 Ctrough が約 2.1 倍高値を示しており、血中濃度と有効性の相関 (E-R 関係) が支持される。以上より、推奨用量として 200 mg/日を提案する。</w:t>
      </w:r>
    </w:p>
    <w:p>
      <w:pPr>
        <w:pStyle w:val="Heading1"/>
      </w:pPr>
      <w:r>
        <w:t>8. サブタイプ試験 — DBX101-GLB-003 の結果</w:t>
      </w:r>
    </w:p>
    <w:p>
      <w:r>
        <w:rPr>
          <w:sz w:val="22"/>
        </w:rPr>
        <w:t>国際共同単群試験 DBX101-GLB-003 において、対象疾患のサブタイプ A 患者 45 例に対し、DBX-101 200 mg を投与した結果、主要評価項目である ORR は 62.2% (95%CI: 46.5 - 76.2) と、極めて高い奏効率が示された。DCR は 91.1% (95%CI: 78.8 - 97.5) であり、サブタイプ A における顕著な治療効果が確認された。</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vAlign w:val="center"/>
          </w:tcPr>
          <w:p>
            <w:r>
              <w:rPr>
                <w:b/>
                <w:sz w:val="20"/>
              </w:rPr>
              <w:t>エンドポイント</w:t>
            </w:r>
          </w:p>
        </w:tc>
        <w:tc>
          <w:tcPr>
            <w:tcW w:type="dxa" w:w="2880"/>
            <w:shd w:val="clear" w:color="auto" w:fill="D9E2F3"/>
            <w:vAlign w:val="center"/>
          </w:tcPr>
          <w:p>
            <w:r>
              <w:rPr>
                <w:b/>
                <w:sz w:val="20"/>
              </w:rPr>
              <w:t>DBX101-GLB-003 (サブタイプA)</w:t>
            </w:r>
          </w:p>
        </w:tc>
        <w:tc>
          <w:tcPr>
            <w:tcW w:type="dxa" w:w="2880"/>
            <w:shd w:val="clear" w:color="auto" w:fill="D9E2F3"/>
            <w:vAlign w:val="center"/>
          </w:tcPr>
          <w:p>
            <w:r>
              <w:rPr>
                <w:b/>
                <w:sz w:val="20"/>
              </w:rPr>
              <w:t>DBX101-JP-002 高用量群 (全対象)</w:t>
            </w:r>
          </w:p>
        </w:tc>
      </w:tr>
      <w:tr>
        <w:tc>
          <w:tcPr>
            <w:tcW w:type="dxa" w:w="2880"/>
            <w:vAlign w:val="center"/>
          </w:tcPr>
          <w:p>
            <w:r>
              <w:rPr>
                <w:sz w:val="20"/>
              </w:rPr>
              <w:t>ORR (%)</w:t>
            </w:r>
          </w:p>
        </w:tc>
        <w:tc>
          <w:tcPr>
            <w:tcW w:type="dxa" w:w="2880"/>
            <w:vAlign w:val="center"/>
          </w:tcPr>
          <w:p>
            <w:r>
              <w:rPr>
                <w:sz w:val="20"/>
              </w:rPr>
              <w:t>62.2 (46.5-76.2)</w:t>
            </w:r>
          </w:p>
        </w:tc>
        <w:tc>
          <w:tcPr>
            <w:tcW w:type="dxa" w:w="2880"/>
            <w:vAlign w:val="center"/>
          </w:tcPr>
          <w:p>
            <w:r>
              <w:rPr>
                <w:sz w:val="20"/>
              </w:rPr>
              <w:t>51.7 (38.4-64.8)</w:t>
            </w:r>
          </w:p>
        </w:tc>
      </w:tr>
      <w:tr>
        <w:tc>
          <w:tcPr>
            <w:tcW w:type="dxa" w:w="2880"/>
            <w:vAlign w:val="center"/>
          </w:tcPr>
          <w:p>
            <w:r>
              <w:rPr>
                <w:sz w:val="20"/>
              </w:rPr>
              <w:t>DCR (%)</w:t>
            </w:r>
          </w:p>
        </w:tc>
        <w:tc>
          <w:tcPr>
            <w:tcW w:type="dxa" w:w="2880"/>
            <w:vAlign w:val="center"/>
          </w:tcPr>
          <w:p>
            <w:r>
              <w:rPr>
                <w:sz w:val="20"/>
              </w:rPr>
              <w:t>91.1 (78.8-97.5)</w:t>
            </w:r>
          </w:p>
        </w:tc>
        <w:tc>
          <w:tcPr>
            <w:tcW w:type="dxa" w:w="2880"/>
            <w:vAlign w:val="center"/>
          </w:tcPr>
          <w:p>
            <w:r>
              <w:rPr>
                <w:sz w:val="20"/>
              </w:rPr>
              <w:t>90.0 (79.5-96.2)</w:t>
            </w:r>
          </w:p>
        </w:tc>
      </w:tr>
      <w:tr>
        <w:tc>
          <w:tcPr>
            <w:tcW w:type="dxa" w:w="2880"/>
            <w:vAlign w:val="center"/>
          </w:tcPr>
          <w:p>
            <w:r>
              <w:rPr>
                <w:sz w:val="20"/>
              </w:rPr>
              <w:t>PFS 中央値 (月)</w:t>
            </w:r>
          </w:p>
        </w:tc>
        <w:tc>
          <w:tcPr>
            <w:tcW w:type="dxa" w:w="2880"/>
            <w:vAlign w:val="center"/>
          </w:tcPr>
          <w:p>
            <w:r>
              <w:rPr>
                <w:sz w:val="20"/>
              </w:rPr>
              <w:t>13.8 (10.2-17.5)</w:t>
            </w:r>
          </w:p>
        </w:tc>
        <w:tc>
          <w:tcPr>
            <w:tcW w:type="dxa" w:w="2880"/>
            <w:vAlign w:val="center"/>
          </w:tcPr>
          <w:p>
            <w:r>
              <w:rPr>
                <w:sz w:val="20"/>
              </w:rPr>
              <w:t>10.4 (8.6-12.1)</w:t>
            </w:r>
          </w:p>
        </w:tc>
      </w:tr>
      <w:tr>
        <w:tc>
          <w:tcPr>
            <w:tcW w:type="dxa" w:w="2880"/>
            <w:vAlign w:val="center"/>
          </w:tcPr>
          <w:p>
            <w:r>
              <w:rPr>
                <w:sz w:val="20"/>
              </w:rPr>
              <w:t>OS 中央値 (月)</w:t>
            </w:r>
          </w:p>
        </w:tc>
        <w:tc>
          <w:tcPr>
            <w:tcW w:type="dxa" w:w="2880"/>
            <w:vAlign w:val="center"/>
          </w:tcPr>
          <w:p>
            <w:r>
              <w:rPr>
                <w:sz w:val="20"/>
              </w:rPr>
              <w:t>未到達</w:t>
            </w:r>
          </w:p>
        </w:tc>
        <w:tc>
          <w:tcPr>
            <w:tcW w:type="dxa" w:w="2880"/>
            <w:vAlign w:val="center"/>
          </w:tcPr>
          <w:p>
            <w:r>
              <w:rPr>
                <w:sz w:val="20"/>
              </w:rPr>
              <w:t>21.7 (18.2-25.9)</w:t>
            </w:r>
          </w:p>
        </w:tc>
      </w:tr>
    </w:tbl>
    <w:p/>
    <w:p>
      <w:pPr>
        <w:pStyle w:val="Heading1"/>
      </w:pPr>
      <w:r>
        <w:t>9. 特別集団における有効性</w:t>
      </w:r>
    </w:p>
    <w:p>
      <w:r>
        <w:rPr>
          <w:sz w:val="22"/>
        </w:rPr>
        <w:t>高齢者 (65 歳以上) においても、非高齢者と同等の有効性が確認された。PFS 中央値は、65 歳以上で 10.1 か月、65 歳未満で 10.8 か月であり、ハザード比の交互作用検定は有意でなかった (p=0.42)。また、軽度腎機能障害を有する患者、および軽度肝機能障害を有する患者においても、全体集団と同等の有効性が示された。</w:t>
      </w:r>
    </w:p>
    <w:p>
      <w:pPr>
        <w:pStyle w:val="Heading1"/>
      </w:pPr>
      <w:r>
        <w:t>10. バイオマーカーサブ解析</w:t>
      </w:r>
    </w:p>
    <w:p>
      <w:r>
        <w:rPr>
          <w:sz w:val="22"/>
        </w:rPr>
        <w:t>本試験では、腫瘍組織および血漿検体を用いたバイオマーカー探索解析を実施した。標的経路の発現レベルが高値の集団 (n=52) では、PFS 中央値 13.2 か月 (95%CI: 10.4 - 16.5) と、発現レベル低値の集団 (n=68) の PFS 中央値 8.4 か月 (95%CI: 6.2 - 10.8) に比して顕著に長かった。今後、当該バイオマーカーの臨床導入について検討を進める。</w:t>
      </w:r>
    </w:p>
    <w:p>
      <w:pPr>
        <w:pStyle w:val="Heading1"/>
      </w:pPr>
      <w:r>
        <w:t>11. 追跡調査の状況</w:t>
      </w:r>
    </w:p>
    <w:p>
      <w:r>
        <w:rPr>
          <w:sz w:val="22"/>
        </w:rPr>
        <w:t>DBX101-JP-002 試験の追跡調査は、2026 年 4 月のデータカットオフ時点で継続中である。追跡完了予定は 2027 年 4 月であり、成熟した OS データおよび長期安全性データが得られる予定である。また、DBX101-GLB-003 試験の追跡も継続中であり、OS 中央値および長期奏効データは、2026 年下期に更新報告予定である。</w:t>
      </w:r>
    </w:p>
    <w:p>
      <w:pPr>
        <w:pStyle w:val="Heading1"/>
      </w:pPr>
      <w:r>
        <w:t>12. 有効性の総合考察</w:t>
      </w:r>
    </w:p>
    <w:p>
      <w:r>
        <w:rPr>
          <w:sz w:val="22"/>
        </w:rPr>
        <w:t>以上の複数試験からの結果を総合すると、DBX-101 は対象疾患を有する患者において、標準治療と比較して臨床的に意義のある無増悪生存期間の延長を示した。また、客観的奏効率、病勢制御率、奏効期間の全ての主要な有効性指標において、対照群に比して統計学的および臨床的に有意な改善が確認された。</w:t>
      </w:r>
    </w:p>
    <w:p>
      <w:r>
        <w:rPr>
          <w:sz w:val="22"/>
        </w:rPr>
        <w:t>サブタイプ A 患者においては、単群試験の結果、極めて高い奏効率が示唆されており、本サブタイプに対する優先的な適応の可能性が示唆される。全生存期間については追跡調査中であるが、延長傾向が既に確認されており、成熟データによる統計学的有意性の確認が期待される。</w:t>
      </w:r>
    </w:p>
    <w:p>
      <w:pPr>
        <w:pStyle w:val="Heading1"/>
      </w:pPr>
      <w:r>
        <w:t>13. 結論</w:t>
      </w:r>
    </w:p>
    <w:p>
      <w:r>
        <w:rPr>
          <w:sz w:val="22"/>
        </w:rPr>
        <w:t>本項に示した有効性データと、第 2.7.4 項に示す安全性データを総合的に評価した結果、DBX-101 の臨床的有用性は、対象疾患を有する成人患者において良好であると結論する。本剤は、当該疾患領域における新規治療選択肢として、患者アウトカムの改善に寄与するものと期待される。</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Databricks Pharma KK  申請資料  |  ページ </w:t>
    </w:r>
    <w:r>
      <w:rPr>
        <w:sz w:val="18"/>
      </w:rP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CTD 第2.7.3項  臨床的有効性の概要  |  DBX-101  |  版 1.0 (2026年6月)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