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治験実施計画書 概要</w:t>
      </w:r>
    </w:p>
    <w:p>
      <w:r>
        <w:rPr>
          <w:sz w:val="22"/>
        </w:rPr>
        <w:t>本書は、DBX-101 (開発コード) を対象とする第II相無作為化二重盲検比較試験の治験実施計画書の概要である。本試験は、日本国内10施設で実施される多施設共同試験である。</w:t>
      </w:r>
    </w:p>
    <w:p>
      <w:r>
        <w:rPr>
          <w:sz w:val="22"/>
        </w:rPr>
        <w:t>本概要は、ICH E6 (R2) Good Clinical Practice ガイドラインおよび医薬品、医療機器等の品質、有効性及び安全性の確保等に関する法律 (医薬品医療機器等法)に基づいて作成されている。</w:t>
      </w:r>
    </w:p>
    <w:p>
      <w:pPr>
        <w:pStyle w:val="Heading1"/>
      </w:pPr>
      <w:r>
        <w:t>1. 治験の背景および根拠</w:t>
      </w:r>
    </w:p>
    <w:p>
      <w:pPr>
        <w:pStyle w:val="Heading2"/>
      </w:pPr>
      <w:r>
        <w:t>1.1 疾患背景</w:t>
      </w:r>
    </w:p>
    <w:p>
      <w:r>
        <w:rPr>
          <w:sz w:val="22"/>
        </w:rPr>
        <w:t>本疾患領域における現行の標準治療は、5年生存率が約35%に留まっており、新規治療選択肢に対する強い医療ニーズが存在する。特に標準的な一次治療に不応となった患者では、二次治療以降の選択肢が限られており、予後改善に寄与する新規作用機序の薬剤が求められている。</w:t>
      </w:r>
    </w:p>
    <w:p>
      <w:r>
        <w:rPr>
          <w:sz w:val="22"/>
        </w:rPr>
        <w:t>近年、当該経路を標的とする分子標的治療の可能性が示唆されており、複数の前臨床研究において腫瘍増殖抑制作用が報告されている。臨床開発においては、単剤療法および併用療法の両方向で開発が進められている。</w:t>
      </w:r>
    </w:p>
    <w:p>
      <w:pPr>
        <w:pStyle w:val="Heading2"/>
      </w:pPr>
      <w:r>
        <w:t>1.2 DBX-101 の作用機序</w:t>
      </w:r>
    </w:p>
    <w:p>
      <w:r>
        <w:rPr>
          <w:sz w:val="22"/>
        </w:rPr>
        <w:t>DBX-101 は新規経路を選択的に阻害する小分子化合物であり、生化学的アッセイにおいて標的酵素に対するIC50値は 8.4 nMであることが確認されている。細胞株実験では、対象疾患由来細胞株において用量依存的な増殖抑制作用が観察されている。</w:t>
      </w:r>
    </w:p>
    <w:p>
      <w:r>
        <w:rPr>
          <w:sz w:val="22"/>
        </w:rPr>
        <w:t>動物モデルにおいては、経口投与により腫瘍縮小効果が確認されており、薬物動態学的にはヒト用量に換算して 200 mg/day 前後で有効血中濃度に到達すると予測されている。第I相試験 (DBX101-JP-001) では、100 mg および 200 mg 用量で忍容性が確認された。</w:t>
      </w:r>
    </w:p>
    <w:p>
      <w:pPr>
        <w:pStyle w:val="Heading2"/>
      </w:pPr>
      <w:r>
        <w:t>1.3 本試験実施の根拠</w:t>
      </w:r>
    </w:p>
    <w:p>
      <w:r>
        <w:rPr>
          <w:sz w:val="22"/>
        </w:rPr>
        <w:t>第I相試験の結果を踏まえ、本試験では、標準治療に不応または不耐となった患者を対象に、DBX-101の有効性と安全性を無作為化比較試験により評価する。得られた結果は、後続の第III相試験の症例数設計、投与量選択、およびエンドポイント設定に用いられる。</w:t>
      </w:r>
    </w:p>
    <w:p>
      <w:pPr>
        <w:pStyle w:val="Heading1"/>
      </w:pPr>
      <w:r>
        <w:t>2. 治験の目的</w:t>
      </w:r>
    </w:p>
    <w:p>
      <w:pPr>
        <w:pStyle w:val="Heading2"/>
      </w:pPr>
      <w:r>
        <w:t>2.1 主要目的</w:t>
      </w:r>
    </w:p>
    <w:p>
      <w:r>
        <w:rPr>
          <w:sz w:val="22"/>
        </w:rPr>
        <w:t>DBX-101 (100 mgおよび200 mgの2用量) の、標準治療との比較における無増悪生存期間 (PFS) の延長効果を評価する。</w:t>
      </w:r>
    </w:p>
    <w:p>
      <w:pPr>
        <w:pStyle w:val="Heading2"/>
      </w:pPr>
      <w:r>
        <w:t>2.2 副次目的</w:t>
      </w:r>
    </w:p>
    <w:p>
      <w:r>
        <w:rPr>
          <w:sz w:val="22"/>
        </w:rPr>
        <w:t>以下の副次目的を評価する:</w:t>
      </w:r>
    </w:p>
    <w:p>
      <w:r>
        <w:rPr>
          <w:sz w:val="22"/>
        </w:rPr>
        <w:t>① 全生存期間 (OS) の延長効果</w:t>
      </w:r>
    </w:p>
    <w:p>
      <w:r>
        <w:rPr>
          <w:sz w:val="22"/>
        </w:rPr>
        <w:t>② 客観的奏効率 (ORR) および奏効期間 (DOR) の改善</w:t>
      </w:r>
    </w:p>
    <w:p>
      <w:r>
        <w:rPr>
          <w:sz w:val="22"/>
        </w:rPr>
        <w:t>③ 病勢制御率 (DCR) の改善</w:t>
      </w:r>
    </w:p>
    <w:p>
      <w:r>
        <w:rPr>
          <w:sz w:val="22"/>
        </w:rPr>
        <w:t>④ 患者報告アウトカム (PRO) に対する影響</w:t>
      </w:r>
    </w:p>
    <w:p>
      <w:r>
        <w:rPr>
          <w:sz w:val="22"/>
        </w:rPr>
        <w:t>⑤ 安全性プロファイルの確認 (CTCAE Grade別発現頻度)</w:t>
      </w:r>
    </w:p>
    <w:p>
      <w:r>
        <w:rPr>
          <w:sz w:val="22"/>
        </w:rPr>
        <w:t>⑥ 薬物動態パラメータ (Cmax、AUC、t1/2) の推定</w:t>
      </w:r>
    </w:p>
    <w:p>
      <w:pPr>
        <w:pStyle w:val="Heading2"/>
      </w:pPr>
      <w:r>
        <w:t>2.3 探索的目的</w:t>
      </w:r>
    </w:p>
    <w:p>
      <w:r>
        <w:rPr>
          <w:sz w:val="22"/>
        </w:rPr>
        <w:t>腫瘍組織および血漿検体を用いたバイオマーカー解析を実施し、DBX-101の効果予測因子および耐性因子の同定を試みる。また、循環腫瘍DNA (ctDNA) の変化と臨床効果の相関を探索する。</w:t>
      </w:r>
    </w:p>
    <w:p>
      <w:pPr>
        <w:pStyle w:val="Heading1"/>
      </w:pPr>
      <w:r>
        <w:t>3. 治験デザイン</w:t>
      </w:r>
    </w:p>
    <w:p>
      <w:r>
        <w:rPr>
          <w:sz w:val="22"/>
        </w:rPr>
        <w:t>本試験は、多施設共同、無作為化、二重盲検、対照群設定の第II相試験である。適格患者は、1:1:1の比率でDBX-101 100 mg群、DBX-101 200 mg群、または対照群 (標準治療) に無作為に割付けられる。</w:t>
      </w:r>
    </w:p>
    <w:p>
      <w:r>
        <w:rPr>
          <w:sz w:val="22"/>
        </w:rPr>
        <w:t>無作為化は施設、ECOGパフォーマンスステータス (0 vs 1)、および前治療レジメン数 (1 vs 2以上)を層別因子として実施する。二重盲検性を維持するため、対照群には対応するプラセボが投与される。</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D9E2F3"/>
            <w:vAlign w:val="center"/>
          </w:tcPr>
          <w:p>
            <w:r>
              <w:rPr>
                <w:b/>
                <w:sz w:val="20"/>
              </w:rPr>
              <w:t>項目</w:t>
            </w:r>
          </w:p>
        </w:tc>
        <w:tc>
          <w:tcPr>
            <w:tcW w:type="dxa" w:w="4320"/>
            <w:shd w:val="clear" w:color="auto" w:fill="D9E2F3"/>
            <w:vAlign w:val="center"/>
          </w:tcPr>
          <w:p>
            <w:r>
              <w:rPr>
                <w:b/>
                <w:sz w:val="20"/>
              </w:rPr>
              <w:t>内容</w:t>
            </w:r>
          </w:p>
        </w:tc>
      </w:tr>
      <w:tr>
        <w:tc>
          <w:tcPr>
            <w:tcW w:type="dxa" w:w="4320"/>
            <w:vAlign w:val="center"/>
          </w:tcPr>
          <w:p>
            <w:r>
              <w:rPr>
                <w:sz w:val="20"/>
              </w:rPr>
              <w:t>試験相</w:t>
            </w:r>
          </w:p>
        </w:tc>
        <w:tc>
          <w:tcPr>
            <w:tcW w:type="dxa" w:w="4320"/>
            <w:vAlign w:val="center"/>
          </w:tcPr>
          <w:p>
            <w:r>
              <w:rPr>
                <w:sz w:val="20"/>
              </w:rPr>
              <w:t>第II相</w:t>
            </w:r>
          </w:p>
        </w:tc>
      </w:tr>
      <w:tr>
        <w:tc>
          <w:tcPr>
            <w:tcW w:type="dxa" w:w="4320"/>
            <w:vAlign w:val="center"/>
          </w:tcPr>
          <w:p>
            <w:r>
              <w:rPr>
                <w:sz w:val="20"/>
              </w:rPr>
              <w:t>試験タイプ</w:t>
            </w:r>
          </w:p>
        </w:tc>
        <w:tc>
          <w:tcPr>
            <w:tcW w:type="dxa" w:w="4320"/>
            <w:vAlign w:val="center"/>
          </w:tcPr>
          <w:p>
            <w:r>
              <w:rPr>
                <w:sz w:val="20"/>
              </w:rPr>
              <w:t>介入試験</w:t>
            </w:r>
          </w:p>
        </w:tc>
      </w:tr>
      <w:tr>
        <w:tc>
          <w:tcPr>
            <w:tcW w:type="dxa" w:w="4320"/>
            <w:vAlign w:val="center"/>
          </w:tcPr>
          <w:p>
            <w:r>
              <w:rPr>
                <w:sz w:val="20"/>
              </w:rPr>
              <w:t>デザイン</w:t>
            </w:r>
          </w:p>
        </w:tc>
        <w:tc>
          <w:tcPr>
            <w:tcW w:type="dxa" w:w="4320"/>
            <w:vAlign w:val="center"/>
          </w:tcPr>
          <w:p>
            <w:r>
              <w:rPr>
                <w:sz w:val="20"/>
              </w:rPr>
              <w:t>多施設共同、無作為化、二重盲検、対照群比較</w:t>
            </w:r>
          </w:p>
        </w:tc>
      </w:tr>
      <w:tr>
        <w:tc>
          <w:tcPr>
            <w:tcW w:type="dxa" w:w="4320"/>
            <w:vAlign w:val="center"/>
          </w:tcPr>
          <w:p>
            <w:r>
              <w:rPr>
                <w:sz w:val="20"/>
              </w:rPr>
              <w:t>割付比率</w:t>
            </w:r>
          </w:p>
        </w:tc>
        <w:tc>
          <w:tcPr>
            <w:tcW w:type="dxa" w:w="4320"/>
            <w:vAlign w:val="center"/>
          </w:tcPr>
          <w:p>
            <w:r>
              <w:rPr>
                <w:sz w:val="20"/>
              </w:rPr>
              <w:t>1 : 1 : 1</w:t>
            </w:r>
          </w:p>
        </w:tc>
      </w:tr>
      <w:tr>
        <w:tc>
          <w:tcPr>
            <w:tcW w:type="dxa" w:w="4320"/>
            <w:vAlign w:val="center"/>
          </w:tcPr>
          <w:p>
            <w:r>
              <w:rPr>
                <w:sz w:val="20"/>
              </w:rPr>
              <w:t>層別因子</w:t>
            </w:r>
          </w:p>
        </w:tc>
        <w:tc>
          <w:tcPr>
            <w:tcW w:type="dxa" w:w="4320"/>
            <w:vAlign w:val="center"/>
          </w:tcPr>
          <w:p>
            <w:r>
              <w:rPr>
                <w:sz w:val="20"/>
              </w:rPr>
              <w:t>施設、ECOG PS (0 vs 1)、前治療数 (1 vs 2+)</w:t>
            </w:r>
          </w:p>
        </w:tc>
      </w:tr>
      <w:tr>
        <w:tc>
          <w:tcPr>
            <w:tcW w:type="dxa" w:w="4320"/>
            <w:vAlign w:val="center"/>
          </w:tcPr>
          <w:p>
            <w:r>
              <w:rPr>
                <w:sz w:val="20"/>
              </w:rPr>
              <w:t>予定登録数</w:t>
            </w:r>
          </w:p>
        </w:tc>
        <w:tc>
          <w:tcPr>
            <w:tcW w:type="dxa" w:w="4320"/>
            <w:vAlign w:val="center"/>
          </w:tcPr>
          <w:p>
            <w:r>
              <w:rPr>
                <w:sz w:val="20"/>
              </w:rPr>
              <w:t>180例 (60例 × 3群)</w:t>
            </w:r>
          </w:p>
        </w:tc>
      </w:tr>
      <w:tr>
        <w:tc>
          <w:tcPr>
            <w:tcW w:type="dxa" w:w="4320"/>
            <w:vAlign w:val="center"/>
          </w:tcPr>
          <w:p>
            <w:r>
              <w:rPr>
                <w:sz w:val="20"/>
              </w:rPr>
              <w:t>予定試験期間</w:t>
            </w:r>
          </w:p>
        </w:tc>
        <w:tc>
          <w:tcPr>
            <w:tcW w:type="dxa" w:w="4320"/>
            <w:vAlign w:val="center"/>
          </w:tcPr>
          <w:p>
            <w:r>
              <w:rPr>
                <w:sz w:val="20"/>
              </w:rPr>
              <w:t>登録開始から3年間 (登録期間2年 + 追跡1年)</w:t>
            </w:r>
          </w:p>
        </w:tc>
      </w:tr>
      <w:tr>
        <w:tc>
          <w:tcPr>
            <w:tcW w:type="dxa" w:w="4320"/>
            <w:vAlign w:val="center"/>
          </w:tcPr>
          <w:p>
            <w:r>
              <w:rPr>
                <w:sz w:val="20"/>
              </w:rPr>
              <w:t>中間解析</w:t>
            </w:r>
          </w:p>
        </w:tc>
        <w:tc>
          <w:tcPr>
            <w:tcW w:type="dxa" w:w="4320"/>
            <w:vAlign w:val="center"/>
          </w:tcPr>
          <w:p>
            <w:r>
              <w:rPr>
                <w:sz w:val="20"/>
              </w:rPr>
              <w:t>PFSイベント発生70%時点で1回実施</w:t>
            </w:r>
          </w:p>
        </w:tc>
      </w:tr>
    </w:tbl>
    <w:p/>
    <w:p>
      <w:pPr>
        <w:pStyle w:val="Heading1"/>
      </w:pPr>
      <w:r>
        <w:t>4. 対象患者</w:t>
      </w:r>
    </w:p>
    <w:p>
      <w:pPr>
        <w:pStyle w:val="Heading2"/>
      </w:pPr>
      <w:r>
        <w:t>4.1 選択基準</w:t>
      </w:r>
    </w:p>
    <w:p>
      <w:r>
        <w:rPr>
          <w:sz w:val="22"/>
        </w:rPr>
        <w:t>以下の全てを満たす患者を組み入れる:</w:t>
      </w:r>
    </w:p>
    <w:p>
      <w:r>
        <w:rPr>
          <w:sz w:val="22"/>
        </w:rPr>
        <w:t>① 同意取得時に20歳以上85歳以下の成人男女</w:t>
      </w:r>
    </w:p>
    <w:p>
      <w:r>
        <w:rPr>
          <w:sz w:val="22"/>
        </w:rPr>
        <w:t>② 組織学的または細胞学的に対象疾患と確定診断されていること</w:t>
      </w:r>
    </w:p>
    <w:p>
      <w:r>
        <w:rPr>
          <w:sz w:val="22"/>
        </w:rPr>
        <w:t>③ RECIST v1.1 基準による測定可能病変を1つ以上有すること</w:t>
      </w:r>
    </w:p>
    <w:p>
      <w:r>
        <w:rPr>
          <w:sz w:val="22"/>
        </w:rPr>
        <w:t>④ ECOG パフォーマンスステータスが 0 または 1 であること</w:t>
      </w:r>
    </w:p>
    <w:p>
      <w:r>
        <w:rPr>
          <w:sz w:val="22"/>
        </w:rPr>
        <w:t>⑤ 標準治療に不応または不耐となった患者 (前治療 1〜4 レジメン)</w:t>
      </w:r>
    </w:p>
    <w:p>
      <w:r>
        <w:rPr>
          <w:sz w:val="22"/>
        </w:rPr>
        <w:t>⑥ 予測生存期間が3か月以上であること</w:t>
      </w:r>
    </w:p>
    <w:p>
      <w:r>
        <w:rPr>
          <w:sz w:val="22"/>
        </w:rPr>
        <w:t>⑦ 十分な臓器機能を有すること (詳細は治験実施計画書本文に記載)</w:t>
      </w:r>
    </w:p>
    <w:p>
      <w:r>
        <w:rPr>
          <w:sz w:val="22"/>
        </w:rPr>
        <w:t>⑧ 経口投与が可能であること</w:t>
      </w:r>
    </w:p>
    <w:p>
      <w:r>
        <w:rPr>
          <w:sz w:val="22"/>
        </w:rPr>
        <w:t>⑨ 妊娠可能な女性および女性パートナーを有する男性は避妊に同意すること</w:t>
      </w:r>
    </w:p>
    <w:p>
      <w:r>
        <w:rPr>
          <w:sz w:val="22"/>
        </w:rPr>
        <w:t>⑩ 本人による文書同意が取得できていること</w:t>
      </w:r>
    </w:p>
    <w:p>
      <w:pPr>
        <w:pStyle w:val="Heading2"/>
      </w:pPr>
      <w:r>
        <w:t>4.2 除外基準</w:t>
      </w:r>
    </w:p>
    <w:p>
      <w:r>
        <w:rPr>
          <w:sz w:val="22"/>
        </w:rPr>
        <w:t>以下のいずれかに該当する患者は除外する:</w:t>
      </w:r>
    </w:p>
    <w:p>
      <w:r>
        <w:rPr>
          <w:sz w:val="22"/>
        </w:rPr>
        <w:t>① 妊娠中または授乳中の女性</w:t>
      </w:r>
    </w:p>
    <w:p>
      <w:r>
        <w:rPr>
          <w:sz w:val="22"/>
        </w:rPr>
        <w:t>② 活動性の二次悪性腫瘍を有する患者 (適切に治療された皮膚基底細胞癌等を除く)</w:t>
      </w:r>
    </w:p>
    <w:p>
      <w:r>
        <w:rPr>
          <w:sz w:val="22"/>
        </w:rPr>
        <w:t>③ 中枢神経系転移を有し、症候性かつ治療されていない患者</w:t>
      </w:r>
    </w:p>
    <w:p>
      <w:r>
        <w:rPr>
          <w:sz w:val="22"/>
        </w:rPr>
        <w:t>④ コントロール不良な心血管疾患 (登録前6か月以内の心筋梗塞、不安定狭心症等) を有する患者</w:t>
      </w:r>
    </w:p>
    <w:p>
      <w:r>
        <w:rPr>
          <w:sz w:val="22"/>
        </w:rPr>
        <w:t>⑤ 臨床的に問題となる不整脈 (QTc延長を含む) を有する患者</w:t>
      </w:r>
    </w:p>
    <w:p>
      <w:r>
        <w:rPr>
          <w:sz w:val="22"/>
        </w:rPr>
        <w:t>⑥ 活動性の感染症 (HIV、HBV、HCV、活動性結核) を有する患者</w:t>
      </w:r>
    </w:p>
    <w:p>
      <w:r>
        <w:rPr>
          <w:sz w:val="22"/>
        </w:rPr>
        <w:t>⑦ 試験薬剤の成分に対する既知の過敏症を有する患者</w:t>
      </w:r>
    </w:p>
    <w:p>
      <w:r>
        <w:rPr>
          <w:sz w:val="22"/>
        </w:rPr>
        <w:t>⑧ 前治療の毒性が Grade 1 以下に回復していない患者 (脱毛等を除く)</w:t>
      </w:r>
    </w:p>
    <w:p>
      <w:r>
        <w:rPr>
          <w:sz w:val="22"/>
        </w:rPr>
        <w:t>⑨ 登録前 14 日以内に他の治験薬による治療を受けた患者</w:t>
      </w:r>
    </w:p>
    <w:p>
      <w:r>
        <w:rPr>
          <w:sz w:val="22"/>
        </w:rPr>
        <w:t>⑩ 治験実施計画書の遵守が困難と判断される精神疾患を有する患者</w:t>
      </w:r>
    </w:p>
    <w:p>
      <w:r>
        <w:rPr>
          <w:sz w:val="22"/>
        </w:rPr>
        <w:t>⑪ その他、治験責任医師が不適当と判断した患者</w:t>
      </w:r>
    </w:p>
    <w:p>
      <w:pPr>
        <w:pStyle w:val="Heading1"/>
      </w:pPr>
      <w:r>
        <w:t>5. 用法・用量および投与スケジュール</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vAlign w:val="center"/>
          </w:tcPr>
          <w:p>
            <w:r>
              <w:rPr>
                <w:b/>
                <w:sz w:val="20"/>
              </w:rPr>
              <w:t>コホート</w:t>
            </w:r>
          </w:p>
        </w:tc>
        <w:tc>
          <w:tcPr>
            <w:tcW w:type="dxa" w:w="1728"/>
            <w:shd w:val="clear" w:color="auto" w:fill="D9E2F3"/>
            <w:vAlign w:val="center"/>
          </w:tcPr>
          <w:p>
            <w:r>
              <w:rPr>
                <w:b/>
                <w:sz w:val="20"/>
              </w:rPr>
              <w:t>用量</w:t>
            </w:r>
          </w:p>
        </w:tc>
        <w:tc>
          <w:tcPr>
            <w:tcW w:type="dxa" w:w="1728"/>
            <w:shd w:val="clear" w:color="auto" w:fill="D9E2F3"/>
            <w:vAlign w:val="center"/>
          </w:tcPr>
          <w:p>
            <w:r>
              <w:rPr>
                <w:b/>
                <w:sz w:val="20"/>
              </w:rPr>
              <w:t>投与経路</w:t>
            </w:r>
          </w:p>
        </w:tc>
        <w:tc>
          <w:tcPr>
            <w:tcW w:type="dxa" w:w="1728"/>
            <w:shd w:val="clear" w:color="auto" w:fill="D9E2F3"/>
            <w:vAlign w:val="center"/>
          </w:tcPr>
          <w:p>
            <w:r>
              <w:rPr>
                <w:b/>
                <w:sz w:val="20"/>
              </w:rPr>
              <w:t>投与頻度</w:t>
            </w:r>
          </w:p>
        </w:tc>
        <w:tc>
          <w:tcPr>
            <w:tcW w:type="dxa" w:w="1728"/>
            <w:shd w:val="clear" w:color="auto" w:fill="D9E2F3"/>
            <w:vAlign w:val="center"/>
          </w:tcPr>
          <w:p>
            <w:r>
              <w:rPr>
                <w:b/>
                <w:sz w:val="20"/>
              </w:rPr>
              <w:t>投与期間</w:t>
            </w:r>
          </w:p>
        </w:tc>
      </w:tr>
      <w:tr>
        <w:tc>
          <w:tcPr>
            <w:tcW w:type="dxa" w:w="1728"/>
            <w:vAlign w:val="center"/>
          </w:tcPr>
          <w:p>
            <w:r>
              <w:rPr>
                <w:sz w:val="20"/>
              </w:rPr>
              <w:t>低用量群 (100 mg)</w:t>
            </w:r>
          </w:p>
        </w:tc>
        <w:tc>
          <w:tcPr>
            <w:tcW w:type="dxa" w:w="1728"/>
            <w:vAlign w:val="center"/>
          </w:tcPr>
          <w:p>
            <w:r>
              <w:rPr>
                <w:sz w:val="20"/>
              </w:rPr>
              <w:t>100 mg</w:t>
            </w:r>
          </w:p>
        </w:tc>
        <w:tc>
          <w:tcPr>
            <w:tcW w:type="dxa" w:w="1728"/>
            <w:vAlign w:val="center"/>
          </w:tcPr>
          <w:p>
            <w:r>
              <w:rPr>
                <w:sz w:val="20"/>
              </w:rPr>
              <w:t>経口</w:t>
            </w:r>
          </w:p>
        </w:tc>
        <w:tc>
          <w:tcPr>
            <w:tcW w:type="dxa" w:w="1728"/>
            <w:vAlign w:val="center"/>
          </w:tcPr>
          <w:p>
            <w:r>
              <w:rPr>
                <w:sz w:val="20"/>
              </w:rPr>
              <w:t>1日1回 (朝食後)</w:t>
            </w:r>
          </w:p>
        </w:tc>
        <w:tc>
          <w:tcPr>
            <w:tcW w:type="dxa" w:w="1728"/>
            <w:vAlign w:val="center"/>
          </w:tcPr>
          <w:p>
            <w:r>
              <w:rPr>
                <w:sz w:val="20"/>
              </w:rPr>
              <w:t>疾患進行または投与中止まで</w:t>
            </w:r>
          </w:p>
        </w:tc>
      </w:tr>
      <w:tr>
        <w:tc>
          <w:tcPr>
            <w:tcW w:type="dxa" w:w="1728"/>
            <w:vAlign w:val="center"/>
          </w:tcPr>
          <w:p>
            <w:r>
              <w:rPr>
                <w:sz w:val="20"/>
              </w:rPr>
              <w:t>高用量群 (200 mg)</w:t>
            </w:r>
          </w:p>
        </w:tc>
        <w:tc>
          <w:tcPr>
            <w:tcW w:type="dxa" w:w="1728"/>
            <w:vAlign w:val="center"/>
          </w:tcPr>
          <w:p>
            <w:r>
              <w:rPr>
                <w:sz w:val="20"/>
              </w:rPr>
              <w:t>200 mg</w:t>
            </w:r>
          </w:p>
        </w:tc>
        <w:tc>
          <w:tcPr>
            <w:tcW w:type="dxa" w:w="1728"/>
            <w:vAlign w:val="center"/>
          </w:tcPr>
          <w:p>
            <w:r>
              <w:rPr>
                <w:sz w:val="20"/>
              </w:rPr>
              <w:t>経口</w:t>
            </w:r>
          </w:p>
        </w:tc>
        <w:tc>
          <w:tcPr>
            <w:tcW w:type="dxa" w:w="1728"/>
            <w:vAlign w:val="center"/>
          </w:tcPr>
          <w:p>
            <w:r>
              <w:rPr>
                <w:sz w:val="20"/>
              </w:rPr>
              <w:t>1日1回 (朝食後)</w:t>
            </w:r>
          </w:p>
        </w:tc>
        <w:tc>
          <w:tcPr>
            <w:tcW w:type="dxa" w:w="1728"/>
            <w:vAlign w:val="center"/>
          </w:tcPr>
          <w:p>
            <w:r>
              <w:rPr>
                <w:sz w:val="20"/>
              </w:rPr>
              <w:t>疾患進行または投与中止まで</w:t>
            </w:r>
          </w:p>
        </w:tc>
      </w:tr>
      <w:tr>
        <w:tc>
          <w:tcPr>
            <w:tcW w:type="dxa" w:w="1728"/>
            <w:vAlign w:val="center"/>
          </w:tcPr>
          <w:p>
            <w:r>
              <w:rPr>
                <w:sz w:val="20"/>
              </w:rPr>
              <w:t>対照群</w:t>
            </w:r>
          </w:p>
        </w:tc>
        <w:tc>
          <w:tcPr>
            <w:tcW w:type="dxa" w:w="1728"/>
            <w:vAlign w:val="center"/>
          </w:tcPr>
          <w:p>
            <w:r>
              <w:rPr>
                <w:sz w:val="20"/>
              </w:rPr>
              <w:t>標準治療</w:t>
            </w:r>
          </w:p>
        </w:tc>
        <w:tc>
          <w:tcPr>
            <w:tcW w:type="dxa" w:w="1728"/>
            <w:vAlign w:val="center"/>
          </w:tcPr>
          <w:p>
            <w:r>
              <w:rPr>
                <w:sz w:val="20"/>
              </w:rPr>
              <w:t>指定なし</w:t>
            </w:r>
          </w:p>
        </w:tc>
        <w:tc>
          <w:tcPr>
            <w:tcW w:type="dxa" w:w="1728"/>
            <w:vAlign w:val="center"/>
          </w:tcPr>
          <w:p>
            <w:r>
              <w:rPr>
                <w:sz w:val="20"/>
              </w:rPr>
              <w:t>各薬剤の添付文書に従う</w:t>
            </w:r>
          </w:p>
        </w:tc>
        <w:tc>
          <w:tcPr>
            <w:tcW w:type="dxa" w:w="1728"/>
            <w:vAlign w:val="center"/>
          </w:tcPr>
          <w:p>
            <w:r>
              <w:rPr>
                <w:sz w:val="20"/>
              </w:rPr>
              <w:t>疾患進行または投与中止まで</w:t>
            </w:r>
          </w:p>
        </w:tc>
      </w:tr>
    </w:tbl>
    <w:p/>
    <w:p>
      <w:pPr>
        <w:pStyle w:val="Heading2"/>
      </w:pPr>
      <w:r>
        <w:t>5.1 用量調整基準</w:t>
      </w:r>
    </w:p>
    <w:p>
      <w:r>
        <w:rPr>
          <w:sz w:val="22"/>
        </w:rPr>
        <w:t>有害事象の重症度に応じて、以下の基準に従い用量調整または休薬を行う。Grade 3 以上の非血液毒性、または Grade 4 の血液毒性が発現した場合は、Grade 1 以下に回復するまで休薬する。休薬期間が 21 日を超える場合は、投与を永続的に中止する。</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D9E2F3"/>
            <w:vAlign w:val="center"/>
          </w:tcPr>
          <w:p>
            <w:r>
              <w:rPr>
                <w:b/>
                <w:sz w:val="20"/>
              </w:rPr>
              <w:t>有害事象</w:t>
            </w:r>
          </w:p>
        </w:tc>
        <w:tc>
          <w:tcPr>
            <w:tcW w:type="dxa" w:w="2160"/>
            <w:shd w:val="clear" w:color="auto" w:fill="D9E2F3"/>
            <w:vAlign w:val="center"/>
          </w:tcPr>
          <w:p>
            <w:r>
              <w:rPr>
                <w:b/>
                <w:sz w:val="20"/>
              </w:rPr>
              <w:t>初回発現</w:t>
            </w:r>
          </w:p>
        </w:tc>
        <w:tc>
          <w:tcPr>
            <w:tcW w:type="dxa" w:w="2160"/>
            <w:shd w:val="clear" w:color="auto" w:fill="D9E2F3"/>
            <w:vAlign w:val="center"/>
          </w:tcPr>
          <w:p>
            <w:r>
              <w:rPr>
                <w:b/>
                <w:sz w:val="20"/>
              </w:rPr>
              <w:t>2回目発現</w:t>
            </w:r>
          </w:p>
        </w:tc>
        <w:tc>
          <w:tcPr>
            <w:tcW w:type="dxa" w:w="2160"/>
            <w:shd w:val="clear" w:color="auto" w:fill="D9E2F3"/>
            <w:vAlign w:val="center"/>
          </w:tcPr>
          <w:p>
            <w:r>
              <w:rPr>
                <w:b/>
                <w:sz w:val="20"/>
              </w:rPr>
              <w:t>3回目発現</w:t>
            </w:r>
          </w:p>
        </w:tc>
      </w:tr>
      <w:tr>
        <w:tc>
          <w:tcPr>
            <w:tcW w:type="dxa" w:w="2160"/>
            <w:vAlign w:val="center"/>
          </w:tcPr>
          <w:p>
            <w:r>
              <w:rPr>
                <w:sz w:val="20"/>
              </w:rPr>
              <w:t>Grade 3 非血液毒性</w:t>
            </w:r>
          </w:p>
        </w:tc>
        <w:tc>
          <w:tcPr>
            <w:tcW w:type="dxa" w:w="2160"/>
            <w:vAlign w:val="center"/>
          </w:tcPr>
          <w:p>
            <w:r>
              <w:rPr>
                <w:sz w:val="20"/>
              </w:rPr>
              <w:t>1レベル減量 (100 mg)</w:t>
            </w:r>
          </w:p>
        </w:tc>
        <w:tc>
          <w:tcPr>
            <w:tcW w:type="dxa" w:w="2160"/>
            <w:vAlign w:val="center"/>
          </w:tcPr>
          <w:p>
            <w:r>
              <w:rPr>
                <w:sz w:val="20"/>
              </w:rPr>
              <w:t>1レベル減量 (50 mg)</w:t>
            </w:r>
          </w:p>
        </w:tc>
        <w:tc>
          <w:tcPr>
            <w:tcW w:type="dxa" w:w="2160"/>
            <w:vAlign w:val="center"/>
          </w:tcPr>
          <w:p>
            <w:r>
              <w:rPr>
                <w:sz w:val="20"/>
              </w:rPr>
              <w:t>投与中止</w:t>
            </w:r>
          </w:p>
        </w:tc>
      </w:tr>
      <w:tr>
        <w:tc>
          <w:tcPr>
            <w:tcW w:type="dxa" w:w="2160"/>
            <w:vAlign w:val="center"/>
          </w:tcPr>
          <w:p>
            <w:r>
              <w:rPr>
                <w:sz w:val="20"/>
              </w:rPr>
              <w:t>Grade 4 血液毒性</w:t>
            </w:r>
          </w:p>
        </w:tc>
        <w:tc>
          <w:tcPr>
            <w:tcW w:type="dxa" w:w="2160"/>
            <w:vAlign w:val="center"/>
          </w:tcPr>
          <w:p>
            <w:r>
              <w:rPr>
                <w:sz w:val="20"/>
              </w:rPr>
              <w:t>1レベル減量</w:t>
            </w:r>
          </w:p>
        </w:tc>
        <w:tc>
          <w:tcPr>
            <w:tcW w:type="dxa" w:w="2160"/>
            <w:vAlign w:val="center"/>
          </w:tcPr>
          <w:p>
            <w:r>
              <w:rPr>
                <w:sz w:val="20"/>
              </w:rPr>
              <w:t>1レベル減量</w:t>
            </w:r>
          </w:p>
        </w:tc>
        <w:tc>
          <w:tcPr>
            <w:tcW w:type="dxa" w:w="2160"/>
            <w:vAlign w:val="center"/>
          </w:tcPr>
          <w:p>
            <w:r>
              <w:rPr>
                <w:sz w:val="20"/>
              </w:rPr>
              <w:t>投与中止</w:t>
            </w:r>
          </w:p>
        </w:tc>
      </w:tr>
      <w:tr>
        <w:tc>
          <w:tcPr>
            <w:tcW w:type="dxa" w:w="2160"/>
            <w:vAlign w:val="center"/>
          </w:tcPr>
          <w:p>
            <w:r>
              <w:rPr>
                <w:sz w:val="20"/>
              </w:rPr>
              <w:t>QTc &gt; 500 ms</w:t>
            </w:r>
          </w:p>
        </w:tc>
        <w:tc>
          <w:tcPr>
            <w:tcW w:type="dxa" w:w="2160"/>
            <w:vAlign w:val="center"/>
          </w:tcPr>
          <w:p>
            <w:r>
              <w:rPr>
                <w:sz w:val="20"/>
              </w:rPr>
              <w:t>休薬 → 500 ms未満で1レベル減量再開</w:t>
            </w:r>
          </w:p>
        </w:tc>
        <w:tc>
          <w:tcPr>
            <w:tcW w:type="dxa" w:w="2160"/>
            <w:vAlign w:val="center"/>
          </w:tcPr>
          <w:p>
            <w:r>
              <w:rPr>
                <w:sz w:val="20"/>
              </w:rPr>
              <w:t>投与中止</w:t>
            </w:r>
          </w:p>
        </w:tc>
        <w:tc>
          <w:tcPr>
            <w:tcW w:type="dxa" w:w="2160"/>
            <w:vAlign w:val="center"/>
          </w:tcPr>
          <w:p>
            <w:r>
              <w:rPr>
                <w:sz w:val="20"/>
              </w:rPr>
              <w:t>―</w:t>
            </w:r>
          </w:p>
        </w:tc>
      </w:tr>
      <w:tr>
        <w:tc>
          <w:tcPr>
            <w:tcW w:type="dxa" w:w="2160"/>
            <w:vAlign w:val="center"/>
          </w:tcPr>
          <w:p>
            <w:r>
              <w:rPr>
                <w:sz w:val="20"/>
              </w:rPr>
              <w:t>肝機能異常 (AST/ALT &gt; 5×ULN)</w:t>
            </w:r>
          </w:p>
        </w:tc>
        <w:tc>
          <w:tcPr>
            <w:tcW w:type="dxa" w:w="2160"/>
            <w:vAlign w:val="center"/>
          </w:tcPr>
          <w:p>
            <w:r>
              <w:rPr>
                <w:sz w:val="20"/>
              </w:rPr>
              <w:t>休薬 → 3×ULN未満で1レベル減量再開</w:t>
            </w:r>
          </w:p>
        </w:tc>
        <w:tc>
          <w:tcPr>
            <w:tcW w:type="dxa" w:w="2160"/>
            <w:vAlign w:val="center"/>
          </w:tcPr>
          <w:p>
            <w:r>
              <w:rPr>
                <w:sz w:val="20"/>
              </w:rPr>
              <w:t>投与中止</w:t>
            </w:r>
          </w:p>
        </w:tc>
        <w:tc>
          <w:tcPr>
            <w:tcW w:type="dxa" w:w="2160"/>
            <w:vAlign w:val="center"/>
          </w:tcPr>
          <w:p>
            <w:r>
              <w:rPr>
                <w:sz w:val="20"/>
              </w:rPr>
              <w:t>―</w:t>
            </w:r>
          </w:p>
        </w:tc>
      </w:tr>
    </w:tbl>
    <w:p/>
    <w:p>
      <w:pPr>
        <w:pStyle w:val="Heading2"/>
      </w:pPr>
      <w:r>
        <w:t>5.2 併用療法および禁止療法</w:t>
      </w:r>
    </w:p>
    <w:p>
      <w:r>
        <w:rPr>
          <w:sz w:val="22"/>
        </w:rPr>
        <w:t>併用可能: 支持療法薬 (制吐剤、下痢止め、鎮痛剤等)、基礎疾患に対する既存治療の継続。禁止: 他の抗腫瘍薬、免疫抑制薬 (プロトコル指定を除く)、強力な CYP3A4 阻害薬・誘導薬、および試験期間中の生ワクチン接種。</w:t>
      </w:r>
    </w:p>
    <w:p>
      <w:pPr>
        <w:pStyle w:val="Heading1"/>
      </w:pPr>
      <w:r>
        <w:t>6. 評価項目</w:t>
      </w:r>
    </w:p>
    <w:p>
      <w:r>
        <w:rPr>
          <w:sz w:val="22"/>
        </w:rPr>
        <w:t>主要評価項目: 独立中央判定 (BICR) による RECIST v1.1 基準に基づく無増悪生存期間 (PFS)。PFS は無作為化割付日から、疾患進行または全ての原因による死亡のいずれか早い方の日までの期間と定義する。</w:t>
      </w:r>
    </w:p>
    <w:p>
      <w:r>
        <w:rPr>
          <w:sz w:val="22"/>
        </w:rPr>
        <w:t>副次評価項目:</w:t>
      </w:r>
    </w:p>
    <w:p>
      <w:r>
        <w:rPr>
          <w:sz w:val="22"/>
        </w:rPr>
        <w:t>① 全生存期間 (OS): 無作為化割付日から死亡日までの期間</w:t>
      </w:r>
    </w:p>
    <w:p>
      <w:r>
        <w:rPr>
          <w:sz w:val="22"/>
        </w:rPr>
        <w:t>② 客観的奏効率 (ORR): RECIST v1.1 における CR + PR の割合</w:t>
      </w:r>
    </w:p>
    <w:p>
      <w:r>
        <w:rPr>
          <w:sz w:val="22"/>
        </w:rPr>
        <w:t>③ 奏効期間 (DOR): 初回奏効確認日から進行/死亡までの期間</w:t>
      </w:r>
    </w:p>
    <w:p>
      <w:r>
        <w:rPr>
          <w:sz w:val="22"/>
        </w:rPr>
        <w:t>④ 病勢制御率 (DCR): CR + PR + SD の割合</w:t>
      </w:r>
    </w:p>
    <w:p>
      <w:r>
        <w:rPr>
          <w:sz w:val="22"/>
        </w:rPr>
        <w:t>⑤ 有害事象の発現頻度および重症度 (CTCAE v5.0)</w:t>
      </w:r>
    </w:p>
    <w:p>
      <w:r>
        <w:rPr>
          <w:sz w:val="22"/>
        </w:rPr>
        <w:t>⑥ 患者報告アウトカム: EORTC QLQ-C30 スコアの経時変化</w:t>
      </w:r>
    </w:p>
    <w:p>
      <w:r>
        <w:rPr>
          <w:sz w:val="22"/>
        </w:rPr>
        <w:t>⑦ 薬物動態パラメータ (Cmax, AUC0-24, t1/2, Ctrough)</w:t>
      </w:r>
    </w:p>
    <w:p>
      <w:pPr>
        <w:pStyle w:val="Heading1"/>
      </w:pPr>
      <w:r>
        <w:t>7. 検査・評価スケジュール</w:t>
      </w:r>
    </w:p>
    <w:p>
      <w:r>
        <w:rPr>
          <w:sz w:val="22"/>
        </w:rPr>
        <w:t>各来院時に実施する検査・評価の概要を以下に示す。詳細は治験実施計画書本文の「検査・評価スケジュール表 (Schedule of Assessments)」を参照する。</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2F3"/>
            <w:vAlign w:val="center"/>
          </w:tcPr>
          <w:p>
            <w:r>
              <w:rPr>
                <w:b/>
                <w:sz w:val="20"/>
              </w:rPr>
              <w:t>評価項目</w:t>
            </w:r>
          </w:p>
        </w:tc>
        <w:tc>
          <w:tcPr>
            <w:tcW w:type="dxa" w:w="1728"/>
            <w:shd w:val="clear" w:color="auto" w:fill="D9E2F3"/>
            <w:vAlign w:val="center"/>
          </w:tcPr>
          <w:p>
            <w:r>
              <w:rPr>
                <w:b/>
                <w:sz w:val="20"/>
              </w:rPr>
              <w:t>スクリーニング (-28日〜-1日)</w:t>
            </w:r>
          </w:p>
        </w:tc>
        <w:tc>
          <w:tcPr>
            <w:tcW w:type="dxa" w:w="1728"/>
            <w:shd w:val="clear" w:color="auto" w:fill="D9E2F3"/>
            <w:vAlign w:val="center"/>
          </w:tcPr>
          <w:p>
            <w:r>
              <w:rPr>
                <w:b/>
                <w:sz w:val="20"/>
              </w:rPr>
              <w:t>サイクル1</w:t>
            </w:r>
          </w:p>
        </w:tc>
        <w:tc>
          <w:tcPr>
            <w:tcW w:type="dxa" w:w="1728"/>
            <w:shd w:val="clear" w:color="auto" w:fill="D9E2F3"/>
            <w:vAlign w:val="center"/>
          </w:tcPr>
          <w:p>
            <w:r>
              <w:rPr>
                <w:b/>
                <w:sz w:val="20"/>
              </w:rPr>
              <w:t>サイクル2以降</w:t>
            </w:r>
          </w:p>
        </w:tc>
        <w:tc>
          <w:tcPr>
            <w:tcW w:type="dxa" w:w="1728"/>
            <w:shd w:val="clear" w:color="auto" w:fill="D9E2F3"/>
            <w:vAlign w:val="center"/>
          </w:tcPr>
          <w:p>
            <w:r>
              <w:rPr>
                <w:b/>
                <w:sz w:val="20"/>
              </w:rPr>
              <w:t>追跡調査</w:t>
            </w:r>
          </w:p>
        </w:tc>
      </w:tr>
      <w:tr>
        <w:tc>
          <w:tcPr>
            <w:tcW w:type="dxa" w:w="1728"/>
            <w:vAlign w:val="center"/>
          </w:tcPr>
          <w:p>
            <w:r>
              <w:rPr>
                <w:sz w:val="20"/>
              </w:rPr>
              <w:t>同意取得</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w:t>
            </w:r>
          </w:p>
        </w:tc>
      </w:tr>
      <w:tr>
        <w:tc>
          <w:tcPr>
            <w:tcW w:type="dxa" w:w="1728"/>
            <w:vAlign w:val="center"/>
          </w:tcPr>
          <w:p>
            <w:r>
              <w:rPr>
                <w:sz w:val="20"/>
              </w:rPr>
              <w:t>病歴・身体診察</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 (各サイクル初日)</w:t>
            </w:r>
          </w:p>
        </w:tc>
        <w:tc>
          <w:tcPr>
            <w:tcW w:type="dxa" w:w="1728"/>
            <w:vAlign w:val="center"/>
          </w:tcPr>
          <w:p>
            <w:r>
              <w:rPr>
                <w:sz w:val="20"/>
              </w:rPr>
              <w:t>○</w:t>
            </w:r>
          </w:p>
        </w:tc>
      </w:tr>
      <w:tr>
        <w:tc>
          <w:tcPr>
            <w:tcW w:type="dxa" w:w="1728"/>
            <w:vAlign w:val="center"/>
          </w:tcPr>
          <w:p>
            <w:r>
              <w:rPr>
                <w:sz w:val="20"/>
              </w:rPr>
              <w:t>バイタルサイン</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w:t>
            </w:r>
          </w:p>
        </w:tc>
      </w:tr>
      <w:tr>
        <w:tc>
          <w:tcPr>
            <w:tcW w:type="dxa" w:w="1728"/>
            <w:vAlign w:val="center"/>
          </w:tcPr>
          <w:p>
            <w:r>
              <w:rPr>
                <w:sz w:val="20"/>
              </w:rPr>
              <w:t>ECOG PS</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w:t>
            </w:r>
          </w:p>
        </w:tc>
      </w:tr>
      <w:tr>
        <w:tc>
          <w:tcPr>
            <w:tcW w:type="dxa" w:w="1728"/>
            <w:vAlign w:val="center"/>
          </w:tcPr>
          <w:p>
            <w:r>
              <w:rPr>
                <w:sz w:val="20"/>
              </w:rPr>
              <w:t>血液学的検査</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 (2週毎)</w:t>
            </w:r>
          </w:p>
        </w:tc>
        <w:tc>
          <w:tcPr>
            <w:tcW w:type="dxa" w:w="1728"/>
            <w:vAlign w:val="center"/>
          </w:tcPr>
          <w:p>
            <w:r>
              <w:rPr>
                <w:sz w:val="20"/>
              </w:rPr>
              <w:t>○</w:t>
            </w:r>
          </w:p>
        </w:tc>
      </w:tr>
      <w:tr>
        <w:tc>
          <w:tcPr>
            <w:tcW w:type="dxa" w:w="1728"/>
            <w:vAlign w:val="center"/>
          </w:tcPr>
          <w:p>
            <w:r>
              <w:rPr>
                <w:sz w:val="20"/>
              </w:rPr>
              <w:t>生化学的検査</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 (2週毎)</w:t>
            </w:r>
          </w:p>
        </w:tc>
        <w:tc>
          <w:tcPr>
            <w:tcW w:type="dxa" w:w="1728"/>
            <w:vAlign w:val="center"/>
          </w:tcPr>
          <w:p>
            <w:r>
              <w:rPr>
                <w:sz w:val="20"/>
              </w:rPr>
              <w:t>○</w:t>
            </w:r>
          </w:p>
        </w:tc>
      </w:tr>
      <w:tr>
        <w:tc>
          <w:tcPr>
            <w:tcW w:type="dxa" w:w="1728"/>
            <w:vAlign w:val="center"/>
          </w:tcPr>
          <w:p>
            <w:r>
              <w:rPr>
                <w:sz w:val="20"/>
              </w:rPr>
              <w:t>尿検査</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 (4週毎)</w:t>
            </w:r>
          </w:p>
        </w:tc>
        <w:tc>
          <w:tcPr>
            <w:tcW w:type="dxa" w:w="1728"/>
            <w:vAlign w:val="center"/>
          </w:tcPr>
          <w:p>
            <w:r>
              <w:rPr>
                <w:sz w:val="20"/>
              </w:rPr>
              <w:t>―</w:t>
            </w:r>
          </w:p>
        </w:tc>
      </w:tr>
      <w:tr>
        <w:tc>
          <w:tcPr>
            <w:tcW w:type="dxa" w:w="1728"/>
            <w:vAlign w:val="center"/>
          </w:tcPr>
          <w:p>
            <w:r>
              <w:rPr>
                <w:sz w:val="20"/>
              </w:rPr>
              <w:t>心電図 (12誘導)</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 (4週毎)</w:t>
            </w:r>
          </w:p>
        </w:tc>
        <w:tc>
          <w:tcPr>
            <w:tcW w:type="dxa" w:w="1728"/>
            <w:vAlign w:val="center"/>
          </w:tcPr>
          <w:p>
            <w:r>
              <w:rPr>
                <w:sz w:val="20"/>
              </w:rPr>
              <w:t>○</w:t>
            </w:r>
          </w:p>
        </w:tc>
      </w:tr>
      <w:tr>
        <w:tc>
          <w:tcPr>
            <w:tcW w:type="dxa" w:w="1728"/>
            <w:vAlign w:val="center"/>
          </w:tcPr>
          <w:p>
            <w:r>
              <w:rPr>
                <w:sz w:val="20"/>
              </w:rPr>
              <w:t>画像評価 (CT/MRI)</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 (8週毎)</w:t>
            </w:r>
          </w:p>
        </w:tc>
        <w:tc>
          <w:tcPr>
            <w:tcW w:type="dxa" w:w="1728"/>
            <w:vAlign w:val="center"/>
          </w:tcPr>
          <w:p>
            <w:r>
              <w:rPr>
                <w:sz w:val="20"/>
              </w:rPr>
              <w:t>○</w:t>
            </w:r>
          </w:p>
        </w:tc>
      </w:tr>
      <w:tr>
        <w:tc>
          <w:tcPr>
            <w:tcW w:type="dxa" w:w="1728"/>
            <w:vAlign w:val="center"/>
          </w:tcPr>
          <w:p>
            <w:r>
              <w:rPr>
                <w:sz w:val="20"/>
              </w:rPr>
              <w:t>QLQ-C30</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 (各サイクル初日)</w:t>
            </w:r>
          </w:p>
        </w:tc>
        <w:tc>
          <w:tcPr>
            <w:tcW w:type="dxa" w:w="1728"/>
            <w:vAlign w:val="center"/>
          </w:tcPr>
          <w:p>
            <w:r>
              <w:rPr>
                <w:sz w:val="20"/>
              </w:rPr>
              <w:t>○</w:t>
            </w:r>
          </w:p>
        </w:tc>
      </w:tr>
      <w:tr>
        <w:tc>
          <w:tcPr>
            <w:tcW w:type="dxa" w:w="1728"/>
            <w:vAlign w:val="center"/>
          </w:tcPr>
          <w:p>
            <w:r>
              <w:rPr>
                <w:sz w:val="20"/>
              </w:rPr>
              <w:t>PK 採血</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 (Cycle 2, 4)</w:t>
            </w:r>
          </w:p>
        </w:tc>
        <w:tc>
          <w:tcPr>
            <w:tcW w:type="dxa" w:w="1728"/>
            <w:vAlign w:val="center"/>
          </w:tcPr>
          <w:p>
            <w:r>
              <w:rPr>
                <w:sz w:val="20"/>
              </w:rPr>
              <w:t>―</w:t>
            </w:r>
          </w:p>
        </w:tc>
      </w:tr>
      <w:tr>
        <w:tc>
          <w:tcPr>
            <w:tcW w:type="dxa" w:w="1728"/>
            <w:vAlign w:val="center"/>
          </w:tcPr>
          <w:p>
            <w:r>
              <w:rPr>
                <w:sz w:val="20"/>
              </w:rPr>
              <w:t>ctDNA 採血</w:t>
            </w:r>
          </w:p>
        </w:tc>
        <w:tc>
          <w:tcPr>
            <w:tcW w:type="dxa" w:w="1728"/>
            <w:vAlign w:val="center"/>
          </w:tcPr>
          <w:p>
            <w:r>
              <w:rPr>
                <w:sz w:val="20"/>
              </w:rPr>
              <w:t>○</w:t>
            </w:r>
          </w:p>
        </w:tc>
        <w:tc>
          <w:tcPr>
            <w:tcW w:type="dxa" w:w="1728"/>
            <w:vAlign w:val="center"/>
          </w:tcPr>
          <w:p>
            <w:r>
              <w:rPr>
                <w:sz w:val="20"/>
              </w:rPr>
              <w:t>○</w:t>
            </w:r>
          </w:p>
        </w:tc>
        <w:tc>
          <w:tcPr>
            <w:tcW w:type="dxa" w:w="1728"/>
            <w:vAlign w:val="center"/>
          </w:tcPr>
          <w:p>
            <w:r>
              <w:rPr>
                <w:sz w:val="20"/>
              </w:rPr>
              <w:t>○ (Cycle 3, 6)</w:t>
            </w:r>
          </w:p>
        </w:tc>
        <w:tc>
          <w:tcPr>
            <w:tcW w:type="dxa" w:w="1728"/>
            <w:vAlign w:val="center"/>
          </w:tcPr>
          <w:p>
            <w:r>
              <w:rPr>
                <w:sz w:val="20"/>
              </w:rPr>
              <w:t>○</w:t>
            </w:r>
          </w:p>
        </w:tc>
      </w:tr>
      <w:tr>
        <w:tc>
          <w:tcPr>
            <w:tcW w:type="dxa" w:w="1728"/>
            <w:vAlign w:val="center"/>
          </w:tcPr>
          <w:p>
            <w:r>
              <w:rPr>
                <w:sz w:val="20"/>
              </w:rPr>
              <w:t>有害事象評価</w:t>
            </w:r>
          </w:p>
        </w:tc>
        <w:tc>
          <w:tcPr>
            <w:tcW w:type="dxa" w:w="1728"/>
            <w:vAlign w:val="center"/>
          </w:tcPr>
          <w:p>
            <w:r>
              <w:rPr>
                <w:sz w:val="20"/>
              </w:rPr>
              <w:t>―</w:t>
            </w:r>
          </w:p>
        </w:tc>
        <w:tc>
          <w:tcPr>
            <w:tcW w:type="dxa" w:w="1728"/>
            <w:vAlign w:val="center"/>
          </w:tcPr>
          <w:p>
            <w:r>
              <w:rPr>
                <w:sz w:val="20"/>
              </w:rPr>
              <w:t>継続</w:t>
            </w:r>
          </w:p>
        </w:tc>
        <w:tc>
          <w:tcPr>
            <w:tcW w:type="dxa" w:w="1728"/>
            <w:vAlign w:val="center"/>
          </w:tcPr>
          <w:p>
            <w:r>
              <w:rPr>
                <w:sz w:val="20"/>
              </w:rPr>
              <w:t>継続</w:t>
            </w:r>
          </w:p>
        </w:tc>
        <w:tc>
          <w:tcPr>
            <w:tcW w:type="dxa" w:w="1728"/>
            <w:vAlign w:val="center"/>
          </w:tcPr>
          <w:p>
            <w:r>
              <w:rPr>
                <w:sz w:val="20"/>
              </w:rPr>
              <w:t>継続 (30日間)</w:t>
            </w:r>
          </w:p>
        </w:tc>
      </w:tr>
    </w:tbl>
    <w:p/>
    <w:p>
      <w:pPr>
        <w:pStyle w:val="Heading1"/>
      </w:pPr>
      <w:r>
        <w:t>8. 薬物動態評価</w:t>
      </w:r>
    </w:p>
    <w:p>
      <w:r>
        <w:rPr>
          <w:sz w:val="22"/>
        </w:rPr>
        <w:t>サイクル1初日 (単回投与) およびサイクル1第15日 (反復投与定常状態) において、投与前および投与後 0.5、1、2、4、8、12、24 時間の合計8点で PK 採血を実施する。サイクル2および4の初日には、投与前 (Ctrough) の1点のみ採血する。血漿中 DBX-101 濃度は、バリデート済みの LC-MS/MS 法により測定する。</w:t>
      </w:r>
    </w:p>
    <w:p>
      <w:r>
        <w:drawing>
          <wp:inline xmlns:a="http://schemas.openxmlformats.org/drawingml/2006/main" xmlns:pic="http://schemas.openxmlformats.org/drawingml/2006/picture">
            <wp:extent cx="5486400" cy="303862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038622"/>
                    </a:xfrm>
                    <a:prstGeom prst="rect"/>
                  </pic:spPr>
                </pic:pic>
              </a:graphicData>
            </a:graphic>
          </wp:inline>
        </w:drawing>
      </w:r>
    </w:p>
    <w:p>
      <w:pPr>
        <w:jc w:val="center"/>
      </w:pPr>
      <w:r>
        <w:rPr>
          <w:i/>
          <w:color w:val="555555"/>
          <w:sz w:val="18"/>
        </w:rPr>
        <w:t>図1. DBX-101 単回経口投与時の血漿中濃度推移 (想定値、模擬データ)</w:t>
      </w:r>
    </w:p>
    <w:p>
      <w:r>
        <w:rPr>
          <w:sz w:val="22"/>
        </w:rPr>
        <w:t>予備解析の結果、DBX-101 の薬物動態はほぼ線形であり、用量比例的に Cmax および AUC が増加すると予測される。反復投与時の蓄積係数は約 1.4 と推定される。</w:t>
      </w:r>
    </w:p>
    <w:p>
      <w:pPr>
        <w:pStyle w:val="Heading1"/>
      </w:pPr>
      <w:r>
        <w:t>9. 安全性評価</w:t>
      </w:r>
    </w:p>
    <w:p>
      <w:r>
        <w:rPr>
          <w:sz w:val="22"/>
        </w:rPr>
        <w:t>全ての有害事象は、CTCAE v5.0 に基づいて Grade 判定を行う。第I相試験の結果から予測される主な有害事象は、消化器症状 (悪心、下痢、食欲低下)、全身状態 (倦怠感、疲労)、および皮膚関連 (発疹、掻痒感) である。予測される重篤有害事象としては、Grade 3 以上の肝機能異常、および Grade 3 以上の好中球減少が挙げられる。</w:t>
      </w:r>
    </w:p>
    <w:p>
      <w:r>
        <w:drawing>
          <wp:inline xmlns:a="http://schemas.openxmlformats.org/drawingml/2006/main" xmlns:pic="http://schemas.openxmlformats.org/drawingml/2006/picture">
            <wp:extent cx="5486400" cy="3038622"/>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038622"/>
                    </a:xfrm>
                    <a:prstGeom prst="rect"/>
                  </pic:spPr>
                </pic:pic>
              </a:graphicData>
            </a:graphic>
          </wp:inline>
        </w:drawing>
      </w:r>
    </w:p>
    <w:p>
      <w:pPr>
        <w:jc w:val="center"/>
      </w:pPr>
      <w:r>
        <w:rPr>
          <w:i/>
          <w:color w:val="555555"/>
          <w:sz w:val="18"/>
        </w:rPr>
        <w:t>図2. 投与群別 CTCAE Grade 別 有害事象発現例数 (想定値、模擬データ)</w:t>
      </w:r>
    </w:p>
    <w:p>
      <w:pPr>
        <w:pStyle w:val="Heading1"/>
      </w:pPr>
      <w:r>
        <w:t>10. 統計解析計画</w:t>
      </w:r>
    </w:p>
    <w:p>
      <w:pPr>
        <w:pStyle w:val="Heading2"/>
      </w:pPr>
      <w:r>
        <w:t>10.1 症例数設計</w:t>
      </w:r>
    </w:p>
    <w:p>
      <w:r>
        <w:rPr>
          <w:sz w:val="22"/>
        </w:rPr>
        <w:t>対照群の PFS 中央値を 6.5 か月、DBX-101 高用量群の PFS 中央値を 10.4 か月と仮定した場合、片側有意水準 0.025、検出力 80%、追跡打切り率 15% を仮定し、必要症例数は各群 60 例、合計 180 例と算出された。</w:t>
      </w:r>
    </w:p>
    <w:p>
      <w:pPr>
        <w:pStyle w:val="Heading2"/>
      </w:pPr>
      <w:r>
        <w:t>10.2 主要解析</w:t>
      </w:r>
    </w:p>
    <w:p>
      <w:r>
        <w:rPr>
          <w:sz w:val="22"/>
        </w:rPr>
        <w:t>主要解析集団は無作為化された全患者からなる ITT 集団とする。群間の PFS 比較は、層別因子で層別化した Log-rank 検定を用いて実施する。ハザード比および 95% 信頼区間は、層別化 Cox 比例ハザードモデルにより推定する。</w:t>
      </w:r>
    </w:p>
    <w:p>
      <w:pPr>
        <w:pStyle w:val="Heading2"/>
      </w:pPr>
      <w:r>
        <w:t>10.3 中間解析</w:t>
      </w:r>
    </w:p>
    <w:p>
      <w:r>
        <w:rPr>
          <w:sz w:val="22"/>
        </w:rPr>
        <w:t>PFS イベント発生数が計画総イベント数の 70% に到達した時点で、独立データモニタリング委員会 (IDMC) による中間解析を実施する。無効性中止基準として、条件付検出力が 10% 未満となった場合は試験中止を勧告する。α消費関数は O'Brien-Fleming 型を採用する。</w:t>
      </w:r>
    </w:p>
    <w:p>
      <w:pPr>
        <w:pStyle w:val="Heading2"/>
      </w:pPr>
      <w:r>
        <w:t>10.4 感度解析および部分集団解析</w:t>
      </w:r>
    </w:p>
    <w:p>
      <w:r>
        <w:rPr>
          <w:sz w:val="22"/>
        </w:rPr>
        <w:t>主要評価項目については、per-protocol 集団を対象とした感度解析、および事前に規定された部分集団 (年齢、性別、ECOG PS、前治療数等)における Cox モデルによる部分集団解析を実施する。</w:t>
      </w:r>
    </w:p>
    <w:p>
      <w:pPr>
        <w:pStyle w:val="Heading1"/>
      </w:pPr>
      <w:r>
        <w:t>11. データモニタリング委員会</w:t>
      </w:r>
    </w:p>
    <w:p>
      <w:r>
        <w:rPr>
          <w:sz w:val="22"/>
        </w:rPr>
        <w:t>本試験には独立データモニタリング委員会 (IDMC) を設置する。IDMC は、当該領域に精通した治験責任医師 3 名 (うち 1 名は生物統計家) から構成され、登録開始後 6 か月毎、および中間解析時点において、安全性および有効性データをレビューする。</w:t>
      </w:r>
    </w:p>
    <w:p>
      <w:pPr>
        <w:pStyle w:val="Heading1"/>
      </w:pPr>
      <w:r>
        <w:t>12. 倫理的および規制上の考慮事項</w:t>
      </w:r>
    </w:p>
    <w:p>
      <w:r>
        <w:rPr>
          <w:sz w:val="22"/>
        </w:rPr>
        <w:t>本試験は、ヘルシンキ宣言、ICH E6 (R2) Good Clinical Practice、および医薬品医療機器等法を遵守して実施される。試験開始前に、各実施医療機関の治験審査委員会 (IRB) の承認、および医薬品医療機器総合機構 (PMDA) への治験届出を完了する。</w:t>
      </w:r>
    </w:p>
    <w:p>
      <w:r>
        <w:rPr>
          <w:sz w:val="22"/>
        </w:rPr>
        <w:t>全ての被験者は、試験参加前に治験の目的、方法、予想される利益および不利益について、治験責任医師から十分な説明を受け、自由意思による文書同意を提供する。被験者は、いかなる不利益を被ることなく、いつでも同意を撤回する権利を有する。</w:t>
      </w:r>
    </w:p>
    <w:p>
      <w:pPr>
        <w:pStyle w:val="Heading1"/>
      </w:pPr>
      <w:r>
        <w:t>13. 試験組織および連絡先</w:t>
      </w:r>
    </w:p>
    <w:p>
      <w:r>
        <w:rPr>
          <w:sz w:val="22"/>
        </w:rPr>
        <w:t>治験調整医師: 本試験の医学的な統括を担当する。生物統計責任者: 統計解析計画書の作成および統計解析を担当する。データマネジメント責任者: EDC の管理およびデータクリーニングを担当する。モニタリング担当: CRA による定期的なモニタリング訪問を実施する。</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Databricks Pharma KK  秘密扱い  |  ページ </w:t>
    </w:r>
    <w:r>
      <w:rPr>
        <w:sz w:val="18"/>
      </w:rPr>
      <w:fldSimple w:instr="PAGE">
        <w:r>
          <w:t>1</w:t>
        </w:r>
      </w:fldSimpl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Pr>
      <w:t>治験実施計画書  概要  |  DBX101-JP-002  |  版 2.0 (2026年3月15日)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