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定期的安全性最新報告書 (PSUR)</w:t>
      </w:r>
    </w:p>
    <w:p>
      <w:r>
        <w:rPr>
          <w:sz w:val="22"/>
        </w:rPr>
        <w:t>本書は、DBX-101 (開発コード) について、報告期間中に収集された安全性情報を要約したものである。本要約は、ICH E2C (R2) Periodic Benefit-Risk Evaluation Report ガイドラインに準拠して作成されている。</w:t>
      </w:r>
    </w:p>
    <w:p>
      <w:pPr>
        <w:pStyle w:val="Heading1"/>
      </w:pPr>
      <w:r>
        <w:t>1. はじめに</w:t>
      </w:r>
    </w:p>
    <w:p>
      <w:r>
        <w:rPr>
          <w:sz w:val="22"/>
        </w:rPr>
        <w:t>本報告書の対象期間は 2025 年 10 月 1 日から 2026 年 3 月 31 日までの 6 か月間である。本剤の国内販売承認取得日は 2024 年 4 月 15 日であり、国際誕生日 (IBD) を基準とした累積 PSUR 番号は本報告書で第 4 号となる。</w:t>
      </w:r>
    </w:p>
    <w:p>
      <w:r>
        <w:rPr>
          <w:sz w:val="22"/>
        </w:rPr>
        <w:t>本報告書に記載する安全性情報は、自発報告、市販後調査、実施中の臨床試験、および公表文献レビューから収集されたものである。全てのデータは、報告期間終了日である 2026 年 3 月 31 日のデータロック時点でクリーニング済みである。</w:t>
      </w:r>
    </w:p>
    <w:p>
      <w:pPr>
        <w:pStyle w:val="Heading1"/>
      </w:pPr>
      <w:r>
        <w:t>2. 医薬品の販売承認状況</w:t>
      </w:r>
    </w:p>
    <w:p>
      <w:r>
        <w:rPr>
          <w:sz w:val="22"/>
        </w:rPr>
        <w:t>報告期間終了時点の DBX-101 の世界における販売承認状況を以下に示す。</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vAlign w:val="center"/>
          </w:tcPr>
          <w:p>
            <w:r>
              <w:rPr>
                <w:b/>
                <w:sz w:val="20"/>
              </w:rPr>
              <w:t>国・地域</w:t>
            </w:r>
          </w:p>
        </w:tc>
        <w:tc>
          <w:tcPr>
            <w:tcW w:type="dxa" w:w="1728"/>
            <w:shd w:val="clear" w:color="auto" w:fill="D9E2F3"/>
            <w:vAlign w:val="center"/>
          </w:tcPr>
          <w:p>
            <w:r>
              <w:rPr>
                <w:b/>
                <w:sz w:val="20"/>
              </w:rPr>
              <w:t>承認日</w:t>
            </w:r>
          </w:p>
        </w:tc>
        <w:tc>
          <w:tcPr>
            <w:tcW w:type="dxa" w:w="1728"/>
            <w:shd w:val="clear" w:color="auto" w:fill="D9E2F3"/>
            <w:vAlign w:val="center"/>
          </w:tcPr>
          <w:p>
            <w:r>
              <w:rPr>
                <w:b/>
                <w:sz w:val="20"/>
              </w:rPr>
              <w:t>適応症</w:t>
            </w:r>
          </w:p>
        </w:tc>
        <w:tc>
          <w:tcPr>
            <w:tcW w:type="dxa" w:w="1728"/>
            <w:shd w:val="clear" w:color="auto" w:fill="D9E2F3"/>
            <w:vAlign w:val="center"/>
          </w:tcPr>
          <w:p>
            <w:r>
              <w:rPr>
                <w:b/>
                <w:sz w:val="20"/>
              </w:rPr>
              <w:t>販売状況</w:t>
            </w:r>
          </w:p>
        </w:tc>
        <w:tc>
          <w:tcPr>
            <w:tcW w:type="dxa" w:w="1728"/>
            <w:shd w:val="clear" w:color="auto" w:fill="D9E2F3"/>
            <w:vAlign w:val="center"/>
          </w:tcPr>
          <w:p>
            <w:r>
              <w:rPr>
                <w:b/>
                <w:sz w:val="20"/>
              </w:rPr>
              <w:t>備考</w:t>
            </w:r>
          </w:p>
        </w:tc>
      </w:tr>
      <w:tr>
        <w:tc>
          <w:tcPr>
            <w:tcW w:type="dxa" w:w="1728"/>
            <w:vAlign w:val="center"/>
          </w:tcPr>
          <w:p>
            <w:r>
              <w:rPr>
                <w:sz w:val="20"/>
              </w:rPr>
              <w:t>日本</w:t>
            </w:r>
          </w:p>
        </w:tc>
        <w:tc>
          <w:tcPr>
            <w:tcW w:type="dxa" w:w="1728"/>
            <w:vAlign w:val="center"/>
          </w:tcPr>
          <w:p>
            <w:r>
              <w:rPr>
                <w:sz w:val="20"/>
              </w:rPr>
              <w:t>2024-04-15</w:t>
            </w:r>
          </w:p>
        </w:tc>
        <w:tc>
          <w:tcPr>
            <w:tcW w:type="dxa" w:w="1728"/>
            <w:vAlign w:val="center"/>
          </w:tcPr>
          <w:p>
            <w:r>
              <w:rPr>
                <w:sz w:val="20"/>
              </w:rPr>
              <w:t>対象疾患</w:t>
            </w:r>
          </w:p>
        </w:tc>
        <w:tc>
          <w:tcPr>
            <w:tcW w:type="dxa" w:w="1728"/>
            <w:vAlign w:val="center"/>
          </w:tcPr>
          <w:p>
            <w:r>
              <w:rPr>
                <w:sz w:val="20"/>
              </w:rPr>
              <w:t>販売中</w:t>
            </w:r>
          </w:p>
        </w:tc>
        <w:tc>
          <w:tcPr>
            <w:tcW w:type="dxa" w:w="1728"/>
            <w:vAlign w:val="center"/>
          </w:tcPr>
          <w:p>
            <w:r>
              <w:rPr>
                <w:sz w:val="20"/>
              </w:rPr>
              <w:t>IBD</w:t>
            </w:r>
          </w:p>
        </w:tc>
      </w:tr>
      <w:tr>
        <w:tc>
          <w:tcPr>
            <w:tcW w:type="dxa" w:w="1728"/>
            <w:vAlign w:val="center"/>
          </w:tcPr>
          <w:p>
            <w:r>
              <w:rPr>
                <w:sz w:val="20"/>
              </w:rPr>
              <w:t>米国</w:t>
            </w:r>
          </w:p>
        </w:tc>
        <w:tc>
          <w:tcPr>
            <w:tcW w:type="dxa" w:w="1728"/>
            <w:vAlign w:val="center"/>
          </w:tcPr>
          <w:p>
            <w:r>
              <w:rPr>
                <w:sz w:val="20"/>
              </w:rPr>
              <w:t>2024-08-22</w:t>
            </w:r>
          </w:p>
        </w:tc>
        <w:tc>
          <w:tcPr>
            <w:tcW w:type="dxa" w:w="1728"/>
            <w:vAlign w:val="center"/>
          </w:tcPr>
          <w:p>
            <w:r>
              <w:rPr>
                <w:sz w:val="20"/>
              </w:rPr>
              <w:t>対象疾患</w:t>
            </w:r>
          </w:p>
        </w:tc>
        <w:tc>
          <w:tcPr>
            <w:tcW w:type="dxa" w:w="1728"/>
            <w:vAlign w:val="center"/>
          </w:tcPr>
          <w:p>
            <w:r>
              <w:rPr>
                <w:sz w:val="20"/>
              </w:rPr>
              <w:t>販売中</w:t>
            </w:r>
          </w:p>
        </w:tc>
        <w:tc>
          <w:tcPr>
            <w:tcW w:type="dxa" w:w="1728"/>
            <w:vAlign w:val="center"/>
          </w:tcPr>
          <w:p>
            <w:r>
              <w:rPr>
                <w:sz w:val="20"/>
              </w:rPr>
              <w:t>―</w:t>
            </w:r>
          </w:p>
        </w:tc>
      </w:tr>
      <w:tr>
        <w:tc>
          <w:tcPr>
            <w:tcW w:type="dxa" w:w="1728"/>
            <w:vAlign w:val="center"/>
          </w:tcPr>
          <w:p>
            <w:r>
              <w:rPr>
                <w:sz w:val="20"/>
              </w:rPr>
              <w:t>EU</w:t>
            </w:r>
          </w:p>
        </w:tc>
        <w:tc>
          <w:tcPr>
            <w:tcW w:type="dxa" w:w="1728"/>
            <w:vAlign w:val="center"/>
          </w:tcPr>
          <w:p>
            <w:r>
              <w:rPr>
                <w:sz w:val="20"/>
              </w:rPr>
              <w:t>2024-11-10</w:t>
            </w:r>
          </w:p>
        </w:tc>
        <w:tc>
          <w:tcPr>
            <w:tcW w:type="dxa" w:w="1728"/>
            <w:vAlign w:val="center"/>
          </w:tcPr>
          <w:p>
            <w:r>
              <w:rPr>
                <w:sz w:val="20"/>
              </w:rPr>
              <w:t>対象疾患</w:t>
            </w:r>
          </w:p>
        </w:tc>
        <w:tc>
          <w:tcPr>
            <w:tcW w:type="dxa" w:w="1728"/>
            <w:vAlign w:val="center"/>
          </w:tcPr>
          <w:p>
            <w:r>
              <w:rPr>
                <w:sz w:val="20"/>
              </w:rPr>
              <w:t>販売中</w:t>
            </w:r>
          </w:p>
        </w:tc>
        <w:tc>
          <w:tcPr>
            <w:tcW w:type="dxa" w:w="1728"/>
            <w:vAlign w:val="center"/>
          </w:tcPr>
          <w:p>
            <w:r>
              <w:rPr>
                <w:sz w:val="20"/>
              </w:rPr>
              <w:t>―</w:t>
            </w:r>
          </w:p>
        </w:tc>
      </w:tr>
      <w:tr>
        <w:tc>
          <w:tcPr>
            <w:tcW w:type="dxa" w:w="1728"/>
            <w:vAlign w:val="center"/>
          </w:tcPr>
          <w:p>
            <w:r>
              <w:rPr>
                <w:sz w:val="20"/>
              </w:rPr>
              <w:t>韓国</w:t>
            </w:r>
          </w:p>
        </w:tc>
        <w:tc>
          <w:tcPr>
            <w:tcW w:type="dxa" w:w="1728"/>
            <w:vAlign w:val="center"/>
          </w:tcPr>
          <w:p>
            <w:r>
              <w:rPr>
                <w:sz w:val="20"/>
              </w:rPr>
              <w:t>2025-06-03</w:t>
            </w:r>
          </w:p>
        </w:tc>
        <w:tc>
          <w:tcPr>
            <w:tcW w:type="dxa" w:w="1728"/>
            <w:vAlign w:val="center"/>
          </w:tcPr>
          <w:p>
            <w:r>
              <w:rPr>
                <w:sz w:val="20"/>
              </w:rPr>
              <w:t>対象疾患</w:t>
            </w:r>
          </w:p>
        </w:tc>
        <w:tc>
          <w:tcPr>
            <w:tcW w:type="dxa" w:w="1728"/>
            <w:vAlign w:val="center"/>
          </w:tcPr>
          <w:p>
            <w:r>
              <w:rPr>
                <w:sz w:val="20"/>
              </w:rPr>
              <w:t>販売中</w:t>
            </w:r>
          </w:p>
        </w:tc>
        <w:tc>
          <w:tcPr>
            <w:tcW w:type="dxa" w:w="1728"/>
            <w:vAlign w:val="center"/>
          </w:tcPr>
          <w:p>
            <w:r>
              <w:rPr>
                <w:sz w:val="20"/>
              </w:rPr>
              <w:t>―</w:t>
            </w:r>
          </w:p>
        </w:tc>
      </w:tr>
      <w:tr>
        <w:tc>
          <w:tcPr>
            <w:tcW w:type="dxa" w:w="1728"/>
            <w:vAlign w:val="center"/>
          </w:tcPr>
          <w:p>
            <w:r>
              <w:rPr>
                <w:sz w:val="20"/>
              </w:rPr>
              <w:t>台湾</w:t>
            </w:r>
          </w:p>
        </w:tc>
        <w:tc>
          <w:tcPr>
            <w:tcW w:type="dxa" w:w="1728"/>
            <w:vAlign w:val="center"/>
          </w:tcPr>
          <w:p>
            <w:r>
              <w:rPr>
                <w:sz w:val="20"/>
              </w:rPr>
              <w:t>2025-09-18</w:t>
            </w:r>
          </w:p>
        </w:tc>
        <w:tc>
          <w:tcPr>
            <w:tcW w:type="dxa" w:w="1728"/>
            <w:vAlign w:val="center"/>
          </w:tcPr>
          <w:p>
            <w:r>
              <w:rPr>
                <w:sz w:val="20"/>
              </w:rPr>
              <w:t>対象疾患</w:t>
            </w:r>
          </w:p>
        </w:tc>
        <w:tc>
          <w:tcPr>
            <w:tcW w:type="dxa" w:w="1728"/>
            <w:vAlign w:val="center"/>
          </w:tcPr>
          <w:p>
            <w:r>
              <w:rPr>
                <w:sz w:val="20"/>
              </w:rPr>
              <w:t>販売中</w:t>
            </w:r>
          </w:p>
        </w:tc>
        <w:tc>
          <w:tcPr>
            <w:tcW w:type="dxa" w:w="1728"/>
            <w:vAlign w:val="center"/>
          </w:tcPr>
          <w:p>
            <w:r>
              <w:rPr>
                <w:sz w:val="20"/>
              </w:rPr>
              <w:t>―</w:t>
            </w:r>
          </w:p>
        </w:tc>
      </w:tr>
      <w:tr>
        <w:tc>
          <w:tcPr>
            <w:tcW w:type="dxa" w:w="1728"/>
            <w:vAlign w:val="center"/>
          </w:tcPr>
          <w:p>
            <w:r>
              <w:rPr>
                <w:sz w:val="20"/>
              </w:rPr>
              <w:t>中国</w:t>
            </w:r>
          </w:p>
        </w:tc>
        <w:tc>
          <w:tcPr>
            <w:tcW w:type="dxa" w:w="1728"/>
            <w:vAlign w:val="center"/>
          </w:tcPr>
          <w:p>
            <w:r>
              <w:rPr>
                <w:sz w:val="20"/>
              </w:rPr>
              <w:t>審査中</w:t>
            </w:r>
          </w:p>
        </w:tc>
        <w:tc>
          <w:tcPr>
            <w:tcW w:type="dxa" w:w="1728"/>
            <w:vAlign w:val="center"/>
          </w:tcPr>
          <w:p>
            <w:r>
              <w:rPr>
                <w:sz w:val="20"/>
              </w:rPr>
              <w:t>―</w:t>
            </w:r>
          </w:p>
        </w:tc>
        <w:tc>
          <w:tcPr>
            <w:tcW w:type="dxa" w:w="1728"/>
            <w:vAlign w:val="center"/>
          </w:tcPr>
          <w:p>
            <w:r>
              <w:rPr>
                <w:sz w:val="20"/>
              </w:rPr>
              <w:t>承認申請中</w:t>
            </w:r>
          </w:p>
        </w:tc>
        <w:tc>
          <w:tcPr>
            <w:tcW w:type="dxa" w:w="1728"/>
            <w:vAlign w:val="center"/>
          </w:tcPr>
          <w:p>
            <w:r>
              <w:rPr>
                <w:sz w:val="20"/>
              </w:rPr>
              <w:t>PMDA相談完了</w:t>
            </w:r>
          </w:p>
        </w:tc>
      </w:tr>
    </w:tbl>
    <w:p/>
    <w:p>
      <w:pPr>
        <w:pStyle w:val="Heading1"/>
      </w:pPr>
      <w:r>
        <w:t>3. 安全上の理由による措置</w:t>
      </w:r>
    </w:p>
    <w:p>
      <w:r>
        <w:rPr>
          <w:sz w:val="22"/>
        </w:rPr>
        <w:t>報告期間中、規制上の措置として、EU 規制当局からの要請により添付文書の 4.4 項「使用上の注意」に、Grade 3 以上の肝機能異常発現時の対応に関する記載を追加した。その他、リコール、販売停止、および流通制限に至る措置は発生していない。</w:t>
      </w:r>
    </w:p>
    <w:p>
      <w:pPr>
        <w:pStyle w:val="Heading1"/>
      </w:pPr>
      <w:r>
        <w:t>4. 添付文書 (RSI) の変更</w:t>
      </w:r>
    </w:p>
    <w:p>
      <w:r>
        <w:rPr>
          <w:sz w:val="22"/>
        </w:rPr>
        <w:t>報告期間中、以下の項目について添付文書の改訂を実施した:(1) 4.4 項「特別な警告および使用上の注意」に肝機能異常の管理に関する記載追加。(2) 4.8 項「副作用」の頻度データを、報告期間中の累積データに基づいて更新。(3) 5.3 項「非臨床試験データ」に長期毒性試験の追加データを反映。</w:t>
      </w:r>
    </w:p>
    <w:p>
      <w:pPr>
        <w:pStyle w:val="Heading1"/>
      </w:pPr>
      <w:r>
        <w:t>5. 推定累積曝露量</w:t>
      </w:r>
    </w:p>
    <w:p>
      <w:r>
        <w:rPr>
          <w:sz w:val="22"/>
        </w:rPr>
        <w:t>報告期間中および累積での DBX-101 の推定曝露量を以下に示す。曝露量は、販売実績データおよび推定平均投与量 (150 mg/day) を基に算出した。</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D9E2F3"/>
            <w:vAlign w:val="center"/>
          </w:tcPr>
          <w:p>
            <w:r>
              <w:rPr>
                <w:b/>
                <w:sz w:val="20"/>
              </w:rPr>
              <w:t>区分</w:t>
            </w:r>
          </w:p>
        </w:tc>
        <w:tc>
          <w:tcPr>
            <w:tcW w:type="dxa" w:w="2880"/>
            <w:shd w:val="clear" w:color="auto" w:fill="D9E2F3"/>
            <w:vAlign w:val="center"/>
          </w:tcPr>
          <w:p>
            <w:r>
              <w:rPr>
                <w:b/>
                <w:sz w:val="20"/>
              </w:rPr>
              <w:t>本報告期間 (2025-10-01 〜 2026-03-31)</w:t>
            </w:r>
          </w:p>
        </w:tc>
        <w:tc>
          <w:tcPr>
            <w:tcW w:type="dxa" w:w="2880"/>
            <w:shd w:val="clear" w:color="auto" w:fill="D9E2F3"/>
            <w:vAlign w:val="center"/>
          </w:tcPr>
          <w:p>
            <w:r>
              <w:rPr>
                <w:b/>
                <w:sz w:val="20"/>
              </w:rPr>
              <w:t>累積 (承認以降)</w:t>
            </w:r>
          </w:p>
        </w:tc>
      </w:tr>
      <w:tr>
        <w:tc>
          <w:tcPr>
            <w:tcW w:type="dxa" w:w="2880"/>
            <w:vAlign w:val="center"/>
          </w:tcPr>
          <w:p>
            <w:r>
              <w:rPr>
                <w:sz w:val="20"/>
              </w:rPr>
              <w:t>投与患者数 (推定)</w:t>
            </w:r>
          </w:p>
        </w:tc>
        <w:tc>
          <w:tcPr>
            <w:tcW w:type="dxa" w:w="2880"/>
            <w:vAlign w:val="center"/>
          </w:tcPr>
          <w:p>
            <w:r>
              <w:rPr>
                <w:sz w:val="20"/>
              </w:rPr>
              <w:t>3,240例</w:t>
            </w:r>
          </w:p>
        </w:tc>
        <w:tc>
          <w:tcPr>
            <w:tcW w:type="dxa" w:w="2880"/>
            <w:vAlign w:val="center"/>
          </w:tcPr>
          <w:p>
            <w:r>
              <w:rPr>
                <w:sz w:val="20"/>
              </w:rPr>
              <w:t>12,860例</w:t>
            </w:r>
          </w:p>
        </w:tc>
      </w:tr>
      <w:tr>
        <w:tc>
          <w:tcPr>
            <w:tcW w:type="dxa" w:w="2880"/>
            <w:vAlign w:val="center"/>
          </w:tcPr>
          <w:p>
            <w:r>
              <w:rPr>
                <w:sz w:val="20"/>
              </w:rPr>
              <w:t>患者年 (推定)</w:t>
            </w:r>
          </w:p>
        </w:tc>
        <w:tc>
          <w:tcPr>
            <w:tcW w:type="dxa" w:w="2880"/>
            <w:vAlign w:val="center"/>
          </w:tcPr>
          <w:p>
            <w:r>
              <w:rPr>
                <w:sz w:val="20"/>
              </w:rPr>
              <w:t>1,560患者年</w:t>
            </w:r>
          </w:p>
        </w:tc>
        <w:tc>
          <w:tcPr>
            <w:tcW w:type="dxa" w:w="2880"/>
            <w:vAlign w:val="center"/>
          </w:tcPr>
          <w:p>
            <w:r>
              <w:rPr>
                <w:sz w:val="20"/>
              </w:rPr>
              <w:t>3,880患者年</w:t>
            </w:r>
          </w:p>
        </w:tc>
      </w:tr>
      <w:tr>
        <w:tc>
          <w:tcPr>
            <w:tcW w:type="dxa" w:w="2880"/>
            <w:vAlign w:val="center"/>
          </w:tcPr>
          <w:p>
            <w:r>
              <w:rPr>
                <w:sz w:val="20"/>
              </w:rPr>
              <w:t>日本国内</w:t>
            </w:r>
          </w:p>
        </w:tc>
        <w:tc>
          <w:tcPr>
            <w:tcW w:type="dxa" w:w="2880"/>
            <w:vAlign w:val="center"/>
          </w:tcPr>
          <w:p>
            <w:r>
              <w:rPr>
                <w:sz w:val="20"/>
              </w:rPr>
              <w:t>1,120例</w:t>
            </w:r>
          </w:p>
        </w:tc>
        <w:tc>
          <w:tcPr>
            <w:tcW w:type="dxa" w:w="2880"/>
            <w:vAlign w:val="center"/>
          </w:tcPr>
          <w:p>
            <w:r>
              <w:rPr>
                <w:sz w:val="20"/>
              </w:rPr>
              <w:t>5,240例</w:t>
            </w:r>
          </w:p>
        </w:tc>
      </w:tr>
      <w:tr>
        <w:tc>
          <w:tcPr>
            <w:tcW w:type="dxa" w:w="2880"/>
            <w:vAlign w:val="center"/>
          </w:tcPr>
          <w:p>
            <w:r>
              <w:rPr>
                <w:sz w:val="20"/>
              </w:rPr>
              <w:t>日本国外</w:t>
            </w:r>
          </w:p>
        </w:tc>
        <w:tc>
          <w:tcPr>
            <w:tcW w:type="dxa" w:w="2880"/>
            <w:vAlign w:val="center"/>
          </w:tcPr>
          <w:p>
            <w:r>
              <w:rPr>
                <w:sz w:val="20"/>
              </w:rPr>
              <w:t>2,120例</w:t>
            </w:r>
          </w:p>
        </w:tc>
        <w:tc>
          <w:tcPr>
            <w:tcW w:type="dxa" w:w="2880"/>
            <w:vAlign w:val="center"/>
          </w:tcPr>
          <w:p>
            <w:r>
              <w:rPr>
                <w:sz w:val="20"/>
              </w:rPr>
              <w:t>7,620例</w:t>
            </w:r>
          </w:p>
        </w:tc>
      </w:tr>
      <w:tr>
        <w:tc>
          <w:tcPr>
            <w:tcW w:type="dxa" w:w="2880"/>
            <w:vAlign w:val="center"/>
          </w:tcPr>
          <w:p>
            <w:r>
              <w:rPr>
                <w:sz w:val="20"/>
              </w:rPr>
              <w:t>臨床試験参加者</w:t>
            </w:r>
          </w:p>
        </w:tc>
        <w:tc>
          <w:tcPr>
            <w:tcW w:type="dxa" w:w="2880"/>
            <w:vAlign w:val="center"/>
          </w:tcPr>
          <w:p>
            <w:r>
              <w:rPr>
                <w:sz w:val="20"/>
              </w:rPr>
              <w:t>180例</w:t>
            </w:r>
          </w:p>
        </w:tc>
        <w:tc>
          <w:tcPr>
            <w:tcW w:type="dxa" w:w="2880"/>
            <w:vAlign w:val="center"/>
          </w:tcPr>
          <w:p>
            <w:r>
              <w:rPr>
                <w:sz w:val="20"/>
              </w:rPr>
              <w:t>620例</w:t>
            </w:r>
          </w:p>
        </w:tc>
      </w:tr>
    </w:tbl>
    <w:p/>
    <w:p>
      <w:r>
        <w:drawing>
          <wp:inline xmlns:a="http://schemas.openxmlformats.org/drawingml/2006/main" xmlns:pic="http://schemas.openxmlformats.org/drawingml/2006/picture">
            <wp:extent cx="5486400" cy="3038622"/>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3038622"/>
                    </a:xfrm>
                    <a:prstGeom prst="rect"/>
                  </pic:spPr>
                </pic:pic>
              </a:graphicData>
            </a:graphic>
          </wp:inline>
        </w:drawing>
      </w:r>
    </w:p>
    <w:p>
      <w:pPr>
        <w:jc w:val="center"/>
      </w:pPr>
      <w:r>
        <w:rPr>
          <w:i/>
          <w:color w:val="555555"/>
          <w:sz w:val="18"/>
        </w:rPr>
        <w:t>図1. 報告期間別 累積曝露量および重篤有害事象件数の推移 (想定値、模擬データ)</w:t>
      </w:r>
    </w:p>
    <w:p>
      <w:pPr>
        <w:pStyle w:val="Heading1"/>
      </w:pPr>
      <w:r>
        <w:t>6. 報告期間中の総合安全性評価</w:t>
      </w:r>
    </w:p>
    <w:p>
      <w:r>
        <w:rPr>
          <w:sz w:val="22"/>
        </w:rPr>
        <w:t>報告期間中に自発報告として収集された有害事象は 428 件 (国内 178 件、海外 250 件) であり、そのうち重篤例は 62 件 (14.5%)、死亡例は 8 件であった。死亡例のうち、本剤との因果関係が否定できない症例は 2 例であった。</w:t>
      </w:r>
    </w:p>
    <w:p>
      <w:r>
        <w:rPr>
          <w:sz w:val="22"/>
        </w:rPr>
        <w:t>全体として、DBX-101 の安全性プロファイルは前回報告書から大きな変化はなく、新たな安全性シグナルは検出されていない。最も頻度の高い有害事象は消化器症状 (悪心、下痢、食欲低下) であり、大半は Grade 1 〜 2 であった。</w:t>
      </w:r>
    </w:p>
    <w:p>
      <w:pPr>
        <w:pStyle w:val="Heading1"/>
      </w:pPr>
      <w:r>
        <w:t>7. 器官別大分類 (SOC) 別 有害事象一覧</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vAlign w:val="center"/>
          </w:tcPr>
          <w:p>
            <w:r>
              <w:rPr>
                <w:b/>
                <w:sz w:val="20"/>
              </w:rPr>
              <w:t>器官別大分類 (SOC)</w:t>
            </w:r>
          </w:p>
        </w:tc>
        <w:tc>
          <w:tcPr>
            <w:tcW w:type="dxa" w:w="1728"/>
            <w:shd w:val="clear" w:color="auto" w:fill="D9E2F3"/>
            <w:vAlign w:val="center"/>
          </w:tcPr>
          <w:p>
            <w:r>
              <w:rPr>
                <w:b/>
                <w:sz w:val="20"/>
              </w:rPr>
              <w:t>報告例数</w:t>
            </w:r>
          </w:p>
        </w:tc>
        <w:tc>
          <w:tcPr>
            <w:tcW w:type="dxa" w:w="1728"/>
            <w:shd w:val="clear" w:color="auto" w:fill="D9E2F3"/>
            <w:vAlign w:val="center"/>
          </w:tcPr>
          <w:p>
            <w:r>
              <w:rPr>
                <w:b/>
                <w:sz w:val="20"/>
              </w:rPr>
              <w:t>重篤例数</w:t>
            </w:r>
          </w:p>
        </w:tc>
        <w:tc>
          <w:tcPr>
            <w:tcW w:type="dxa" w:w="1728"/>
            <w:shd w:val="clear" w:color="auto" w:fill="D9E2F3"/>
            <w:vAlign w:val="center"/>
          </w:tcPr>
          <w:p>
            <w:r>
              <w:rPr>
                <w:b/>
                <w:sz w:val="20"/>
              </w:rPr>
              <w:t>累積例数</w:t>
            </w:r>
          </w:p>
        </w:tc>
        <w:tc>
          <w:tcPr>
            <w:tcW w:type="dxa" w:w="1728"/>
            <w:shd w:val="clear" w:color="auto" w:fill="D9E2F3"/>
            <w:vAlign w:val="center"/>
          </w:tcPr>
          <w:p>
            <w:r>
              <w:rPr>
                <w:b/>
                <w:sz w:val="20"/>
              </w:rPr>
              <w:t>累積重篤例数</w:t>
            </w:r>
          </w:p>
        </w:tc>
      </w:tr>
      <w:tr>
        <w:tc>
          <w:tcPr>
            <w:tcW w:type="dxa" w:w="1728"/>
            <w:vAlign w:val="center"/>
          </w:tcPr>
          <w:p>
            <w:r>
              <w:rPr>
                <w:sz w:val="20"/>
              </w:rPr>
              <w:t>胃腸障害</w:t>
            </w:r>
          </w:p>
        </w:tc>
        <w:tc>
          <w:tcPr>
            <w:tcW w:type="dxa" w:w="1728"/>
            <w:vAlign w:val="center"/>
          </w:tcPr>
          <w:p>
            <w:r>
              <w:rPr>
                <w:sz w:val="20"/>
              </w:rPr>
              <w:t>142 (33.2%)</w:t>
            </w:r>
          </w:p>
        </w:tc>
        <w:tc>
          <w:tcPr>
            <w:tcW w:type="dxa" w:w="1728"/>
            <w:vAlign w:val="center"/>
          </w:tcPr>
          <w:p>
            <w:r>
              <w:rPr>
                <w:sz w:val="20"/>
              </w:rPr>
              <w:t>8</w:t>
            </w:r>
          </w:p>
        </w:tc>
        <w:tc>
          <w:tcPr>
            <w:tcW w:type="dxa" w:w="1728"/>
            <w:vAlign w:val="center"/>
          </w:tcPr>
          <w:p>
            <w:r>
              <w:rPr>
                <w:sz w:val="20"/>
              </w:rPr>
              <w:t>1,845</w:t>
            </w:r>
          </w:p>
        </w:tc>
        <w:tc>
          <w:tcPr>
            <w:tcW w:type="dxa" w:w="1728"/>
            <w:vAlign w:val="center"/>
          </w:tcPr>
          <w:p>
            <w:r>
              <w:rPr>
                <w:sz w:val="20"/>
              </w:rPr>
              <w:t>62</w:t>
            </w:r>
          </w:p>
        </w:tc>
      </w:tr>
      <w:tr>
        <w:tc>
          <w:tcPr>
            <w:tcW w:type="dxa" w:w="1728"/>
            <w:vAlign w:val="center"/>
          </w:tcPr>
          <w:p>
            <w:r>
              <w:rPr>
                <w:sz w:val="20"/>
              </w:rPr>
              <w:t>神経系障害</w:t>
            </w:r>
          </w:p>
        </w:tc>
        <w:tc>
          <w:tcPr>
            <w:tcW w:type="dxa" w:w="1728"/>
            <w:vAlign w:val="center"/>
          </w:tcPr>
          <w:p>
            <w:r>
              <w:rPr>
                <w:sz w:val="20"/>
              </w:rPr>
              <w:t>78 (18.2%)</w:t>
            </w:r>
          </w:p>
        </w:tc>
        <w:tc>
          <w:tcPr>
            <w:tcW w:type="dxa" w:w="1728"/>
            <w:vAlign w:val="center"/>
          </w:tcPr>
          <w:p>
            <w:r>
              <w:rPr>
                <w:sz w:val="20"/>
              </w:rPr>
              <w:t>3</w:t>
            </w:r>
          </w:p>
        </w:tc>
        <w:tc>
          <w:tcPr>
            <w:tcW w:type="dxa" w:w="1728"/>
            <w:vAlign w:val="center"/>
          </w:tcPr>
          <w:p>
            <w:r>
              <w:rPr>
                <w:sz w:val="20"/>
              </w:rPr>
              <w:t>980</w:t>
            </w:r>
          </w:p>
        </w:tc>
        <w:tc>
          <w:tcPr>
            <w:tcW w:type="dxa" w:w="1728"/>
            <w:vAlign w:val="center"/>
          </w:tcPr>
          <w:p>
            <w:r>
              <w:rPr>
                <w:sz w:val="20"/>
              </w:rPr>
              <w:t>22</w:t>
            </w:r>
          </w:p>
        </w:tc>
      </w:tr>
      <w:tr>
        <w:tc>
          <w:tcPr>
            <w:tcW w:type="dxa" w:w="1728"/>
            <w:vAlign w:val="center"/>
          </w:tcPr>
          <w:p>
            <w:r>
              <w:rPr>
                <w:sz w:val="20"/>
              </w:rPr>
              <w:t>皮膚および皮下組織障害</w:t>
            </w:r>
          </w:p>
        </w:tc>
        <w:tc>
          <w:tcPr>
            <w:tcW w:type="dxa" w:w="1728"/>
            <w:vAlign w:val="center"/>
          </w:tcPr>
          <w:p>
            <w:r>
              <w:rPr>
                <w:sz w:val="20"/>
              </w:rPr>
              <w:t>63 (14.7%)</w:t>
            </w:r>
          </w:p>
        </w:tc>
        <w:tc>
          <w:tcPr>
            <w:tcW w:type="dxa" w:w="1728"/>
            <w:vAlign w:val="center"/>
          </w:tcPr>
          <w:p>
            <w:r>
              <w:rPr>
                <w:sz w:val="20"/>
              </w:rPr>
              <w:t>1</w:t>
            </w:r>
          </w:p>
        </w:tc>
        <w:tc>
          <w:tcPr>
            <w:tcW w:type="dxa" w:w="1728"/>
            <w:vAlign w:val="center"/>
          </w:tcPr>
          <w:p>
            <w:r>
              <w:rPr>
                <w:sz w:val="20"/>
              </w:rPr>
              <w:t>820</w:t>
            </w:r>
          </w:p>
        </w:tc>
        <w:tc>
          <w:tcPr>
            <w:tcW w:type="dxa" w:w="1728"/>
            <w:vAlign w:val="center"/>
          </w:tcPr>
          <w:p>
            <w:r>
              <w:rPr>
                <w:sz w:val="20"/>
              </w:rPr>
              <w:t>12</w:t>
            </w:r>
          </w:p>
        </w:tc>
      </w:tr>
      <w:tr>
        <w:tc>
          <w:tcPr>
            <w:tcW w:type="dxa" w:w="1728"/>
            <w:vAlign w:val="center"/>
          </w:tcPr>
          <w:p>
            <w:r>
              <w:rPr>
                <w:sz w:val="20"/>
              </w:rPr>
              <w:t>肝胆道系障害</w:t>
            </w:r>
          </w:p>
        </w:tc>
        <w:tc>
          <w:tcPr>
            <w:tcW w:type="dxa" w:w="1728"/>
            <w:vAlign w:val="center"/>
          </w:tcPr>
          <w:p>
            <w:r>
              <w:rPr>
                <w:sz w:val="20"/>
              </w:rPr>
              <w:t>42 (9.8%)</w:t>
            </w:r>
          </w:p>
        </w:tc>
        <w:tc>
          <w:tcPr>
            <w:tcW w:type="dxa" w:w="1728"/>
            <w:vAlign w:val="center"/>
          </w:tcPr>
          <w:p>
            <w:r>
              <w:rPr>
                <w:sz w:val="20"/>
              </w:rPr>
              <w:t>12</w:t>
            </w:r>
          </w:p>
        </w:tc>
        <w:tc>
          <w:tcPr>
            <w:tcW w:type="dxa" w:w="1728"/>
            <w:vAlign w:val="center"/>
          </w:tcPr>
          <w:p>
            <w:r>
              <w:rPr>
                <w:sz w:val="20"/>
              </w:rPr>
              <w:t>480</w:t>
            </w:r>
          </w:p>
        </w:tc>
        <w:tc>
          <w:tcPr>
            <w:tcW w:type="dxa" w:w="1728"/>
            <w:vAlign w:val="center"/>
          </w:tcPr>
          <w:p>
            <w:r>
              <w:rPr>
                <w:sz w:val="20"/>
              </w:rPr>
              <w:t>58</w:t>
            </w:r>
          </w:p>
        </w:tc>
      </w:tr>
      <w:tr>
        <w:tc>
          <w:tcPr>
            <w:tcW w:type="dxa" w:w="1728"/>
            <w:vAlign w:val="center"/>
          </w:tcPr>
          <w:p>
            <w:r>
              <w:rPr>
                <w:sz w:val="20"/>
              </w:rPr>
              <w:t>血液およびリンパ系障害</w:t>
            </w:r>
          </w:p>
        </w:tc>
        <w:tc>
          <w:tcPr>
            <w:tcW w:type="dxa" w:w="1728"/>
            <w:vAlign w:val="center"/>
          </w:tcPr>
          <w:p>
            <w:r>
              <w:rPr>
                <w:sz w:val="20"/>
              </w:rPr>
              <w:t>35 (8.2%)</w:t>
            </w:r>
          </w:p>
        </w:tc>
        <w:tc>
          <w:tcPr>
            <w:tcW w:type="dxa" w:w="1728"/>
            <w:vAlign w:val="center"/>
          </w:tcPr>
          <w:p>
            <w:r>
              <w:rPr>
                <w:sz w:val="20"/>
              </w:rPr>
              <w:t>8</w:t>
            </w:r>
          </w:p>
        </w:tc>
        <w:tc>
          <w:tcPr>
            <w:tcW w:type="dxa" w:w="1728"/>
            <w:vAlign w:val="center"/>
          </w:tcPr>
          <w:p>
            <w:r>
              <w:rPr>
                <w:sz w:val="20"/>
              </w:rPr>
              <w:t>420</w:t>
            </w:r>
          </w:p>
        </w:tc>
        <w:tc>
          <w:tcPr>
            <w:tcW w:type="dxa" w:w="1728"/>
            <w:vAlign w:val="center"/>
          </w:tcPr>
          <w:p>
            <w:r>
              <w:rPr>
                <w:sz w:val="20"/>
              </w:rPr>
              <w:t>38</w:t>
            </w:r>
          </w:p>
        </w:tc>
      </w:tr>
      <w:tr>
        <w:tc>
          <w:tcPr>
            <w:tcW w:type="dxa" w:w="1728"/>
            <w:vAlign w:val="center"/>
          </w:tcPr>
          <w:p>
            <w:r>
              <w:rPr>
                <w:sz w:val="20"/>
              </w:rPr>
              <w:t>代謝および栄養障害</w:t>
            </w:r>
          </w:p>
        </w:tc>
        <w:tc>
          <w:tcPr>
            <w:tcW w:type="dxa" w:w="1728"/>
            <w:vAlign w:val="center"/>
          </w:tcPr>
          <w:p>
            <w:r>
              <w:rPr>
                <w:sz w:val="20"/>
              </w:rPr>
              <w:t>28 (6.5%)</w:t>
            </w:r>
          </w:p>
        </w:tc>
        <w:tc>
          <w:tcPr>
            <w:tcW w:type="dxa" w:w="1728"/>
            <w:vAlign w:val="center"/>
          </w:tcPr>
          <w:p>
            <w:r>
              <w:rPr>
                <w:sz w:val="20"/>
              </w:rPr>
              <w:t>4</w:t>
            </w:r>
          </w:p>
        </w:tc>
        <w:tc>
          <w:tcPr>
            <w:tcW w:type="dxa" w:w="1728"/>
            <w:vAlign w:val="center"/>
          </w:tcPr>
          <w:p>
            <w:r>
              <w:rPr>
                <w:sz w:val="20"/>
              </w:rPr>
              <w:t>310</w:t>
            </w:r>
          </w:p>
        </w:tc>
        <w:tc>
          <w:tcPr>
            <w:tcW w:type="dxa" w:w="1728"/>
            <w:vAlign w:val="center"/>
          </w:tcPr>
          <w:p>
            <w:r>
              <w:rPr>
                <w:sz w:val="20"/>
              </w:rPr>
              <w:t>18</w:t>
            </w:r>
          </w:p>
        </w:tc>
      </w:tr>
      <w:tr>
        <w:tc>
          <w:tcPr>
            <w:tcW w:type="dxa" w:w="1728"/>
            <w:vAlign w:val="center"/>
          </w:tcPr>
          <w:p>
            <w:r>
              <w:rPr>
                <w:sz w:val="20"/>
              </w:rPr>
              <w:t>筋骨格系および結合組織障害</w:t>
            </w:r>
          </w:p>
        </w:tc>
        <w:tc>
          <w:tcPr>
            <w:tcW w:type="dxa" w:w="1728"/>
            <w:vAlign w:val="center"/>
          </w:tcPr>
          <w:p>
            <w:r>
              <w:rPr>
                <w:sz w:val="20"/>
              </w:rPr>
              <w:t>22 (5.1%)</w:t>
            </w:r>
          </w:p>
        </w:tc>
        <w:tc>
          <w:tcPr>
            <w:tcW w:type="dxa" w:w="1728"/>
            <w:vAlign w:val="center"/>
          </w:tcPr>
          <w:p>
            <w:r>
              <w:rPr>
                <w:sz w:val="20"/>
              </w:rPr>
              <w:t>1</w:t>
            </w:r>
          </w:p>
        </w:tc>
        <w:tc>
          <w:tcPr>
            <w:tcW w:type="dxa" w:w="1728"/>
            <w:vAlign w:val="center"/>
          </w:tcPr>
          <w:p>
            <w:r>
              <w:rPr>
                <w:sz w:val="20"/>
              </w:rPr>
              <w:t>245</w:t>
            </w:r>
          </w:p>
        </w:tc>
        <w:tc>
          <w:tcPr>
            <w:tcW w:type="dxa" w:w="1728"/>
            <w:vAlign w:val="center"/>
          </w:tcPr>
          <w:p>
            <w:r>
              <w:rPr>
                <w:sz w:val="20"/>
              </w:rPr>
              <w:t>6</w:t>
            </w:r>
          </w:p>
        </w:tc>
      </w:tr>
      <w:tr>
        <w:tc>
          <w:tcPr>
            <w:tcW w:type="dxa" w:w="1728"/>
            <w:vAlign w:val="center"/>
          </w:tcPr>
          <w:p>
            <w:r>
              <w:rPr>
                <w:sz w:val="20"/>
              </w:rPr>
              <w:t>感染症および寄生虫症</w:t>
            </w:r>
          </w:p>
        </w:tc>
        <w:tc>
          <w:tcPr>
            <w:tcW w:type="dxa" w:w="1728"/>
            <w:vAlign w:val="center"/>
          </w:tcPr>
          <w:p>
            <w:r>
              <w:rPr>
                <w:sz w:val="20"/>
              </w:rPr>
              <w:t>18 (4.2%)</w:t>
            </w:r>
          </w:p>
        </w:tc>
        <w:tc>
          <w:tcPr>
            <w:tcW w:type="dxa" w:w="1728"/>
            <w:vAlign w:val="center"/>
          </w:tcPr>
          <w:p>
            <w:r>
              <w:rPr>
                <w:sz w:val="20"/>
              </w:rPr>
              <w:t>12</w:t>
            </w:r>
          </w:p>
        </w:tc>
        <w:tc>
          <w:tcPr>
            <w:tcW w:type="dxa" w:w="1728"/>
            <w:vAlign w:val="center"/>
          </w:tcPr>
          <w:p>
            <w:r>
              <w:rPr>
                <w:sz w:val="20"/>
              </w:rPr>
              <w:t>215</w:t>
            </w:r>
          </w:p>
        </w:tc>
        <w:tc>
          <w:tcPr>
            <w:tcW w:type="dxa" w:w="1728"/>
            <w:vAlign w:val="center"/>
          </w:tcPr>
          <w:p>
            <w:r>
              <w:rPr>
                <w:sz w:val="20"/>
              </w:rPr>
              <w:t>58</w:t>
            </w:r>
          </w:p>
        </w:tc>
      </w:tr>
      <w:tr>
        <w:tc>
          <w:tcPr>
            <w:tcW w:type="dxa" w:w="1728"/>
            <w:vAlign w:val="center"/>
          </w:tcPr>
          <w:p>
            <w:r>
              <w:rPr>
                <w:sz w:val="20"/>
              </w:rPr>
              <w:t>腎および尿路障害</w:t>
            </w:r>
          </w:p>
        </w:tc>
        <w:tc>
          <w:tcPr>
            <w:tcW w:type="dxa" w:w="1728"/>
            <w:vAlign w:val="center"/>
          </w:tcPr>
          <w:p>
            <w:r>
              <w:rPr>
                <w:sz w:val="20"/>
              </w:rPr>
              <w:t>12 (2.8%)</w:t>
            </w:r>
          </w:p>
        </w:tc>
        <w:tc>
          <w:tcPr>
            <w:tcW w:type="dxa" w:w="1728"/>
            <w:vAlign w:val="center"/>
          </w:tcPr>
          <w:p>
            <w:r>
              <w:rPr>
                <w:sz w:val="20"/>
              </w:rPr>
              <w:t>4</w:t>
            </w:r>
          </w:p>
        </w:tc>
        <w:tc>
          <w:tcPr>
            <w:tcW w:type="dxa" w:w="1728"/>
            <w:vAlign w:val="center"/>
          </w:tcPr>
          <w:p>
            <w:r>
              <w:rPr>
                <w:sz w:val="20"/>
              </w:rPr>
              <w:t>135</w:t>
            </w:r>
          </w:p>
        </w:tc>
        <w:tc>
          <w:tcPr>
            <w:tcW w:type="dxa" w:w="1728"/>
            <w:vAlign w:val="center"/>
          </w:tcPr>
          <w:p>
            <w:r>
              <w:rPr>
                <w:sz w:val="20"/>
              </w:rPr>
              <w:t>22</w:t>
            </w:r>
          </w:p>
        </w:tc>
      </w:tr>
      <w:tr>
        <w:tc>
          <w:tcPr>
            <w:tcW w:type="dxa" w:w="1728"/>
            <w:vAlign w:val="center"/>
          </w:tcPr>
          <w:p>
            <w:r>
              <w:rPr>
                <w:sz w:val="20"/>
              </w:rPr>
              <w:t>その他</w:t>
            </w:r>
          </w:p>
        </w:tc>
        <w:tc>
          <w:tcPr>
            <w:tcW w:type="dxa" w:w="1728"/>
            <w:vAlign w:val="center"/>
          </w:tcPr>
          <w:p>
            <w:r>
              <w:rPr>
                <w:sz w:val="20"/>
              </w:rPr>
              <w:t>68 (15.9%)</w:t>
            </w:r>
          </w:p>
        </w:tc>
        <w:tc>
          <w:tcPr>
            <w:tcW w:type="dxa" w:w="1728"/>
            <w:vAlign w:val="center"/>
          </w:tcPr>
          <w:p>
            <w:r>
              <w:rPr>
                <w:sz w:val="20"/>
              </w:rPr>
              <w:t>10</w:t>
            </w:r>
          </w:p>
        </w:tc>
        <w:tc>
          <w:tcPr>
            <w:tcW w:type="dxa" w:w="1728"/>
            <w:vAlign w:val="center"/>
          </w:tcPr>
          <w:p>
            <w:r>
              <w:rPr>
                <w:sz w:val="20"/>
              </w:rPr>
              <w:t>780</w:t>
            </w:r>
          </w:p>
        </w:tc>
        <w:tc>
          <w:tcPr>
            <w:tcW w:type="dxa" w:w="1728"/>
            <w:vAlign w:val="center"/>
          </w:tcPr>
          <w:p>
            <w:r>
              <w:rPr>
                <w:sz w:val="20"/>
              </w:rPr>
              <w:t>42</w:t>
            </w:r>
          </w:p>
        </w:tc>
      </w:tr>
    </w:tbl>
    <w:p/>
    <w:p>
      <w:r>
        <w:drawing>
          <wp:inline xmlns:a="http://schemas.openxmlformats.org/drawingml/2006/main" xmlns:pic="http://schemas.openxmlformats.org/drawingml/2006/picture">
            <wp:extent cx="5486400" cy="3038622"/>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038622"/>
                    </a:xfrm>
                    <a:prstGeom prst="rect"/>
                  </pic:spPr>
                </pic:pic>
              </a:graphicData>
            </a:graphic>
          </wp:inline>
        </w:drawing>
      </w:r>
    </w:p>
    <w:p>
      <w:pPr>
        <w:jc w:val="center"/>
      </w:pPr>
      <w:r>
        <w:rPr>
          <w:i/>
          <w:color w:val="555555"/>
          <w:sz w:val="18"/>
        </w:rPr>
        <w:t>図2. 器官別大分類 (SOC) 別 有害事象発現頻度 (臨床試験における両投与群比較、模擬データ)</w:t>
      </w:r>
    </w:p>
    <w:p>
      <w:pPr>
        <w:pStyle w:val="Heading1"/>
      </w:pPr>
      <w:r>
        <w:t>8. 重篤有害事象詳細一覧</w:t>
      </w:r>
    </w:p>
    <w:p>
      <w:r>
        <w:rPr>
          <w:sz w:val="22"/>
        </w:rPr>
        <w:t>報告期間中に本剤との因果関係が否定できないと判断された重篤有害事象の主要症例を以下に示す。全症例について、症例安全性報告書 (CIOMS-I 形式) を PMDA へ提出済みである。</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vAlign w:val="center"/>
          </w:tcPr>
          <w:p>
            <w:r>
              <w:rPr>
                <w:b/>
                <w:sz w:val="20"/>
              </w:rPr>
              <w:t>症例ID</w:t>
            </w:r>
          </w:p>
        </w:tc>
        <w:tc>
          <w:tcPr>
            <w:tcW w:type="dxa" w:w="1440"/>
            <w:shd w:val="clear" w:color="auto" w:fill="D9E2F3"/>
            <w:vAlign w:val="center"/>
          </w:tcPr>
          <w:p>
            <w:r>
              <w:rPr>
                <w:b/>
                <w:sz w:val="20"/>
              </w:rPr>
              <w:t>SOC / PT</w:t>
            </w:r>
          </w:p>
        </w:tc>
        <w:tc>
          <w:tcPr>
            <w:tcW w:type="dxa" w:w="1440"/>
            <w:shd w:val="clear" w:color="auto" w:fill="D9E2F3"/>
            <w:vAlign w:val="center"/>
          </w:tcPr>
          <w:p>
            <w:r>
              <w:rPr>
                <w:b/>
                <w:sz w:val="20"/>
              </w:rPr>
              <w:t>発現時期</w:t>
            </w:r>
          </w:p>
        </w:tc>
        <w:tc>
          <w:tcPr>
            <w:tcW w:type="dxa" w:w="1440"/>
            <w:shd w:val="clear" w:color="auto" w:fill="D9E2F3"/>
            <w:vAlign w:val="center"/>
          </w:tcPr>
          <w:p>
            <w:r>
              <w:rPr>
                <w:b/>
                <w:sz w:val="20"/>
              </w:rPr>
              <w:t>重症度</w:t>
            </w:r>
          </w:p>
        </w:tc>
        <w:tc>
          <w:tcPr>
            <w:tcW w:type="dxa" w:w="1440"/>
            <w:shd w:val="clear" w:color="auto" w:fill="D9E2F3"/>
            <w:vAlign w:val="center"/>
          </w:tcPr>
          <w:p>
            <w:r>
              <w:rPr>
                <w:b/>
                <w:sz w:val="20"/>
              </w:rPr>
              <w:t>因果関係</w:t>
            </w:r>
          </w:p>
        </w:tc>
        <w:tc>
          <w:tcPr>
            <w:tcW w:type="dxa" w:w="1440"/>
            <w:shd w:val="clear" w:color="auto" w:fill="D9E2F3"/>
            <w:vAlign w:val="center"/>
          </w:tcPr>
          <w:p>
            <w:r>
              <w:rPr>
                <w:b/>
                <w:sz w:val="20"/>
              </w:rPr>
              <w:t>転帰</w:t>
            </w:r>
          </w:p>
        </w:tc>
      </w:tr>
      <w:tr>
        <w:tc>
          <w:tcPr>
            <w:tcW w:type="dxa" w:w="1440"/>
            <w:vAlign w:val="center"/>
          </w:tcPr>
          <w:p>
            <w:r>
              <w:rPr>
                <w:sz w:val="20"/>
              </w:rPr>
              <w:t>DBX-2025-0842</w:t>
            </w:r>
          </w:p>
        </w:tc>
        <w:tc>
          <w:tcPr>
            <w:tcW w:type="dxa" w:w="1440"/>
            <w:vAlign w:val="center"/>
          </w:tcPr>
          <w:p>
            <w:r>
              <w:rPr>
                <w:sz w:val="20"/>
              </w:rPr>
              <w:t>胃腸障害 / 消化管出血</w:t>
            </w:r>
          </w:p>
        </w:tc>
        <w:tc>
          <w:tcPr>
            <w:tcW w:type="dxa" w:w="1440"/>
            <w:vAlign w:val="center"/>
          </w:tcPr>
          <w:p>
            <w:r>
              <w:rPr>
                <w:sz w:val="20"/>
              </w:rPr>
              <w:t>投与14日</w:t>
            </w:r>
          </w:p>
        </w:tc>
        <w:tc>
          <w:tcPr>
            <w:tcW w:type="dxa" w:w="1440"/>
            <w:vAlign w:val="center"/>
          </w:tcPr>
          <w:p>
            <w:r>
              <w:rPr>
                <w:sz w:val="20"/>
              </w:rPr>
              <w:t>重度</w:t>
            </w:r>
          </w:p>
        </w:tc>
        <w:tc>
          <w:tcPr>
            <w:tcW w:type="dxa" w:w="1440"/>
            <w:vAlign w:val="center"/>
          </w:tcPr>
          <w:p>
            <w:r>
              <w:rPr>
                <w:sz w:val="20"/>
              </w:rPr>
              <w:t>関連あり</w:t>
            </w:r>
          </w:p>
        </w:tc>
        <w:tc>
          <w:tcPr>
            <w:tcW w:type="dxa" w:w="1440"/>
            <w:vAlign w:val="center"/>
          </w:tcPr>
          <w:p>
            <w:r>
              <w:rPr>
                <w:sz w:val="20"/>
              </w:rPr>
              <w:t>回復</w:t>
            </w:r>
          </w:p>
        </w:tc>
      </w:tr>
      <w:tr>
        <w:tc>
          <w:tcPr>
            <w:tcW w:type="dxa" w:w="1440"/>
            <w:vAlign w:val="center"/>
          </w:tcPr>
          <w:p>
            <w:r>
              <w:rPr>
                <w:sz w:val="20"/>
              </w:rPr>
              <w:t>DBX-2025-0917</w:t>
            </w:r>
          </w:p>
        </w:tc>
        <w:tc>
          <w:tcPr>
            <w:tcW w:type="dxa" w:w="1440"/>
            <w:vAlign w:val="center"/>
          </w:tcPr>
          <w:p>
            <w:r>
              <w:rPr>
                <w:sz w:val="20"/>
              </w:rPr>
              <w:t>肝胆道系障害 / 肝機能異常</w:t>
            </w:r>
          </w:p>
        </w:tc>
        <w:tc>
          <w:tcPr>
            <w:tcW w:type="dxa" w:w="1440"/>
            <w:vAlign w:val="center"/>
          </w:tcPr>
          <w:p>
            <w:r>
              <w:rPr>
                <w:sz w:val="20"/>
              </w:rPr>
              <w:t>投与28日</w:t>
            </w:r>
          </w:p>
        </w:tc>
        <w:tc>
          <w:tcPr>
            <w:tcW w:type="dxa" w:w="1440"/>
            <w:vAlign w:val="center"/>
          </w:tcPr>
          <w:p>
            <w:r>
              <w:rPr>
                <w:sz w:val="20"/>
              </w:rPr>
              <w:t>中等度</w:t>
            </w:r>
          </w:p>
        </w:tc>
        <w:tc>
          <w:tcPr>
            <w:tcW w:type="dxa" w:w="1440"/>
            <w:vAlign w:val="center"/>
          </w:tcPr>
          <w:p>
            <w:r>
              <w:rPr>
                <w:sz w:val="20"/>
              </w:rPr>
              <w:t>関連の可能性</w:t>
            </w:r>
          </w:p>
        </w:tc>
        <w:tc>
          <w:tcPr>
            <w:tcW w:type="dxa" w:w="1440"/>
            <w:vAlign w:val="center"/>
          </w:tcPr>
          <w:p>
            <w:r>
              <w:rPr>
                <w:sz w:val="20"/>
              </w:rPr>
              <w:t>回復</w:t>
            </w:r>
          </w:p>
        </w:tc>
      </w:tr>
      <w:tr>
        <w:tc>
          <w:tcPr>
            <w:tcW w:type="dxa" w:w="1440"/>
            <w:vAlign w:val="center"/>
          </w:tcPr>
          <w:p>
            <w:r>
              <w:rPr>
                <w:sz w:val="20"/>
              </w:rPr>
              <w:t>DBX-2025-1058</w:t>
            </w:r>
          </w:p>
        </w:tc>
        <w:tc>
          <w:tcPr>
            <w:tcW w:type="dxa" w:w="1440"/>
            <w:vAlign w:val="center"/>
          </w:tcPr>
          <w:p>
            <w:r>
              <w:rPr>
                <w:sz w:val="20"/>
              </w:rPr>
              <w:t>血液系 / 好中球減少症</w:t>
            </w:r>
          </w:p>
        </w:tc>
        <w:tc>
          <w:tcPr>
            <w:tcW w:type="dxa" w:w="1440"/>
            <w:vAlign w:val="center"/>
          </w:tcPr>
          <w:p>
            <w:r>
              <w:rPr>
                <w:sz w:val="20"/>
              </w:rPr>
              <w:t>投与42日</w:t>
            </w:r>
          </w:p>
        </w:tc>
        <w:tc>
          <w:tcPr>
            <w:tcW w:type="dxa" w:w="1440"/>
            <w:vAlign w:val="center"/>
          </w:tcPr>
          <w:p>
            <w:r>
              <w:rPr>
                <w:sz w:val="20"/>
              </w:rPr>
              <w:t>中等度</w:t>
            </w:r>
          </w:p>
        </w:tc>
        <w:tc>
          <w:tcPr>
            <w:tcW w:type="dxa" w:w="1440"/>
            <w:vAlign w:val="center"/>
          </w:tcPr>
          <w:p>
            <w:r>
              <w:rPr>
                <w:sz w:val="20"/>
              </w:rPr>
              <w:t>関連あり</w:t>
            </w:r>
          </w:p>
        </w:tc>
        <w:tc>
          <w:tcPr>
            <w:tcW w:type="dxa" w:w="1440"/>
            <w:vAlign w:val="center"/>
          </w:tcPr>
          <w:p>
            <w:r>
              <w:rPr>
                <w:sz w:val="20"/>
              </w:rPr>
              <w:t>回復</w:t>
            </w:r>
          </w:p>
        </w:tc>
      </w:tr>
      <w:tr>
        <w:tc>
          <w:tcPr>
            <w:tcW w:type="dxa" w:w="1440"/>
            <w:vAlign w:val="center"/>
          </w:tcPr>
          <w:p>
            <w:r>
              <w:rPr>
                <w:sz w:val="20"/>
              </w:rPr>
              <w:t>DBX-2025-1112</w:t>
            </w:r>
          </w:p>
        </w:tc>
        <w:tc>
          <w:tcPr>
            <w:tcW w:type="dxa" w:w="1440"/>
            <w:vAlign w:val="center"/>
          </w:tcPr>
          <w:p>
            <w:r>
              <w:rPr>
                <w:sz w:val="20"/>
              </w:rPr>
              <w:t>胃腸障害 / 腸閉塞</w:t>
            </w:r>
          </w:p>
        </w:tc>
        <w:tc>
          <w:tcPr>
            <w:tcW w:type="dxa" w:w="1440"/>
            <w:vAlign w:val="center"/>
          </w:tcPr>
          <w:p>
            <w:r>
              <w:rPr>
                <w:sz w:val="20"/>
              </w:rPr>
              <w:t>投与60日</w:t>
            </w:r>
          </w:p>
        </w:tc>
        <w:tc>
          <w:tcPr>
            <w:tcW w:type="dxa" w:w="1440"/>
            <w:vAlign w:val="center"/>
          </w:tcPr>
          <w:p>
            <w:r>
              <w:rPr>
                <w:sz w:val="20"/>
              </w:rPr>
              <w:t>重度</w:t>
            </w:r>
          </w:p>
        </w:tc>
        <w:tc>
          <w:tcPr>
            <w:tcW w:type="dxa" w:w="1440"/>
            <w:vAlign w:val="center"/>
          </w:tcPr>
          <w:p>
            <w:r>
              <w:rPr>
                <w:sz w:val="20"/>
              </w:rPr>
              <w:t>関連なし</w:t>
            </w:r>
          </w:p>
        </w:tc>
        <w:tc>
          <w:tcPr>
            <w:tcW w:type="dxa" w:w="1440"/>
            <w:vAlign w:val="center"/>
          </w:tcPr>
          <w:p>
            <w:r>
              <w:rPr>
                <w:sz w:val="20"/>
              </w:rPr>
              <w:t>後遺症あり</w:t>
            </w:r>
          </w:p>
        </w:tc>
      </w:tr>
      <w:tr>
        <w:tc>
          <w:tcPr>
            <w:tcW w:type="dxa" w:w="1440"/>
            <w:vAlign w:val="center"/>
          </w:tcPr>
          <w:p>
            <w:r>
              <w:rPr>
                <w:sz w:val="20"/>
              </w:rPr>
              <w:t>DBX-2026-0053</w:t>
            </w:r>
          </w:p>
        </w:tc>
        <w:tc>
          <w:tcPr>
            <w:tcW w:type="dxa" w:w="1440"/>
            <w:vAlign w:val="center"/>
          </w:tcPr>
          <w:p>
            <w:r>
              <w:rPr>
                <w:sz w:val="20"/>
              </w:rPr>
              <w:t>肝胆道系障害 / 肝細胞損傷</w:t>
            </w:r>
          </w:p>
        </w:tc>
        <w:tc>
          <w:tcPr>
            <w:tcW w:type="dxa" w:w="1440"/>
            <w:vAlign w:val="center"/>
          </w:tcPr>
          <w:p>
            <w:r>
              <w:rPr>
                <w:sz w:val="20"/>
              </w:rPr>
              <w:t>投与35日</w:t>
            </w:r>
          </w:p>
        </w:tc>
        <w:tc>
          <w:tcPr>
            <w:tcW w:type="dxa" w:w="1440"/>
            <w:vAlign w:val="center"/>
          </w:tcPr>
          <w:p>
            <w:r>
              <w:rPr>
                <w:sz w:val="20"/>
              </w:rPr>
              <w:t>重度</w:t>
            </w:r>
          </w:p>
        </w:tc>
        <w:tc>
          <w:tcPr>
            <w:tcW w:type="dxa" w:w="1440"/>
            <w:vAlign w:val="center"/>
          </w:tcPr>
          <w:p>
            <w:r>
              <w:rPr>
                <w:sz w:val="20"/>
              </w:rPr>
              <w:t>関連あり</w:t>
            </w:r>
          </w:p>
        </w:tc>
        <w:tc>
          <w:tcPr>
            <w:tcW w:type="dxa" w:w="1440"/>
            <w:vAlign w:val="center"/>
          </w:tcPr>
          <w:p>
            <w:r>
              <w:rPr>
                <w:sz w:val="20"/>
              </w:rPr>
              <w:t>回復</w:t>
            </w:r>
          </w:p>
        </w:tc>
      </w:tr>
      <w:tr>
        <w:tc>
          <w:tcPr>
            <w:tcW w:type="dxa" w:w="1440"/>
            <w:vAlign w:val="center"/>
          </w:tcPr>
          <w:p>
            <w:r>
              <w:rPr>
                <w:sz w:val="20"/>
              </w:rPr>
              <w:t>DBX-2026-0187</w:t>
            </w:r>
          </w:p>
        </w:tc>
        <w:tc>
          <w:tcPr>
            <w:tcW w:type="dxa" w:w="1440"/>
            <w:vAlign w:val="center"/>
          </w:tcPr>
          <w:p>
            <w:r>
              <w:rPr>
                <w:sz w:val="20"/>
              </w:rPr>
              <w:t>感染症 / 好中球減少性発熱</w:t>
            </w:r>
          </w:p>
        </w:tc>
        <w:tc>
          <w:tcPr>
            <w:tcW w:type="dxa" w:w="1440"/>
            <w:vAlign w:val="center"/>
          </w:tcPr>
          <w:p>
            <w:r>
              <w:rPr>
                <w:sz w:val="20"/>
              </w:rPr>
              <w:t>投与49日</w:t>
            </w:r>
          </w:p>
        </w:tc>
        <w:tc>
          <w:tcPr>
            <w:tcW w:type="dxa" w:w="1440"/>
            <w:vAlign w:val="center"/>
          </w:tcPr>
          <w:p>
            <w:r>
              <w:rPr>
                <w:sz w:val="20"/>
              </w:rPr>
              <w:t>重度</w:t>
            </w:r>
          </w:p>
        </w:tc>
        <w:tc>
          <w:tcPr>
            <w:tcW w:type="dxa" w:w="1440"/>
            <w:vAlign w:val="center"/>
          </w:tcPr>
          <w:p>
            <w:r>
              <w:rPr>
                <w:sz w:val="20"/>
              </w:rPr>
              <w:t>関連あり</w:t>
            </w:r>
          </w:p>
        </w:tc>
        <w:tc>
          <w:tcPr>
            <w:tcW w:type="dxa" w:w="1440"/>
            <w:vAlign w:val="center"/>
          </w:tcPr>
          <w:p>
            <w:r>
              <w:rPr>
                <w:sz w:val="20"/>
              </w:rPr>
              <w:t>回復</w:t>
            </w:r>
          </w:p>
        </w:tc>
      </w:tr>
      <w:tr>
        <w:tc>
          <w:tcPr>
            <w:tcW w:type="dxa" w:w="1440"/>
            <w:vAlign w:val="center"/>
          </w:tcPr>
          <w:p>
            <w:r>
              <w:rPr>
                <w:sz w:val="20"/>
              </w:rPr>
              <w:t>DBX-2026-0231</w:t>
            </w:r>
          </w:p>
        </w:tc>
        <w:tc>
          <w:tcPr>
            <w:tcW w:type="dxa" w:w="1440"/>
            <w:vAlign w:val="center"/>
          </w:tcPr>
          <w:p>
            <w:r>
              <w:rPr>
                <w:sz w:val="20"/>
              </w:rPr>
              <w:t>神経系 / 末梢神経障害</w:t>
            </w:r>
          </w:p>
        </w:tc>
        <w:tc>
          <w:tcPr>
            <w:tcW w:type="dxa" w:w="1440"/>
            <w:vAlign w:val="center"/>
          </w:tcPr>
          <w:p>
            <w:r>
              <w:rPr>
                <w:sz w:val="20"/>
              </w:rPr>
              <w:t>投与84日</w:t>
            </w:r>
          </w:p>
        </w:tc>
        <w:tc>
          <w:tcPr>
            <w:tcW w:type="dxa" w:w="1440"/>
            <w:vAlign w:val="center"/>
          </w:tcPr>
          <w:p>
            <w:r>
              <w:rPr>
                <w:sz w:val="20"/>
              </w:rPr>
              <w:t>中等度</w:t>
            </w:r>
          </w:p>
        </w:tc>
        <w:tc>
          <w:tcPr>
            <w:tcW w:type="dxa" w:w="1440"/>
            <w:vAlign w:val="center"/>
          </w:tcPr>
          <w:p>
            <w:r>
              <w:rPr>
                <w:sz w:val="20"/>
              </w:rPr>
              <w:t>関連の可能性</w:t>
            </w:r>
          </w:p>
        </w:tc>
        <w:tc>
          <w:tcPr>
            <w:tcW w:type="dxa" w:w="1440"/>
            <w:vAlign w:val="center"/>
          </w:tcPr>
          <w:p>
            <w:r>
              <w:rPr>
                <w:sz w:val="20"/>
              </w:rPr>
              <w:t>軽快</w:t>
            </w:r>
          </w:p>
        </w:tc>
      </w:tr>
    </w:tbl>
    <w:p/>
    <w:p>
      <w:pPr>
        <w:pStyle w:val="Heading1"/>
      </w:pPr>
      <w:r>
        <w:t>9. シグナル評価</w:t>
      </w:r>
    </w:p>
    <w:p>
      <w:pPr>
        <w:pStyle w:val="Heading2"/>
      </w:pPr>
      <w:r>
        <w:t>9.1 肝毒性シグナルの評価</w:t>
      </w:r>
    </w:p>
    <w:p>
      <w:r>
        <w:rPr>
          <w:sz w:val="22"/>
        </w:rPr>
        <w:t>報告期間中に発現した肝胆道系有害事象 42 件について、詳細な因果関係評価を実施した。Hy's Law 基準 (ALT/AST &gt; 3×ULN かつ総ビリルビン &gt; 2×ULN) を満たす症例は 3 例発現した。全例で投与中止により速やかな回復が確認されており、本剤の既知のリスクの範囲内と判断される。</w:t>
      </w:r>
    </w:p>
    <w:p>
      <w:pPr>
        <w:pStyle w:val="Heading2"/>
      </w:pPr>
      <w:r>
        <w:t>9.2 消化管毒性シグナルの評価</w:t>
      </w:r>
    </w:p>
    <w:p>
      <w:r>
        <w:rPr>
          <w:sz w:val="22"/>
        </w:rPr>
        <w:t>消化管出血 (n=4) および腸閉塞 (n=2) の発現について、症例ベースで検討した。いずれも既知の腫瘍浸潤または既往の消化管疾患を有する患者で発現しており、本剤との直接的な因果関係は明確でないが、既知のリスクとして添付文書 4.4 項に注意喚起を継続する。</w:t>
      </w:r>
    </w:p>
    <w:p>
      <w:pPr>
        <w:pStyle w:val="Heading2"/>
      </w:pPr>
      <w:r>
        <w:t>9.3 未検出シグナル</w:t>
      </w:r>
    </w:p>
    <w:p>
      <w:r>
        <w:rPr>
          <w:sz w:val="22"/>
        </w:rPr>
        <w:t>報告期間中、以下のいずれの領域においても新たなシグナルは検出されなかった:(1) 心血管系有害事象、(2) 皮膚重症有害事象 (SJS/TEN 等)、(3) 免疫関連有害事象、(4) 二次発癌、(5) 生殖毒性関連事象。</w:t>
      </w:r>
    </w:p>
    <w:p>
      <w:pPr>
        <w:pStyle w:val="Heading1"/>
      </w:pPr>
      <w:r>
        <w:t>10. 特別な患者集団の安全性</w:t>
      </w:r>
    </w:p>
    <w:p>
      <w:pPr>
        <w:pStyle w:val="Heading2"/>
      </w:pPr>
      <w:r>
        <w:t>10.1 高齢者</w:t>
      </w:r>
    </w:p>
    <w:p>
      <w:r>
        <w:rPr>
          <w:sz w:val="22"/>
        </w:rPr>
        <w:t>65 歳以上の高齢者集団 (n=1,240、全体の 38.3%) における有害事象発現頻度は 74.6% であり、全体集団の 71.8% と大きな差異は認められなかった。重篤 AE 発現率は高齢者で 18.2%、非高齢者で 12.4% と、やや高齢者で高い傾向が認められたが、統計学的有意差はなかった。</w:t>
      </w:r>
    </w:p>
    <w:p>
      <w:pPr>
        <w:pStyle w:val="Heading2"/>
      </w:pPr>
      <w:r>
        <w:t>10.2 腎機能障害患者</w:t>
      </w:r>
    </w:p>
    <w:p>
      <w:r>
        <w:rPr>
          <w:sz w:val="22"/>
        </w:rPr>
        <w:t>軽度〜中等度腎機能障害 (CrCl 30-89 mL/min) を有する患者では、通常用量での忍容性が確認されている。重度腎機能障害 (CrCl &lt; 30 mL/min) を有する患者におけるデータは限定的であり、慎重投与を継続する。</w:t>
      </w:r>
    </w:p>
    <w:p>
      <w:pPr>
        <w:pStyle w:val="Heading2"/>
      </w:pPr>
      <w:r>
        <w:t>10.3 肝機能障害患者</w:t>
      </w:r>
    </w:p>
    <w:p>
      <w:r>
        <w:rPr>
          <w:sz w:val="22"/>
        </w:rPr>
        <w:t>Child-Pugh Class A の軽度肝機能障害患者では、通常用量での忍容性が確認されている。Class B の中等度肝機能障害患者では、100 mg 開始用量を推奨する。Class C の重度肝機能障害患者に対する使用は禁忌とする。</w:t>
      </w:r>
    </w:p>
    <w:p>
      <w:pPr>
        <w:pStyle w:val="Heading1"/>
      </w:pPr>
      <w:r>
        <w:t>11. 妊娠中および授乳中の安全性</w:t>
      </w:r>
    </w:p>
    <w:p>
      <w:r>
        <w:rPr>
          <w:sz w:val="22"/>
        </w:rPr>
        <w:t>本剤は生殖毒性を有することが動物試験で確認されており、妊娠中の使用は禁忌である。報告期間中に妊娠発現の報告が 1 例あり、患者・医療者への聴取結果、および転帰の追跡調査を実施中である。授乳中の安全性データはないため、授乳中の使用も禁忌としている。</w:t>
      </w:r>
    </w:p>
    <w:p>
      <w:pPr>
        <w:pStyle w:val="Heading1"/>
      </w:pPr>
      <w:r>
        <w:t>12. 累積安全性データ要約</w:t>
      </w:r>
    </w:p>
    <w:p>
      <w:r>
        <w:rPr>
          <w:sz w:val="22"/>
        </w:rPr>
        <w:t>承認以降の累積曝露 12,860 例における主要な安全性データを以下に要約する。全累積期間を通じて、既知のリスク以外に新たな安全性懸念は特定されていない。リスク・ベネフィットバランスは引き続き良好と判断される。</w:t>
      </w:r>
    </w:p>
    <w:p>
      <w:pPr>
        <w:pStyle w:val="Heading1"/>
      </w:pPr>
      <w:r>
        <w:t>13. 市販後調査 (PMS) 状況</w:t>
      </w:r>
    </w:p>
    <w:p>
      <w:r>
        <w:rPr>
          <w:sz w:val="22"/>
        </w:rPr>
        <w:t>国内市販後調査 (実施期間 3 年間、目標登録 3,000 例) は登録が順調に進捗しており、報告期間終了時点で 1,842 例が登録完了、1,240 例が観察期間を完了している。現時点で予期せぬ有害事象の発現は認められていない。中間解析は 2026 年下期に実施予定である。</w:t>
      </w:r>
    </w:p>
    <w:p>
      <w:pPr>
        <w:pStyle w:val="Heading1"/>
      </w:pPr>
      <w:r>
        <w:t>14. 結論および次回報告予定</w:t>
      </w:r>
    </w:p>
    <w:p>
      <w:r>
        <w:rPr>
          <w:sz w:val="22"/>
        </w:rPr>
        <w:t>本報告期間において、DBX-101 のリスク・ベネフィットバランスは引き続き良好と判断される。既知のリスク (消化器毒性、肝毒性、血液毒性) については、現行の添付文書記載および注意喚起により適切に管理されていると考えられる。現時点で規制上の追加措置を要する情報は認められない。</w:t>
      </w:r>
    </w:p>
    <w:p>
      <w:r>
        <w:rPr>
          <w:sz w:val="22"/>
        </w:rPr>
        <w:t>次回 PSUR は、2026 年 10 月 1 日データロック、2026 年 12 月末までの提出予定である。以降 6 か月毎の定期的な安全性情報の集積および分析を継続する。</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 xml:space="preserve">Databricks Pharma KK  安全性管理部  |  ページ </w:t>
    </w:r>
    <w:r>
      <w:rPr>
        <w:sz w:val="18"/>
      </w:rPr>
      <w:fldSimple w:instr="PAGE">
        <w:r>
          <w:t>1</w:t>
        </w:r>
      </w:fldSimpl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555555"/>
        <w:sz w:val="18"/>
      </w:rPr>
      <w:t>定期的安全性最新報告書 (PSUR) 概要  |  DBX-101  |  報告期間 2025年10月1日 〜 2026年3月31日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