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治験実施計画書 概要</w:t>
      </w:r>
    </w:p>
    <w:p>
      <w:r>
        <w:rPr>
          <w:sz w:val="22"/>
        </w:rPr>
        <w:t>本書は、DBX-101 (開発コード) を対象とする第II相無作為化二重盲検比較試験の治験実施計画書の概要である。本試験は、日本国内10施設で実施される多施設共同試験である。</w:t>
      </w:r>
    </w:p>
    <w:p>
      <w:pPr>
        <w:pStyle w:val="Heading1"/>
      </w:pPr>
      <w:r>
        <w:t>1. 試験の背景と根拠</w:t>
      </w:r>
    </w:p>
    <w:p>
      <w:r>
        <w:rPr>
          <w:sz w:val="22"/>
        </w:rPr>
        <w:t>本疾患領域における現行の標準治療は奏効率が不十分であり、無増悪生存期間の中央値は約6.2か月に留まっている。DBX-101は新規経路を標的とする小分子化合物であり、非臨床試験において用量依存的な腫瘍増殖抑制作用が確認されている。</w:t>
      </w:r>
    </w:p>
    <w:p>
      <w:r>
        <w:rPr>
          <w:sz w:val="22"/>
        </w:rPr>
        <w:t>本試験は、標準治療に不応または不耐となった患者を対象に、DBX-101の有効性と安全性を評価することを目的とする。本試験の結果は、後続の第III相試験の設計に用いられる。</w:t>
      </w:r>
    </w:p>
    <w:p>
      <w:pPr>
        <w:pStyle w:val="Heading1"/>
      </w:pPr>
      <w:r>
        <w:t>2. 主要評価項目および副次評価項目</w:t>
      </w:r>
    </w:p>
    <w:p>
      <w:r>
        <w:rPr>
          <w:sz w:val="22"/>
        </w:rPr>
        <w:t>主要評価項目は無増悪生存期間 (PFS) とし、独立中央判定 (BICR) にて評価する。副次評価項目は、全生存期間 (OS)、客観的奏効率 (ORR)、および有害事象の発現頻度とする。</w:t>
      </w:r>
    </w:p>
    <w:p>
      <w:pPr>
        <w:pStyle w:val="Heading1"/>
      </w:pPr>
      <w:r>
        <w:t>3. 用法・用量および投与スケジュール</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vAlign w:val="center"/>
          </w:tcPr>
          <w:p>
            <w:r>
              <w:rPr>
                <w:b/>
                <w:sz w:val="20"/>
              </w:rPr>
              <w:t>コホート</w:t>
            </w:r>
          </w:p>
        </w:tc>
        <w:tc>
          <w:tcPr>
            <w:tcW w:type="dxa" w:w="1728"/>
            <w:shd w:val="clear" w:color="auto" w:fill="D9E2F3"/>
            <w:vAlign w:val="center"/>
          </w:tcPr>
          <w:p>
            <w:r>
              <w:rPr>
                <w:b/>
                <w:sz w:val="20"/>
              </w:rPr>
              <w:t>用量</w:t>
            </w:r>
          </w:p>
        </w:tc>
        <w:tc>
          <w:tcPr>
            <w:tcW w:type="dxa" w:w="1728"/>
            <w:shd w:val="clear" w:color="auto" w:fill="D9E2F3"/>
            <w:vAlign w:val="center"/>
          </w:tcPr>
          <w:p>
            <w:r>
              <w:rPr>
                <w:b/>
                <w:sz w:val="20"/>
              </w:rPr>
              <w:t>投与経路</w:t>
            </w:r>
          </w:p>
        </w:tc>
        <w:tc>
          <w:tcPr>
            <w:tcW w:type="dxa" w:w="1728"/>
            <w:shd w:val="clear" w:color="auto" w:fill="D9E2F3"/>
            <w:vAlign w:val="center"/>
          </w:tcPr>
          <w:p>
            <w:r>
              <w:rPr>
                <w:b/>
                <w:sz w:val="20"/>
              </w:rPr>
              <w:t>投与頻度</w:t>
            </w:r>
          </w:p>
        </w:tc>
        <w:tc>
          <w:tcPr>
            <w:tcW w:type="dxa" w:w="1728"/>
            <w:shd w:val="clear" w:color="auto" w:fill="D9E2F3"/>
            <w:vAlign w:val="center"/>
          </w:tcPr>
          <w:p>
            <w:r>
              <w:rPr>
                <w:b/>
                <w:sz w:val="20"/>
              </w:rPr>
              <w:t>投与期間</w:t>
            </w:r>
          </w:p>
        </w:tc>
      </w:tr>
      <w:tr>
        <w:tc>
          <w:tcPr>
            <w:tcW w:type="dxa" w:w="1728"/>
            <w:vAlign w:val="center"/>
          </w:tcPr>
          <w:p>
            <w:r>
              <w:rPr>
                <w:sz w:val="20"/>
              </w:rPr>
              <w:t>低用量群</w:t>
            </w:r>
          </w:p>
        </w:tc>
        <w:tc>
          <w:tcPr>
            <w:tcW w:type="dxa" w:w="1728"/>
            <w:vAlign w:val="center"/>
          </w:tcPr>
          <w:p>
            <w:r>
              <w:rPr>
                <w:sz w:val="20"/>
              </w:rPr>
              <w:t>100 mg</w:t>
            </w:r>
          </w:p>
        </w:tc>
        <w:tc>
          <w:tcPr>
            <w:tcW w:type="dxa" w:w="1728"/>
            <w:vAlign w:val="center"/>
          </w:tcPr>
          <w:p>
            <w:r>
              <w:rPr>
                <w:sz w:val="20"/>
              </w:rPr>
              <w:t>経口</w:t>
            </w:r>
          </w:p>
        </w:tc>
        <w:tc>
          <w:tcPr>
            <w:tcW w:type="dxa" w:w="1728"/>
            <w:vAlign w:val="center"/>
          </w:tcPr>
          <w:p>
            <w:r>
              <w:rPr>
                <w:sz w:val="20"/>
              </w:rPr>
              <w:t>1日1回</w:t>
            </w:r>
          </w:p>
        </w:tc>
        <w:tc>
          <w:tcPr>
            <w:tcW w:type="dxa" w:w="1728"/>
            <w:vAlign w:val="center"/>
          </w:tcPr>
          <w:p>
            <w:r>
              <w:rPr>
                <w:sz w:val="20"/>
              </w:rPr>
              <w:t>疾患進行または投与中止まで</w:t>
            </w:r>
          </w:p>
        </w:tc>
      </w:tr>
      <w:tr>
        <w:tc>
          <w:tcPr>
            <w:tcW w:type="dxa" w:w="1728"/>
            <w:vAlign w:val="center"/>
          </w:tcPr>
          <w:p>
            <w:r>
              <w:rPr>
                <w:sz w:val="20"/>
              </w:rPr>
              <w:t>高用量群</w:t>
            </w:r>
          </w:p>
        </w:tc>
        <w:tc>
          <w:tcPr>
            <w:tcW w:type="dxa" w:w="1728"/>
            <w:vAlign w:val="center"/>
          </w:tcPr>
          <w:p>
            <w:r>
              <w:rPr>
                <w:sz w:val="20"/>
              </w:rPr>
              <w:t>200 mg</w:t>
            </w:r>
          </w:p>
        </w:tc>
        <w:tc>
          <w:tcPr>
            <w:tcW w:type="dxa" w:w="1728"/>
            <w:vAlign w:val="center"/>
          </w:tcPr>
          <w:p>
            <w:r>
              <w:rPr>
                <w:sz w:val="20"/>
              </w:rPr>
              <w:t>経口</w:t>
            </w:r>
          </w:p>
        </w:tc>
        <w:tc>
          <w:tcPr>
            <w:tcW w:type="dxa" w:w="1728"/>
            <w:vAlign w:val="center"/>
          </w:tcPr>
          <w:p>
            <w:r>
              <w:rPr>
                <w:sz w:val="20"/>
              </w:rPr>
              <w:t>1日1回</w:t>
            </w:r>
          </w:p>
        </w:tc>
        <w:tc>
          <w:tcPr>
            <w:tcW w:type="dxa" w:w="1728"/>
            <w:vAlign w:val="center"/>
          </w:tcPr>
          <w:p>
            <w:r>
              <w:rPr>
                <w:sz w:val="20"/>
              </w:rPr>
              <w:t>疾患進行または投与中止まで</w:t>
            </w:r>
          </w:p>
        </w:tc>
      </w:tr>
      <w:tr>
        <w:tc>
          <w:tcPr>
            <w:tcW w:type="dxa" w:w="1728"/>
            <w:vAlign w:val="center"/>
          </w:tcPr>
          <w:p>
            <w:r>
              <w:rPr>
                <w:sz w:val="20"/>
              </w:rPr>
              <w:t>対照群</w:t>
            </w:r>
          </w:p>
        </w:tc>
        <w:tc>
          <w:tcPr>
            <w:tcW w:type="dxa" w:w="1728"/>
            <w:vAlign w:val="center"/>
          </w:tcPr>
          <w:p>
            <w:r>
              <w:rPr>
                <w:sz w:val="20"/>
              </w:rPr>
              <w:t>標準治療</w:t>
            </w:r>
          </w:p>
        </w:tc>
        <w:tc>
          <w:tcPr>
            <w:tcW w:type="dxa" w:w="1728"/>
            <w:vAlign w:val="center"/>
          </w:tcPr>
          <w:p>
            <w:r>
              <w:rPr>
                <w:sz w:val="20"/>
              </w:rPr>
              <w:t>指定なし</w:t>
            </w:r>
          </w:p>
        </w:tc>
        <w:tc>
          <w:tcPr>
            <w:tcW w:type="dxa" w:w="1728"/>
            <w:vAlign w:val="center"/>
          </w:tcPr>
          <w:p>
            <w:r>
              <w:rPr>
                <w:sz w:val="20"/>
              </w:rPr>
              <w:t>指定なし</w:t>
            </w:r>
          </w:p>
        </w:tc>
        <w:tc>
          <w:tcPr>
            <w:tcW w:type="dxa" w:w="1728"/>
            <w:vAlign w:val="center"/>
          </w:tcPr>
          <w:p>
            <w:r>
              <w:rPr>
                <w:sz w:val="20"/>
              </w:rPr>
              <w:t>疾患進行または投与中止まで</w:t>
            </w:r>
          </w:p>
        </w:tc>
      </w:tr>
    </w:tbl>
    <w:p/>
    <w:p>
      <w:pPr>
        <w:pStyle w:val="Heading1"/>
      </w:pPr>
      <w:r>
        <w:t>4. 対象患者と選択・除外基準</w:t>
      </w:r>
    </w:p>
    <w:p>
      <w:r>
        <w:rPr>
          <w:sz w:val="22"/>
        </w:rPr>
        <w:t>選択基準: 20歳以上の成人、Eastern Cooperative Oncology Group (ECOG) パフォーマンスステータス 0-1、組織学的または細胞学的に確定診断された対象疾患を有すること、および測定可能病変を有すること。</w:t>
      </w:r>
    </w:p>
    <w:p>
      <w:r>
        <w:rPr>
          <w:sz w:val="22"/>
        </w:rPr>
        <w:t>除外基準: 妊娠中または授乳中の女性、活動性の二次悪性腫瘍を有する患者、コントロール不良な心血管疾患を有する患者、および試験薬剤の成分に対する既知の過敏症を有する患者。</w:t>
      </w:r>
    </w:p>
    <w:p>
      <w:pPr>
        <w:pStyle w:val="Heading1"/>
      </w:pPr>
      <w:r>
        <w:t>5. 患者背景 (想定)</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vAlign w:val="center"/>
          </w:tcPr>
          <w:p>
            <w:r>
              <w:rPr>
                <w:b/>
                <w:sz w:val="20"/>
              </w:rPr>
              <w:t>項目</w:t>
            </w:r>
          </w:p>
        </w:tc>
        <w:tc>
          <w:tcPr>
            <w:tcW w:type="dxa" w:w="2160"/>
            <w:shd w:val="clear" w:color="auto" w:fill="D9E2F3"/>
            <w:vAlign w:val="center"/>
          </w:tcPr>
          <w:p>
            <w:r>
              <w:rPr>
                <w:b/>
                <w:sz w:val="20"/>
              </w:rPr>
              <w:t>低用量群 (n=60)</w:t>
            </w:r>
          </w:p>
        </w:tc>
        <w:tc>
          <w:tcPr>
            <w:tcW w:type="dxa" w:w="2160"/>
            <w:shd w:val="clear" w:color="auto" w:fill="D9E2F3"/>
            <w:vAlign w:val="center"/>
          </w:tcPr>
          <w:p>
            <w:r>
              <w:rPr>
                <w:b/>
                <w:sz w:val="20"/>
              </w:rPr>
              <w:t>高用量群 (n=60)</w:t>
            </w:r>
          </w:p>
        </w:tc>
        <w:tc>
          <w:tcPr>
            <w:tcW w:type="dxa" w:w="2160"/>
            <w:shd w:val="clear" w:color="auto" w:fill="D9E2F3"/>
            <w:vAlign w:val="center"/>
          </w:tcPr>
          <w:p>
            <w:r>
              <w:rPr>
                <w:b/>
                <w:sz w:val="20"/>
              </w:rPr>
              <w:t>対照群 (n=60)</w:t>
            </w:r>
          </w:p>
        </w:tc>
      </w:tr>
      <w:tr>
        <w:tc>
          <w:tcPr>
            <w:tcW w:type="dxa" w:w="2160"/>
            <w:vAlign w:val="center"/>
          </w:tcPr>
          <w:p>
            <w:r>
              <w:rPr>
                <w:sz w:val="20"/>
              </w:rPr>
              <w:t>年齢 中央値 (範囲)</w:t>
            </w:r>
          </w:p>
        </w:tc>
        <w:tc>
          <w:tcPr>
            <w:tcW w:type="dxa" w:w="2160"/>
            <w:vAlign w:val="center"/>
          </w:tcPr>
          <w:p>
            <w:r>
              <w:rPr>
                <w:sz w:val="20"/>
              </w:rPr>
              <w:t>62 (24-78)</w:t>
            </w:r>
          </w:p>
        </w:tc>
        <w:tc>
          <w:tcPr>
            <w:tcW w:type="dxa" w:w="2160"/>
            <w:vAlign w:val="center"/>
          </w:tcPr>
          <w:p>
            <w:r>
              <w:rPr>
                <w:sz w:val="20"/>
              </w:rPr>
              <w:t>64 (28-79)</w:t>
            </w:r>
          </w:p>
        </w:tc>
        <w:tc>
          <w:tcPr>
            <w:tcW w:type="dxa" w:w="2160"/>
            <w:vAlign w:val="center"/>
          </w:tcPr>
          <w:p>
            <w:r>
              <w:rPr>
                <w:sz w:val="20"/>
              </w:rPr>
              <w:t>63 (26-80)</w:t>
            </w:r>
          </w:p>
        </w:tc>
      </w:tr>
      <w:tr>
        <w:tc>
          <w:tcPr>
            <w:tcW w:type="dxa" w:w="2160"/>
            <w:vAlign w:val="center"/>
          </w:tcPr>
          <w:p>
            <w:r>
              <w:rPr>
                <w:sz w:val="20"/>
              </w:rPr>
              <w:t>男性 n (%)</w:t>
            </w:r>
          </w:p>
        </w:tc>
        <w:tc>
          <w:tcPr>
            <w:tcW w:type="dxa" w:w="2160"/>
            <w:vAlign w:val="center"/>
          </w:tcPr>
          <w:p>
            <w:r>
              <w:rPr>
                <w:sz w:val="20"/>
              </w:rPr>
              <w:t>34 (56.7)</w:t>
            </w:r>
          </w:p>
        </w:tc>
        <w:tc>
          <w:tcPr>
            <w:tcW w:type="dxa" w:w="2160"/>
            <w:vAlign w:val="center"/>
          </w:tcPr>
          <w:p>
            <w:r>
              <w:rPr>
                <w:sz w:val="20"/>
              </w:rPr>
              <w:t>36 (60.0)</w:t>
            </w:r>
          </w:p>
        </w:tc>
        <w:tc>
          <w:tcPr>
            <w:tcW w:type="dxa" w:w="2160"/>
            <w:vAlign w:val="center"/>
          </w:tcPr>
          <w:p>
            <w:r>
              <w:rPr>
                <w:sz w:val="20"/>
              </w:rPr>
              <w:t>33 (55.0)</w:t>
            </w:r>
          </w:p>
        </w:tc>
      </w:tr>
      <w:tr>
        <w:tc>
          <w:tcPr>
            <w:tcW w:type="dxa" w:w="2160"/>
            <w:vAlign w:val="center"/>
          </w:tcPr>
          <w:p>
            <w:r>
              <w:rPr>
                <w:sz w:val="20"/>
              </w:rPr>
              <w:t>ECOG 0</w:t>
            </w:r>
          </w:p>
        </w:tc>
        <w:tc>
          <w:tcPr>
            <w:tcW w:type="dxa" w:w="2160"/>
            <w:vAlign w:val="center"/>
          </w:tcPr>
          <w:p>
            <w:r>
              <w:rPr>
                <w:sz w:val="20"/>
              </w:rPr>
              <w:t>38 (63.3)</w:t>
            </w:r>
          </w:p>
        </w:tc>
        <w:tc>
          <w:tcPr>
            <w:tcW w:type="dxa" w:w="2160"/>
            <w:vAlign w:val="center"/>
          </w:tcPr>
          <w:p>
            <w:r>
              <w:rPr>
                <w:sz w:val="20"/>
              </w:rPr>
              <w:t>36 (60.0)</w:t>
            </w:r>
          </w:p>
        </w:tc>
        <w:tc>
          <w:tcPr>
            <w:tcW w:type="dxa" w:w="2160"/>
            <w:vAlign w:val="center"/>
          </w:tcPr>
          <w:p>
            <w:r>
              <w:rPr>
                <w:sz w:val="20"/>
              </w:rPr>
              <w:t>37 (61.7)</w:t>
            </w:r>
          </w:p>
        </w:tc>
      </w:tr>
      <w:tr>
        <w:tc>
          <w:tcPr>
            <w:tcW w:type="dxa" w:w="2160"/>
            <w:vAlign w:val="center"/>
          </w:tcPr>
          <w:p>
            <w:r>
              <w:rPr>
                <w:sz w:val="20"/>
              </w:rPr>
              <w:t>ECOG 1</w:t>
            </w:r>
          </w:p>
        </w:tc>
        <w:tc>
          <w:tcPr>
            <w:tcW w:type="dxa" w:w="2160"/>
            <w:vAlign w:val="center"/>
          </w:tcPr>
          <w:p>
            <w:r>
              <w:rPr>
                <w:sz w:val="20"/>
              </w:rPr>
              <w:t>22 (36.7)</w:t>
            </w:r>
          </w:p>
        </w:tc>
        <w:tc>
          <w:tcPr>
            <w:tcW w:type="dxa" w:w="2160"/>
            <w:vAlign w:val="center"/>
          </w:tcPr>
          <w:p>
            <w:r>
              <w:rPr>
                <w:sz w:val="20"/>
              </w:rPr>
              <w:t>24 (40.0)</w:t>
            </w:r>
          </w:p>
        </w:tc>
        <w:tc>
          <w:tcPr>
            <w:tcW w:type="dxa" w:w="2160"/>
            <w:vAlign w:val="center"/>
          </w:tcPr>
          <w:p>
            <w:r>
              <w:rPr>
                <w:sz w:val="20"/>
              </w:rPr>
              <w:t>23 (38.3)</w:t>
            </w:r>
          </w:p>
        </w:tc>
      </w:tr>
      <w:tr>
        <w:tc>
          <w:tcPr>
            <w:tcW w:type="dxa" w:w="2160"/>
            <w:vAlign w:val="center"/>
          </w:tcPr>
          <w:p>
            <w:r>
              <w:rPr>
                <w:sz w:val="20"/>
              </w:rPr>
              <w:t>前治療歴 中央値</w:t>
            </w:r>
          </w:p>
        </w:tc>
        <w:tc>
          <w:tcPr>
            <w:tcW w:type="dxa" w:w="2160"/>
            <w:vAlign w:val="center"/>
          </w:tcPr>
          <w:p>
            <w:r>
              <w:rPr>
                <w:sz w:val="20"/>
              </w:rPr>
              <w:t>2 (1-4)</w:t>
            </w:r>
          </w:p>
        </w:tc>
        <w:tc>
          <w:tcPr>
            <w:tcW w:type="dxa" w:w="2160"/>
            <w:vAlign w:val="center"/>
          </w:tcPr>
          <w:p>
            <w:r>
              <w:rPr>
                <w:sz w:val="20"/>
              </w:rPr>
              <w:t>2 (1-5)</w:t>
            </w:r>
          </w:p>
        </w:tc>
        <w:tc>
          <w:tcPr>
            <w:tcW w:type="dxa" w:w="2160"/>
            <w:vAlign w:val="center"/>
          </w:tcPr>
          <w:p>
            <w:r>
              <w:rPr>
                <w:sz w:val="20"/>
              </w:rPr>
              <w:t>2 (1-4)</w:t>
            </w:r>
          </w:p>
        </w:tc>
      </w:tr>
    </w:tbl>
    <w:p/>
    <w:p>
      <w:pPr>
        <w:pStyle w:val="Heading1"/>
      </w:pPr>
      <w:r>
        <w:t>6. 薬物動態評価</w:t>
      </w:r>
    </w:p>
    <w:p>
      <w:r>
        <w:rPr>
          <w:sz w:val="22"/>
        </w:rPr>
        <w:t>各コホートで単回投与後および反復投与後の血漿中濃度を測定し、最高血漿中濃度 (Cmax)、血漿中濃度-時間曲線下面積 (AUC)、消失半減期 (t1/2) を算出する。下図に単回投与時の想定プロファイルを示す。</w:t>
      </w:r>
    </w:p>
    <w:p>
      <w:r>
        <w:drawing>
          <wp:inline xmlns:a="http://schemas.openxmlformats.org/drawingml/2006/main" xmlns:pic="http://schemas.openxmlformats.org/drawingml/2006/picture">
            <wp:extent cx="5486400" cy="303862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038622"/>
                    </a:xfrm>
                    <a:prstGeom prst="rect"/>
                  </pic:spPr>
                </pic:pic>
              </a:graphicData>
            </a:graphic>
          </wp:inline>
        </w:drawing>
      </w:r>
    </w:p>
    <w:p>
      <w:pPr>
        <w:jc w:val="center"/>
      </w:pPr>
      <w:r>
        <w:rPr>
          <w:i/>
          <w:color w:val="555555"/>
          <w:sz w:val="18"/>
        </w:rPr>
        <w:t>図1. DBX-101 単回経口投与時の血漿中濃度推移 (想定値、模擬データ)</w:t>
      </w:r>
    </w:p>
    <w:p>
      <w:pPr>
        <w:pStyle w:val="Heading1"/>
      </w:pPr>
      <w:r>
        <w:t>7. 統計解析計画</w:t>
      </w:r>
    </w:p>
    <w:p>
      <w:r>
        <w:rPr>
          <w:sz w:val="22"/>
        </w:rPr>
        <w:t>主要解析はintention-to-treat集団を対象とし、Cox比例ハザードモデルを用いて群間のハザード比と95%信頼区間を推定する。検出力を80%とし、片側有意水準を0.025として症例数を設計している。</w:t>
      </w:r>
    </w:p>
    <w:p>
      <w:pPr>
        <w:pStyle w:val="Heading1"/>
      </w:pPr>
      <w:r>
        <w:t>8. 参考規制ガイドライン</w:t>
      </w:r>
    </w:p>
    <w:p>
      <w:r>
        <w:rPr>
          <w:sz w:val="22"/>
        </w:rPr>
        <w:t>本試験は、ICH E6 (R2) Good Clinical Practice ガイドラインおよび医薬品、医療機器等の品質、有効性及び安全性の確保等に関する法律 (医薬品医療機器等法) を遵守して実施される。</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Databricks Pharma KK  秘密扱い  |  ページ </w:t>
    </w:r>
    <w:r>
      <w:rPr>
        <w:sz w:val="18"/>
      </w:rP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治験実施計画書 概要  |  DBX101-JP-002  |  版 2.0 (2026年3月15日)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