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定期的安全性最新報告書 (PSUR) 概要</w:t>
      </w:r>
    </w:p>
    <w:p>
      <w:r>
        <w:rPr>
          <w:sz w:val="22"/>
        </w:rPr>
        <w:t>本書は、DBX-101 (開発コード) について、報告期間中に収集された安全性情報を要約したものである。本要約は、ICH E2C (R2) ガイドラインに準拠して作成されている。</w:t>
      </w:r>
    </w:p>
    <w:p>
      <w:pPr>
        <w:pStyle w:val="Heading1"/>
      </w:pPr>
      <w:r>
        <w:t>1. 報告期間中の総合安全性評価</w:t>
      </w:r>
    </w:p>
    <w:p>
      <w:r>
        <w:rPr>
          <w:sz w:val="22"/>
        </w:rPr>
        <w:t>報告期間中に、120例に対してDBX-101が投与された (低用量群60例、高用量群60例)。全体として、DBX-101の安全性プロファイルは前回報告書から大きな変化はなく、新たなシグナルは検出されていない。</w:t>
      </w:r>
    </w:p>
    <w:p>
      <w:r>
        <w:rPr>
          <w:sz w:val="22"/>
        </w:rPr>
        <w:t>最も頻度の高い有害事象は消化器症状 (悪心、下痢) であり、いずれも軽度から中等度であった。重篤な有害事象の発現率は、両投与群間で有意な差は認められなかった。</w:t>
      </w:r>
    </w:p>
    <w:p>
      <w:pPr>
        <w:pStyle w:val="Heading1"/>
      </w:pPr>
      <w:r>
        <w:t>2. 器官別大分類 (SOC) 別 有害事象一覧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  <w:vAlign w:val="center"/>
          </w:tcPr>
          <w:p>
            <w:r>
              <w:rPr>
                <w:b/>
                <w:sz w:val="20"/>
              </w:rPr>
              <w:t>器官別大分類 (SOC)</w:t>
            </w:r>
          </w:p>
        </w:tc>
        <w:tc>
          <w:tcPr>
            <w:tcW w:type="dxa" w:w="2160"/>
            <w:shd w:val="clear" w:color="auto" w:fill="D9E2F3"/>
            <w:vAlign w:val="center"/>
          </w:tcPr>
          <w:p>
            <w:r>
              <w:rPr>
                <w:b/>
                <w:sz w:val="20"/>
              </w:rPr>
              <w:t>低用量群 n (%)</w:t>
            </w:r>
          </w:p>
        </w:tc>
        <w:tc>
          <w:tcPr>
            <w:tcW w:type="dxa" w:w="2160"/>
            <w:shd w:val="clear" w:color="auto" w:fill="D9E2F3"/>
            <w:vAlign w:val="center"/>
          </w:tcPr>
          <w:p>
            <w:r>
              <w:rPr>
                <w:b/>
                <w:sz w:val="20"/>
              </w:rPr>
              <w:t>高用量群 n (%)</w:t>
            </w:r>
          </w:p>
        </w:tc>
        <w:tc>
          <w:tcPr>
            <w:tcW w:type="dxa" w:w="2160"/>
            <w:shd w:val="clear" w:color="auto" w:fill="D9E2F3"/>
            <w:vAlign w:val="center"/>
          </w:tcPr>
          <w:p>
            <w:r>
              <w:rPr>
                <w:b/>
                <w:sz w:val="20"/>
              </w:rPr>
              <w:t>重篤例 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20"/>
              </w:rPr>
              <w:t>胃腸障害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18 (30.0)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26 (43.3)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20"/>
              </w:rPr>
              <w:t>神経系障害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12 (20.0)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17 (28.3)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20"/>
              </w:rPr>
              <w:t>皮膚および皮下組織障害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9 (15.0)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13 (21.7)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20"/>
              </w:rPr>
              <w:t>肝胆道系障害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4 (6.7)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7 (11.7)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20"/>
              </w:rPr>
              <w:t>血液およびリンパ系障害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3 (5.0)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5 (8.3)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sz w:val="20"/>
              </w:rPr>
              <w:t>一般・全身障害および投与部位状態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8 (13.3)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11 (18.3)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20"/>
              </w:rPr>
              <w:t>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038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8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図2. 器官別大分類 (SOC) 別 有害事象発現頻度 (両投与群比較、模擬データ)</w:t>
      </w:r>
    </w:p>
    <w:p>
      <w:pPr>
        <w:pStyle w:val="Heading1"/>
      </w:pPr>
      <w:r>
        <w:t>3. 重篤有害事象一覧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  <w:vAlign w:val="center"/>
          </w:tcPr>
          <w:p>
            <w:r>
              <w:rPr>
                <w:b/>
                <w:sz w:val="20"/>
              </w:rPr>
              <w:t>症例ID</w:t>
            </w:r>
          </w:p>
        </w:tc>
        <w:tc>
          <w:tcPr>
            <w:tcW w:type="dxa" w:w="1728"/>
            <w:shd w:val="clear" w:color="auto" w:fill="D9E2F3"/>
            <w:vAlign w:val="center"/>
          </w:tcPr>
          <w:p>
            <w:r>
              <w:rPr>
                <w:b/>
                <w:sz w:val="20"/>
              </w:rPr>
              <w:t>SOC / PT</w:t>
            </w:r>
          </w:p>
        </w:tc>
        <w:tc>
          <w:tcPr>
            <w:tcW w:type="dxa" w:w="1728"/>
            <w:shd w:val="clear" w:color="auto" w:fill="D9E2F3"/>
            <w:vAlign w:val="center"/>
          </w:tcPr>
          <w:p>
            <w:r>
              <w:rPr>
                <w:b/>
                <w:sz w:val="20"/>
              </w:rPr>
              <w:t>重症度</w:t>
            </w:r>
          </w:p>
        </w:tc>
        <w:tc>
          <w:tcPr>
            <w:tcW w:type="dxa" w:w="1728"/>
            <w:shd w:val="clear" w:color="auto" w:fill="D9E2F3"/>
            <w:vAlign w:val="center"/>
          </w:tcPr>
          <w:p>
            <w:r>
              <w:rPr>
                <w:b/>
                <w:sz w:val="20"/>
              </w:rPr>
              <w:t>因果関係</w:t>
            </w:r>
          </w:p>
        </w:tc>
        <w:tc>
          <w:tcPr>
            <w:tcW w:type="dxa" w:w="1728"/>
            <w:shd w:val="clear" w:color="auto" w:fill="D9E2F3"/>
            <w:vAlign w:val="center"/>
          </w:tcPr>
          <w:p>
            <w:r>
              <w:rPr>
                <w:b/>
                <w:sz w:val="20"/>
              </w:rPr>
              <w:t>転帰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20"/>
              </w:rPr>
              <w:t>DBX-JP-014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胃腸障害 / 消化管出血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重度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関連あり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回復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20"/>
              </w:rPr>
              <w:t>DBX-JP-028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肝胆道系障害 / 肝機能異常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中等度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関連の可能性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回復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20"/>
              </w:rPr>
              <w:t>DBX-JP-057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血液系 / 好中球減少症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中等度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関連あり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回復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20"/>
              </w:rPr>
              <w:t>DBX-JP-092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胃腸障害 / 腸閉塞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重度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関連なし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20"/>
              </w:rPr>
              <w:t>後遺症あり</w:t>
            </w:r>
          </w:p>
        </w:tc>
      </w:tr>
    </w:tbl>
    <w:p/>
    <w:p>
      <w:pPr>
        <w:pStyle w:val="Heading1"/>
      </w:pPr>
      <w:r>
        <w:t>4. シグナル評価</w:t>
      </w:r>
    </w:p>
    <w:p>
      <w:r>
        <w:rPr>
          <w:sz w:val="22"/>
        </w:rPr>
        <w:t>報告期間中、当該医薬品の安全性プロファイルに関する新たなシグナルは、自発報告、市販後調査、および文献レビューにおいて検出されなかった。既知のリスクである消化器症状については、添付文書の記載内容と一致していた。</w:t>
      </w:r>
    </w:p>
    <w:p>
      <w:pPr>
        <w:pStyle w:val="Heading1"/>
      </w:pPr>
      <w:r>
        <w:t>5. リスク・ベネフィット評価</w:t>
      </w:r>
    </w:p>
    <w:p>
      <w:r>
        <w:rPr>
          <w:sz w:val="22"/>
        </w:rPr>
        <w:t>報告期間中に得られた有効性および安全性データを総合的に評価した結果、DBX-101のリスク・ベネフィットバランスは引き続き良好であると判断される。現時点で添付文書の改訂を要する情報は認められなかった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Databricks Pharma KK  安全性管理部  |  ページ </w:t>
    </w:r>
    <w:r>
      <w:rPr>
        <w:sz w:val="18"/>
      </w:rP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55555"/>
        <w:sz w:val="18"/>
      </w:rPr>
      <w:t>定期的安全性最新報告書 概要  |  DBX-101  |  報告期間 2025年10月1日~2026年3月31日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